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58B4C" w14:textId="4FC700D0" w:rsidR="00AE6A29" w:rsidRPr="00AE6A29" w:rsidRDefault="00AE6A29" w:rsidP="00E337A8">
      <w:pPr>
        <w:rPr>
          <w:rStyle w:val="Fett"/>
        </w:rPr>
      </w:pPr>
      <w:r w:rsidRPr="00AE6A29">
        <w:rPr>
          <w:rStyle w:val="Fett"/>
        </w:rPr>
        <w:t>Allgemeine Festlegungen</w:t>
      </w:r>
    </w:p>
    <w:p w14:paraId="0BC82A46" w14:textId="2B163E57" w:rsidR="00E337A8" w:rsidRDefault="00E337A8" w:rsidP="004A08D4">
      <w:pPr>
        <w:jc w:val="both"/>
      </w:pPr>
      <w:r>
        <w:t>Es gibt eine Vielzahl von Bestimmungen und Vorgaben, die bei der Verwendung von chemischen Energiespeichern eingehalten werden müssen, um die Gefährdungen für Menschen und die Umwelt nahezu auszuschließen. Es sind Warnschilder nach DIN EN ISO 7010 an den Zugangstüren oder in der Nähe von Batterieanlagen bei Verortungen in elektrotechnischen Betriebsstätten anzubringen.</w:t>
      </w:r>
    </w:p>
    <w:p w14:paraId="2A6F7A54" w14:textId="77777777" w:rsidR="00377AF1" w:rsidRDefault="00377AF1" w:rsidP="004A08D4">
      <w:pPr>
        <w:jc w:val="both"/>
      </w:pPr>
    </w:p>
    <w:p w14:paraId="317E92D7" w14:textId="1C77940B" w:rsidR="006C72F5" w:rsidRDefault="00E337A8" w:rsidP="004A08D4">
      <w:pPr>
        <w:jc w:val="both"/>
      </w:pPr>
      <w:r>
        <w:t xml:space="preserve">Die folgende Tabelle </w:t>
      </w:r>
      <w:r w:rsidR="002A78F3">
        <w:t xml:space="preserve">1 </w:t>
      </w:r>
      <w:r>
        <w:t>zeigt die nötige Beschilderung und die Informationen dazu:</w:t>
      </w:r>
    </w:p>
    <w:p w14:paraId="4C4BF968" w14:textId="77777777" w:rsidR="004A08D4" w:rsidRDefault="004A08D4" w:rsidP="004A08D4">
      <w:pPr>
        <w:jc w:val="both"/>
      </w:pPr>
    </w:p>
    <w:tbl>
      <w:tblPr>
        <w:tblStyle w:val="Tabellenraster"/>
        <w:tblW w:w="0" w:type="auto"/>
        <w:tblLook w:val="04A0" w:firstRow="1" w:lastRow="0" w:firstColumn="1" w:lastColumn="0" w:noHBand="0" w:noVBand="1"/>
      </w:tblPr>
      <w:tblGrid>
        <w:gridCol w:w="4106"/>
        <w:gridCol w:w="2410"/>
        <w:gridCol w:w="2941"/>
      </w:tblGrid>
      <w:tr w:rsidR="00133C6D" w14:paraId="2074A270" w14:textId="77777777" w:rsidTr="005A515B">
        <w:trPr>
          <w:trHeight w:val="708"/>
        </w:trPr>
        <w:tc>
          <w:tcPr>
            <w:tcW w:w="4106" w:type="dxa"/>
            <w:vAlign w:val="center"/>
          </w:tcPr>
          <w:p w14:paraId="575AACA3" w14:textId="1CBCC1D0" w:rsidR="00133C6D" w:rsidRPr="005A515B" w:rsidRDefault="008879D2" w:rsidP="00661617">
            <w:pPr>
              <w:jc w:val="center"/>
              <w:rPr>
                <w:b/>
                <w:bCs/>
              </w:rPr>
            </w:pPr>
            <w:r w:rsidRPr="005A515B">
              <w:rPr>
                <w:b/>
                <w:bCs/>
              </w:rPr>
              <w:t>A</w:t>
            </w:r>
            <w:r w:rsidR="00133C6D" w:rsidRPr="005A515B">
              <w:rPr>
                <w:b/>
                <w:bCs/>
              </w:rPr>
              <w:t>ussage</w:t>
            </w:r>
          </w:p>
        </w:tc>
        <w:tc>
          <w:tcPr>
            <w:tcW w:w="2410" w:type="dxa"/>
            <w:vAlign w:val="center"/>
          </w:tcPr>
          <w:p w14:paraId="4C9DCCF2" w14:textId="72BEA39A" w:rsidR="00133C6D" w:rsidRPr="005A515B" w:rsidRDefault="00133C6D" w:rsidP="00661617">
            <w:pPr>
              <w:jc w:val="center"/>
              <w:rPr>
                <w:b/>
                <w:bCs/>
              </w:rPr>
            </w:pPr>
            <w:r w:rsidRPr="005A515B">
              <w:rPr>
                <w:b/>
                <w:bCs/>
              </w:rPr>
              <w:t>Sicherheitszeichen</w:t>
            </w:r>
          </w:p>
        </w:tc>
        <w:tc>
          <w:tcPr>
            <w:tcW w:w="2941" w:type="dxa"/>
            <w:vAlign w:val="center"/>
          </w:tcPr>
          <w:p w14:paraId="5CCC30AF" w14:textId="64A27F40" w:rsidR="00133C6D" w:rsidRPr="005A515B" w:rsidRDefault="00133C6D" w:rsidP="00661617">
            <w:pPr>
              <w:jc w:val="center"/>
              <w:rPr>
                <w:b/>
                <w:bCs/>
              </w:rPr>
            </w:pPr>
            <w:r w:rsidRPr="005A515B">
              <w:rPr>
                <w:b/>
                <w:bCs/>
              </w:rPr>
              <w:t>Registriernummer</w:t>
            </w:r>
            <w:r w:rsidR="00525360" w:rsidRPr="005A515B">
              <w:rPr>
                <w:b/>
                <w:bCs/>
              </w:rPr>
              <w:t xml:space="preserve"> nach ISO 7010:20212-10</w:t>
            </w:r>
          </w:p>
        </w:tc>
      </w:tr>
      <w:tr w:rsidR="00E337A8" w14:paraId="4AAF8900" w14:textId="77777777" w:rsidTr="005A515B">
        <w:trPr>
          <w:trHeight w:val="974"/>
        </w:trPr>
        <w:tc>
          <w:tcPr>
            <w:tcW w:w="4106" w:type="dxa"/>
            <w:vAlign w:val="center"/>
          </w:tcPr>
          <w:p w14:paraId="276DD813" w14:textId="77777777" w:rsidR="00F45828" w:rsidRDefault="00F45828" w:rsidP="00661617">
            <w:pPr>
              <w:jc w:val="center"/>
            </w:pPr>
            <w:r>
              <w:t>Warnung vor elektrischer Spannung</w:t>
            </w:r>
          </w:p>
          <w:p w14:paraId="358855A4" w14:textId="3C07129D" w:rsidR="00E337A8" w:rsidRDefault="00F45828" w:rsidP="00661617">
            <w:pPr>
              <w:jc w:val="center"/>
            </w:pPr>
            <w:r>
              <w:t>(gilt hier bei Anlagen &gt; 60V)</w:t>
            </w:r>
          </w:p>
        </w:tc>
        <w:tc>
          <w:tcPr>
            <w:tcW w:w="2410" w:type="dxa"/>
            <w:vAlign w:val="center"/>
          </w:tcPr>
          <w:p w14:paraId="4A4A3BD6" w14:textId="488ABCB5" w:rsidR="00E337A8" w:rsidRDefault="00AB6130" w:rsidP="00661617">
            <w:pPr>
              <w:jc w:val="center"/>
            </w:pPr>
            <w:r w:rsidRPr="00567722">
              <w:rPr>
                <w:noProof/>
              </w:rPr>
              <w:drawing>
                <wp:inline distT="0" distB="0" distL="0" distR="0" wp14:anchorId="0D764CDD" wp14:editId="0E6F7D59">
                  <wp:extent cx="619200" cy="540000"/>
                  <wp:effectExtent l="0" t="0" r="0" b="0"/>
                  <wp:docPr id="200082843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828437" name="Grafik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9200" cy="540000"/>
                          </a:xfrm>
                          <a:prstGeom prst="rect">
                            <a:avLst/>
                          </a:prstGeom>
                          <a:noFill/>
                        </pic:spPr>
                      </pic:pic>
                    </a:graphicData>
                  </a:graphic>
                </wp:inline>
              </w:drawing>
            </w:r>
          </w:p>
        </w:tc>
        <w:tc>
          <w:tcPr>
            <w:tcW w:w="2941" w:type="dxa"/>
            <w:vAlign w:val="center"/>
          </w:tcPr>
          <w:p w14:paraId="1CE6509E" w14:textId="081AC36E" w:rsidR="00E337A8" w:rsidRDefault="00661617" w:rsidP="00661617">
            <w:pPr>
              <w:jc w:val="center"/>
            </w:pPr>
            <w:r>
              <w:t>W012</w:t>
            </w:r>
          </w:p>
        </w:tc>
      </w:tr>
      <w:tr w:rsidR="00E337A8" w14:paraId="12487A64" w14:textId="77777777" w:rsidTr="005A515B">
        <w:trPr>
          <w:trHeight w:val="1001"/>
        </w:trPr>
        <w:tc>
          <w:tcPr>
            <w:tcW w:w="4106" w:type="dxa"/>
            <w:vAlign w:val="center"/>
          </w:tcPr>
          <w:p w14:paraId="4B27A967" w14:textId="480F02F8" w:rsidR="00853AC3" w:rsidRPr="00853AC3" w:rsidRDefault="00853AC3" w:rsidP="00661617">
            <w:pPr>
              <w:tabs>
                <w:tab w:val="left" w:pos="960"/>
              </w:tabs>
              <w:jc w:val="center"/>
            </w:pPr>
            <w:r w:rsidRPr="00853AC3">
              <w:t>Keine offene Flamme; Feuer, offene Zündquelle und Rauchen verboten</w:t>
            </w:r>
          </w:p>
        </w:tc>
        <w:tc>
          <w:tcPr>
            <w:tcW w:w="2410" w:type="dxa"/>
            <w:vAlign w:val="center"/>
          </w:tcPr>
          <w:p w14:paraId="4B9ABD8B" w14:textId="312D08F8" w:rsidR="00E337A8" w:rsidRDefault="00D34198" w:rsidP="00661617">
            <w:pPr>
              <w:jc w:val="center"/>
            </w:pPr>
            <w:r w:rsidRPr="00567722">
              <w:rPr>
                <w:noProof/>
              </w:rPr>
              <w:drawing>
                <wp:inline distT="0" distB="0" distL="0" distR="0" wp14:anchorId="27BDDC80" wp14:editId="39C0DC23">
                  <wp:extent cx="540000" cy="540000"/>
                  <wp:effectExtent l="0" t="0" r="0" b="0"/>
                  <wp:docPr id="102155169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551692" name="Grafik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40000" cy="540000"/>
                          </a:xfrm>
                          <a:prstGeom prst="rect">
                            <a:avLst/>
                          </a:prstGeom>
                          <a:noFill/>
                        </pic:spPr>
                      </pic:pic>
                    </a:graphicData>
                  </a:graphic>
                </wp:inline>
              </w:drawing>
            </w:r>
          </w:p>
        </w:tc>
        <w:tc>
          <w:tcPr>
            <w:tcW w:w="2941" w:type="dxa"/>
            <w:vAlign w:val="center"/>
          </w:tcPr>
          <w:p w14:paraId="0A665145" w14:textId="578AA4B5" w:rsidR="00E337A8" w:rsidRDefault="00661617" w:rsidP="00661617">
            <w:pPr>
              <w:jc w:val="center"/>
            </w:pPr>
            <w:r>
              <w:t>P003</w:t>
            </w:r>
          </w:p>
        </w:tc>
      </w:tr>
      <w:tr w:rsidR="00E337A8" w14:paraId="7056D7BD" w14:textId="77777777" w:rsidTr="005A515B">
        <w:trPr>
          <w:trHeight w:val="973"/>
        </w:trPr>
        <w:tc>
          <w:tcPr>
            <w:tcW w:w="4106" w:type="dxa"/>
            <w:vAlign w:val="center"/>
          </w:tcPr>
          <w:p w14:paraId="018C1C42" w14:textId="19DF3A55" w:rsidR="00E337A8" w:rsidRDefault="00225290" w:rsidP="00661617">
            <w:pPr>
              <w:jc w:val="center"/>
            </w:pPr>
            <w:r w:rsidRPr="00225290">
              <w:t>Warnung vor Gefahren durch das Aufladen von Batterien</w:t>
            </w:r>
          </w:p>
        </w:tc>
        <w:tc>
          <w:tcPr>
            <w:tcW w:w="2410" w:type="dxa"/>
            <w:vAlign w:val="center"/>
          </w:tcPr>
          <w:p w14:paraId="7724BFDA" w14:textId="1B59C4E4" w:rsidR="00E337A8" w:rsidRDefault="00661617" w:rsidP="00661617">
            <w:pPr>
              <w:jc w:val="center"/>
            </w:pPr>
            <w:r w:rsidRPr="00567722">
              <w:rPr>
                <w:noProof/>
              </w:rPr>
              <w:drawing>
                <wp:inline distT="0" distB="0" distL="0" distR="0" wp14:anchorId="5DE31FA4" wp14:editId="6D41B4FC">
                  <wp:extent cx="619200" cy="540000"/>
                  <wp:effectExtent l="0" t="0" r="0" b="0"/>
                  <wp:docPr id="176559849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598498" name="Grafik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619200" cy="540000"/>
                          </a:xfrm>
                          <a:prstGeom prst="rect">
                            <a:avLst/>
                          </a:prstGeom>
                          <a:noFill/>
                        </pic:spPr>
                      </pic:pic>
                    </a:graphicData>
                  </a:graphic>
                </wp:inline>
              </w:drawing>
            </w:r>
          </w:p>
        </w:tc>
        <w:tc>
          <w:tcPr>
            <w:tcW w:w="2941" w:type="dxa"/>
            <w:vAlign w:val="center"/>
          </w:tcPr>
          <w:p w14:paraId="57E11105" w14:textId="1C0CBCF4" w:rsidR="00E337A8" w:rsidRDefault="00661617" w:rsidP="00423690">
            <w:pPr>
              <w:keepNext/>
              <w:jc w:val="center"/>
            </w:pPr>
            <w:r>
              <w:t>W026</w:t>
            </w:r>
          </w:p>
        </w:tc>
      </w:tr>
    </w:tbl>
    <w:p w14:paraId="20F58AB7" w14:textId="6415AB11" w:rsidR="00423690" w:rsidRDefault="00423690">
      <w:pPr>
        <w:pStyle w:val="Beschriftung"/>
      </w:pPr>
      <w:r>
        <w:t xml:space="preserve">Tabelle </w:t>
      </w:r>
      <w:fldSimple w:instr=" SEQ Tabelle \* ARABIC ">
        <w:r>
          <w:rPr>
            <w:noProof/>
          </w:rPr>
          <w:t>1</w:t>
        </w:r>
      </w:fldSimple>
    </w:p>
    <w:p w14:paraId="04206B98" w14:textId="31BE3C60" w:rsidR="007E0DB6" w:rsidRDefault="009501E6" w:rsidP="00E337A8">
      <w:r w:rsidRPr="009501E6">
        <w:t>Mögliche weiter</w:t>
      </w:r>
      <w:r w:rsidR="002A78F3">
        <w:t>e</w:t>
      </w:r>
      <w:r w:rsidRPr="009501E6">
        <w:t xml:space="preserve"> Symbole, die bei der Verwendung von Batterien auf Gefahren und Verhaltensweisen hindeuten, zeigt </w:t>
      </w:r>
      <w:r w:rsidR="002A78F3">
        <w:t xml:space="preserve">die folgende </w:t>
      </w:r>
      <w:r w:rsidRPr="009501E6">
        <w:t>Tabelle 2 (nicht abschießend):</w:t>
      </w:r>
    </w:p>
    <w:p w14:paraId="4D28CFF1" w14:textId="77777777" w:rsidR="004A08D4" w:rsidRDefault="004A08D4" w:rsidP="00E337A8"/>
    <w:tbl>
      <w:tblPr>
        <w:tblStyle w:val="Tabellenraster"/>
        <w:tblW w:w="0" w:type="auto"/>
        <w:tblLook w:val="04A0" w:firstRow="1" w:lastRow="0" w:firstColumn="1" w:lastColumn="0" w:noHBand="0" w:noVBand="1"/>
      </w:tblPr>
      <w:tblGrid>
        <w:gridCol w:w="4106"/>
        <w:gridCol w:w="2410"/>
        <w:gridCol w:w="2941"/>
      </w:tblGrid>
      <w:tr w:rsidR="009501E6" w14:paraId="554C1B66" w14:textId="77777777" w:rsidTr="005A515B">
        <w:trPr>
          <w:trHeight w:val="708"/>
        </w:trPr>
        <w:tc>
          <w:tcPr>
            <w:tcW w:w="4106" w:type="dxa"/>
            <w:vAlign w:val="center"/>
          </w:tcPr>
          <w:p w14:paraId="3C724063" w14:textId="7A9BDD72" w:rsidR="009501E6" w:rsidRPr="005A515B" w:rsidRDefault="009501E6" w:rsidP="00497BD5">
            <w:pPr>
              <w:jc w:val="center"/>
              <w:rPr>
                <w:b/>
                <w:bCs/>
              </w:rPr>
            </w:pPr>
            <w:r w:rsidRPr="005A515B">
              <w:rPr>
                <w:b/>
                <w:bCs/>
              </w:rPr>
              <w:t>Aussage</w:t>
            </w:r>
          </w:p>
        </w:tc>
        <w:tc>
          <w:tcPr>
            <w:tcW w:w="2410" w:type="dxa"/>
            <w:vAlign w:val="center"/>
          </w:tcPr>
          <w:p w14:paraId="061CD8A8" w14:textId="77777777" w:rsidR="009501E6" w:rsidRPr="005A515B" w:rsidRDefault="009501E6" w:rsidP="00497BD5">
            <w:pPr>
              <w:jc w:val="center"/>
              <w:rPr>
                <w:b/>
                <w:bCs/>
              </w:rPr>
            </w:pPr>
            <w:r w:rsidRPr="005A515B">
              <w:rPr>
                <w:b/>
                <w:bCs/>
              </w:rPr>
              <w:t>Sicherheitszeichen</w:t>
            </w:r>
          </w:p>
        </w:tc>
        <w:tc>
          <w:tcPr>
            <w:tcW w:w="2941" w:type="dxa"/>
            <w:vAlign w:val="center"/>
          </w:tcPr>
          <w:p w14:paraId="1BB04B79" w14:textId="77777777" w:rsidR="009501E6" w:rsidRPr="005A515B" w:rsidRDefault="009501E6" w:rsidP="00497BD5">
            <w:pPr>
              <w:jc w:val="center"/>
              <w:rPr>
                <w:b/>
                <w:bCs/>
              </w:rPr>
            </w:pPr>
            <w:r w:rsidRPr="005A515B">
              <w:rPr>
                <w:b/>
                <w:bCs/>
              </w:rPr>
              <w:t>Registriernummer nach ISO 7010:20212-10</w:t>
            </w:r>
          </w:p>
        </w:tc>
      </w:tr>
      <w:tr w:rsidR="009A38B6" w14:paraId="136791F0" w14:textId="77777777" w:rsidTr="005A515B">
        <w:trPr>
          <w:trHeight w:val="974"/>
        </w:trPr>
        <w:tc>
          <w:tcPr>
            <w:tcW w:w="4106" w:type="dxa"/>
            <w:vAlign w:val="center"/>
          </w:tcPr>
          <w:p w14:paraId="730C02DB" w14:textId="5F2835FF" w:rsidR="009A38B6" w:rsidRDefault="009A38B6" w:rsidP="009A38B6">
            <w:pPr>
              <w:jc w:val="center"/>
            </w:pPr>
            <w:r w:rsidRPr="003512F2">
              <w:t>Augenschutz benutzen</w:t>
            </w:r>
          </w:p>
        </w:tc>
        <w:tc>
          <w:tcPr>
            <w:tcW w:w="2410" w:type="dxa"/>
            <w:vAlign w:val="center"/>
          </w:tcPr>
          <w:p w14:paraId="2ED67CA0" w14:textId="54514CE9" w:rsidR="009A38B6" w:rsidRDefault="00891B4F" w:rsidP="009A38B6">
            <w:pPr>
              <w:jc w:val="center"/>
            </w:pPr>
            <w:r>
              <w:rPr>
                <w:noProof/>
              </w:rPr>
              <w:drawing>
                <wp:inline distT="0" distB="0" distL="0" distR="0" wp14:anchorId="4E00795C" wp14:editId="033C9BC9">
                  <wp:extent cx="540000" cy="540000"/>
                  <wp:effectExtent l="0" t="0" r="0" b="0"/>
                  <wp:docPr id="87875504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755043" name="Grafik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40000" cy="540000"/>
                          </a:xfrm>
                          <a:prstGeom prst="rect">
                            <a:avLst/>
                          </a:prstGeom>
                          <a:noFill/>
                        </pic:spPr>
                      </pic:pic>
                    </a:graphicData>
                  </a:graphic>
                </wp:inline>
              </w:drawing>
            </w:r>
          </w:p>
        </w:tc>
        <w:tc>
          <w:tcPr>
            <w:tcW w:w="2941" w:type="dxa"/>
            <w:vAlign w:val="center"/>
          </w:tcPr>
          <w:p w14:paraId="7577E3B5" w14:textId="0339F5ED" w:rsidR="009A38B6" w:rsidRDefault="009A38B6" w:rsidP="009A38B6">
            <w:pPr>
              <w:jc w:val="center"/>
            </w:pPr>
            <w:r w:rsidRPr="003512F2">
              <w:t>M004</w:t>
            </w:r>
          </w:p>
        </w:tc>
      </w:tr>
      <w:tr w:rsidR="009A38B6" w14:paraId="3AAAC1FF" w14:textId="77777777" w:rsidTr="005A515B">
        <w:trPr>
          <w:trHeight w:val="1001"/>
        </w:trPr>
        <w:tc>
          <w:tcPr>
            <w:tcW w:w="4106" w:type="dxa"/>
            <w:vAlign w:val="center"/>
          </w:tcPr>
          <w:p w14:paraId="07566F58" w14:textId="619C313B" w:rsidR="009A38B6" w:rsidRPr="00853AC3" w:rsidRDefault="009A38B6" w:rsidP="009A38B6">
            <w:pPr>
              <w:tabs>
                <w:tab w:val="left" w:pos="960"/>
              </w:tabs>
              <w:jc w:val="center"/>
            </w:pPr>
            <w:r w:rsidRPr="003512F2">
              <w:t>Augenspüleinrichtung</w:t>
            </w:r>
          </w:p>
        </w:tc>
        <w:tc>
          <w:tcPr>
            <w:tcW w:w="2410" w:type="dxa"/>
            <w:vAlign w:val="center"/>
          </w:tcPr>
          <w:p w14:paraId="19FA3D91" w14:textId="00AC7540" w:rsidR="009A38B6" w:rsidRDefault="006A26B1" w:rsidP="009A38B6">
            <w:pPr>
              <w:jc w:val="center"/>
            </w:pPr>
            <w:r>
              <w:rPr>
                <w:noProof/>
              </w:rPr>
              <w:drawing>
                <wp:inline distT="0" distB="0" distL="0" distR="0" wp14:anchorId="731AC25B" wp14:editId="649F2068">
                  <wp:extent cx="540000" cy="540000"/>
                  <wp:effectExtent l="0" t="0" r="0" b="0"/>
                  <wp:docPr id="75133389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333892" name="Grafik 5"/>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540000" cy="540000"/>
                          </a:xfrm>
                          <a:prstGeom prst="rect">
                            <a:avLst/>
                          </a:prstGeom>
                          <a:noFill/>
                        </pic:spPr>
                      </pic:pic>
                    </a:graphicData>
                  </a:graphic>
                </wp:inline>
              </w:drawing>
            </w:r>
          </w:p>
        </w:tc>
        <w:tc>
          <w:tcPr>
            <w:tcW w:w="2941" w:type="dxa"/>
            <w:vAlign w:val="center"/>
          </w:tcPr>
          <w:p w14:paraId="301898CD" w14:textId="2CFA0D03" w:rsidR="009A38B6" w:rsidRDefault="009A38B6" w:rsidP="009A38B6">
            <w:pPr>
              <w:jc w:val="center"/>
            </w:pPr>
            <w:r w:rsidRPr="003512F2">
              <w:t>E011</w:t>
            </w:r>
          </w:p>
        </w:tc>
      </w:tr>
      <w:tr w:rsidR="009A38B6" w14:paraId="4F6C480D" w14:textId="77777777" w:rsidTr="005A515B">
        <w:trPr>
          <w:trHeight w:val="973"/>
        </w:trPr>
        <w:tc>
          <w:tcPr>
            <w:tcW w:w="4106" w:type="dxa"/>
            <w:vAlign w:val="center"/>
          </w:tcPr>
          <w:p w14:paraId="24153E3E" w14:textId="77777777" w:rsidR="0075681F" w:rsidRDefault="0075681F" w:rsidP="0075681F">
            <w:pPr>
              <w:jc w:val="center"/>
            </w:pPr>
            <w:r>
              <w:t>Warnung vor</w:t>
            </w:r>
          </w:p>
          <w:p w14:paraId="43E11F17" w14:textId="5E019202" w:rsidR="009A38B6" w:rsidRDefault="0075681F" w:rsidP="0075681F">
            <w:pPr>
              <w:jc w:val="center"/>
            </w:pPr>
            <w:r>
              <w:t>ätzenden Stoffen</w:t>
            </w:r>
          </w:p>
        </w:tc>
        <w:tc>
          <w:tcPr>
            <w:tcW w:w="2410" w:type="dxa"/>
            <w:vAlign w:val="center"/>
          </w:tcPr>
          <w:p w14:paraId="2E728BD3" w14:textId="69BC504A" w:rsidR="009A38B6" w:rsidRDefault="001D4F67" w:rsidP="009A38B6">
            <w:pPr>
              <w:jc w:val="center"/>
            </w:pPr>
            <w:r>
              <w:rPr>
                <w:noProof/>
              </w:rPr>
              <w:drawing>
                <wp:inline distT="0" distB="0" distL="0" distR="0" wp14:anchorId="786117B9" wp14:editId="3FD8032D">
                  <wp:extent cx="615600" cy="540000"/>
                  <wp:effectExtent l="0" t="0" r="0" b="0"/>
                  <wp:docPr id="1489779042"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779042" name="Grafik 7"/>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615600" cy="540000"/>
                          </a:xfrm>
                          <a:prstGeom prst="rect">
                            <a:avLst/>
                          </a:prstGeom>
                          <a:noFill/>
                        </pic:spPr>
                      </pic:pic>
                    </a:graphicData>
                  </a:graphic>
                </wp:inline>
              </w:drawing>
            </w:r>
          </w:p>
        </w:tc>
        <w:tc>
          <w:tcPr>
            <w:tcW w:w="2941" w:type="dxa"/>
            <w:vAlign w:val="center"/>
          </w:tcPr>
          <w:p w14:paraId="7B6AE8A7" w14:textId="0B122803" w:rsidR="009A38B6" w:rsidRDefault="0028213B" w:rsidP="009A38B6">
            <w:pPr>
              <w:jc w:val="center"/>
            </w:pPr>
            <w:r>
              <w:t>W023</w:t>
            </w:r>
          </w:p>
        </w:tc>
      </w:tr>
      <w:tr w:rsidR="009A38B6" w14:paraId="3FD51AB1" w14:textId="77777777" w:rsidTr="005A515B">
        <w:trPr>
          <w:trHeight w:val="973"/>
        </w:trPr>
        <w:tc>
          <w:tcPr>
            <w:tcW w:w="4106" w:type="dxa"/>
            <w:vAlign w:val="center"/>
          </w:tcPr>
          <w:p w14:paraId="43B683FB" w14:textId="6B15CFC0" w:rsidR="009A38B6" w:rsidRPr="00225290" w:rsidRDefault="005B0B6A" w:rsidP="009A38B6">
            <w:pPr>
              <w:jc w:val="center"/>
            </w:pPr>
            <w:r w:rsidRPr="005B0B6A">
              <w:t>Schutzschürze benutzen</w:t>
            </w:r>
          </w:p>
        </w:tc>
        <w:tc>
          <w:tcPr>
            <w:tcW w:w="2410" w:type="dxa"/>
            <w:vAlign w:val="center"/>
          </w:tcPr>
          <w:p w14:paraId="4BF20927" w14:textId="40F064B2" w:rsidR="009A38B6" w:rsidRPr="00567722" w:rsidRDefault="00641A0B" w:rsidP="009A38B6">
            <w:pPr>
              <w:jc w:val="center"/>
              <w:rPr>
                <w:noProof/>
              </w:rPr>
            </w:pPr>
            <w:r>
              <w:rPr>
                <w:noProof/>
              </w:rPr>
              <w:drawing>
                <wp:inline distT="0" distB="0" distL="0" distR="0" wp14:anchorId="6153CB71" wp14:editId="66B09287">
                  <wp:extent cx="540000" cy="540000"/>
                  <wp:effectExtent l="0" t="0" r="0" b="0"/>
                  <wp:docPr id="1350334017"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334017" name="Grafik 6"/>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40000" cy="540000"/>
                          </a:xfrm>
                          <a:prstGeom prst="rect">
                            <a:avLst/>
                          </a:prstGeom>
                          <a:noFill/>
                        </pic:spPr>
                      </pic:pic>
                    </a:graphicData>
                  </a:graphic>
                </wp:inline>
              </w:drawing>
            </w:r>
          </w:p>
        </w:tc>
        <w:tc>
          <w:tcPr>
            <w:tcW w:w="2941" w:type="dxa"/>
            <w:vAlign w:val="center"/>
          </w:tcPr>
          <w:p w14:paraId="1F55F643" w14:textId="2BF7421E" w:rsidR="009A38B6" w:rsidRDefault="0028213B" w:rsidP="00423690">
            <w:pPr>
              <w:keepNext/>
              <w:jc w:val="center"/>
            </w:pPr>
            <w:r>
              <w:t>M026</w:t>
            </w:r>
          </w:p>
        </w:tc>
      </w:tr>
    </w:tbl>
    <w:p w14:paraId="405D9376" w14:textId="74F46B0E" w:rsidR="00423690" w:rsidRDefault="00423690">
      <w:pPr>
        <w:pStyle w:val="Beschriftung"/>
      </w:pPr>
      <w:r>
        <w:t xml:space="preserve">Tabelle </w:t>
      </w:r>
      <w:fldSimple w:instr=" SEQ Tabelle \* ARABIC ">
        <w:r>
          <w:rPr>
            <w:noProof/>
          </w:rPr>
          <w:t>2</w:t>
        </w:r>
      </w:fldSimple>
    </w:p>
    <w:p w14:paraId="212A8B9E" w14:textId="6007EBA8" w:rsidR="00090794" w:rsidRPr="00AE6A29" w:rsidRDefault="00AE6A29" w:rsidP="00C728C0">
      <w:pPr>
        <w:rPr>
          <w:rStyle w:val="Fett"/>
        </w:rPr>
      </w:pPr>
      <w:r w:rsidRPr="00AE6A29">
        <w:rPr>
          <w:rStyle w:val="Fett"/>
        </w:rPr>
        <w:lastRenderedPageBreak/>
        <w:t>Räumliche Aufstellung und Beschaffenheit der Böden</w:t>
      </w:r>
    </w:p>
    <w:p w14:paraId="5F0BC7F4" w14:textId="45020E0A" w:rsidR="00C728C0" w:rsidRDefault="00D74F56" w:rsidP="004A08D4">
      <w:pPr>
        <w:jc w:val="both"/>
      </w:pPr>
      <w:r w:rsidRPr="00567722">
        <w:rPr>
          <w:noProof/>
        </w:rPr>
        <w:drawing>
          <wp:anchor distT="0" distB="0" distL="114300" distR="114300" simplePos="0" relativeHeight="251659264" behindDoc="1" locked="0" layoutInCell="1" allowOverlap="1" wp14:anchorId="0C0FDA2D" wp14:editId="7BE494BB">
            <wp:simplePos x="0" y="0"/>
            <wp:positionH relativeFrom="column">
              <wp:posOffset>-5080</wp:posOffset>
            </wp:positionH>
            <wp:positionV relativeFrom="paragraph">
              <wp:posOffset>38100</wp:posOffset>
            </wp:positionV>
            <wp:extent cx="1098550" cy="829945"/>
            <wp:effectExtent l="0" t="0" r="0" b="0"/>
            <wp:wrapSquare wrapText="bothSides"/>
            <wp:docPr id="1254657110" name="Grafik 8" descr="Akku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657110" name="Grafik 1254657110" descr="Akku mit einfarbiger Füllung"/>
                    <pic:cNvPicPr/>
                  </pic:nvPicPr>
                  <pic:blipFill>
                    <a:blip r:embed="rId18">
                      <a:extLst>
                        <a:ext uri="{96DAC541-7B7A-43D3-8B79-37D633B846F1}">
                          <asvg:svgBlip xmlns:asvg="http://schemas.microsoft.com/office/drawing/2016/SVG/main" r:embed="rId19"/>
                        </a:ext>
                      </a:extLst>
                    </a:blip>
                    <a:stretch>
                      <a:fillRect/>
                    </a:stretch>
                  </pic:blipFill>
                  <pic:spPr>
                    <a:xfrm>
                      <a:off x="0" y="0"/>
                      <a:ext cx="1098550" cy="829945"/>
                    </a:xfrm>
                    <a:prstGeom prst="rect">
                      <a:avLst/>
                    </a:prstGeom>
                  </pic:spPr>
                </pic:pic>
              </a:graphicData>
            </a:graphic>
            <wp14:sizeRelH relativeFrom="margin">
              <wp14:pctWidth>0</wp14:pctWidth>
            </wp14:sizeRelH>
            <wp14:sizeRelV relativeFrom="margin">
              <wp14:pctHeight>0</wp14:pctHeight>
            </wp14:sizeRelV>
          </wp:anchor>
        </w:drawing>
      </w:r>
      <w:r w:rsidR="00C728C0">
        <w:t>Batterieanlagen können in separate</w:t>
      </w:r>
      <w:r w:rsidR="00E87D4B">
        <w:t>n</w:t>
      </w:r>
      <w:r w:rsidR="00C728C0">
        <w:t xml:space="preserve"> Räume</w:t>
      </w:r>
      <w:r w:rsidR="00E87D4B">
        <w:t>n</w:t>
      </w:r>
      <w:r w:rsidR="00C728C0">
        <w:t xml:space="preserve"> installiert werden. Ebenso ist es normativ zulässig, dass Akkumulatoren in separate Bereiche von elektrischen Betriebsräumen aufgestellt werden. In beiden Varianten muss der Zutritt geregelt sein. Es dürfen nur befugte Personen Zugang erhalten.</w:t>
      </w:r>
    </w:p>
    <w:p w14:paraId="400EEF26" w14:textId="77777777" w:rsidR="004A08D4" w:rsidRDefault="004A08D4" w:rsidP="004A08D4">
      <w:pPr>
        <w:jc w:val="both"/>
        <w:rPr>
          <w:b/>
          <w:bCs/>
        </w:rPr>
      </w:pPr>
    </w:p>
    <w:p w14:paraId="6202B21B" w14:textId="6A1EF0F6" w:rsidR="00C728C0" w:rsidRDefault="00C728C0" w:rsidP="004A08D4">
      <w:pPr>
        <w:jc w:val="both"/>
      </w:pPr>
      <w:r w:rsidRPr="00E30E0B">
        <w:rPr>
          <w:b/>
          <w:bCs/>
        </w:rPr>
        <w:t>Wichtiger Hinweis zum Begriff „befugte Personen“</w:t>
      </w:r>
      <w:r w:rsidR="00E30E0B" w:rsidRPr="00E30E0B">
        <w:rPr>
          <w:b/>
          <w:bCs/>
        </w:rPr>
        <w:t>:</w:t>
      </w:r>
      <w:r>
        <w:t xml:space="preserve"> Da von elektrischen Anlagen besondere Gefährdungen ausgehen, dürfen abgeschlossene elektrische Betriebsstätten nur von Personen bedient bzw. begangen werden, die über eine ausreichende Qualifikation (Elektrofachkräfte oder elektrotechnisch unterwiesene Personen) verfügen. </w:t>
      </w:r>
    </w:p>
    <w:p w14:paraId="52EBD5D5" w14:textId="77777777" w:rsidR="004E0054" w:rsidRDefault="004E0054" w:rsidP="004A08D4">
      <w:pPr>
        <w:jc w:val="both"/>
      </w:pPr>
    </w:p>
    <w:p w14:paraId="35553C5F" w14:textId="7881C2C2" w:rsidR="00C728C0" w:rsidRDefault="00C728C0" w:rsidP="004A08D4">
      <w:pPr>
        <w:jc w:val="both"/>
      </w:pPr>
      <w:r>
        <w:t>Sind die Zugangstüren dieser Betriebsstätten verschließbar, so muss ein Fluchtsystem jederzeit die Entfluchtung von innen nach außen gewährleisten.</w:t>
      </w:r>
      <w:r w:rsidR="004A08D4">
        <w:t xml:space="preserve"> </w:t>
      </w:r>
      <w:r>
        <w:t>Die Mischungen von Batterieanlagen sind zu vermeiden, um die Verwechselung der Instandhaltungswerkzeuge und Kreuzkontaminationen auszuschließen.</w:t>
      </w:r>
    </w:p>
    <w:p w14:paraId="42E7F9AB" w14:textId="77777777" w:rsidR="004E0054" w:rsidRDefault="004E0054" w:rsidP="004A08D4">
      <w:pPr>
        <w:jc w:val="both"/>
      </w:pPr>
    </w:p>
    <w:p w14:paraId="21F9C5E1" w14:textId="6E3064A0" w:rsidR="00C728C0" w:rsidRDefault="00C728C0" w:rsidP="004A08D4">
      <w:pPr>
        <w:jc w:val="both"/>
      </w:pPr>
      <w:r>
        <w:t>Der Raum für Batterieanlagen muss ausreichend Arbeitsraum zu Wartungs- oder Instandhaltungsarbeiten unter Spannung aber auch zu Justier- u</w:t>
      </w:r>
      <w:r w:rsidR="005A515B">
        <w:t>nd</w:t>
      </w:r>
      <w:r>
        <w:t xml:space="preserve"> Untersuchungszwecken aufweisen.</w:t>
      </w:r>
    </w:p>
    <w:p w14:paraId="425DCAEA" w14:textId="77777777" w:rsidR="004E0054" w:rsidRDefault="004E0054" w:rsidP="004A08D4">
      <w:pPr>
        <w:jc w:val="both"/>
      </w:pPr>
    </w:p>
    <w:p w14:paraId="06291984" w14:textId="77777777" w:rsidR="00C728C0" w:rsidRDefault="00C728C0" w:rsidP="004A08D4">
      <w:pPr>
        <w:jc w:val="both"/>
      </w:pPr>
      <w:r>
        <w:t xml:space="preserve">Es können die folgenden Arten von Aufstellorten gewählt werden: </w:t>
      </w:r>
    </w:p>
    <w:p w14:paraId="71C48915" w14:textId="04AB34A5" w:rsidR="00C728C0" w:rsidRDefault="00C728C0">
      <w:pPr>
        <w:pStyle w:val="Listenabsatz"/>
        <w:numPr>
          <w:ilvl w:val="0"/>
          <w:numId w:val="1"/>
        </w:numPr>
        <w:ind w:left="426"/>
        <w:jc w:val="both"/>
      </w:pPr>
      <w:r>
        <w:t xml:space="preserve">Getrennte Räume für Batterien innerhalb von Gebäuden; </w:t>
      </w:r>
    </w:p>
    <w:p w14:paraId="1BCBEA4F" w14:textId="4AC092BF" w:rsidR="00C728C0" w:rsidRDefault="00C728C0">
      <w:pPr>
        <w:pStyle w:val="Listenabsatz"/>
        <w:numPr>
          <w:ilvl w:val="0"/>
          <w:numId w:val="1"/>
        </w:numPr>
        <w:ind w:left="426"/>
        <w:jc w:val="both"/>
      </w:pPr>
      <w:r>
        <w:t xml:space="preserve">Speziell abgetrennte Bereiche in elektrischen Betriebsstätten; </w:t>
      </w:r>
    </w:p>
    <w:p w14:paraId="78E89FF4" w14:textId="77030704" w:rsidR="00C728C0" w:rsidRDefault="00C728C0">
      <w:pPr>
        <w:pStyle w:val="Listenabsatz"/>
        <w:numPr>
          <w:ilvl w:val="0"/>
          <w:numId w:val="1"/>
        </w:numPr>
        <w:ind w:left="426"/>
        <w:jc w:val="both"/>
      </w:pPr>
      <w:r>
        <w:t xml:space="preserve">Schränke oder Gehäuse innerhalb oder außerhalb von Gebäuden; </w:t>
      </w:r>
    </w:p>
    <w:p w14:paraId="0F4D49E1" w14:textId="2A063383" w:rsidR="00C728C0" w:rsidRDefault="00C728C0">
      <w:pPr>
        <w:pStyle w:val="Listenabsatz"/>
        <w:numPr>
          <w:ilvl w:val="0"/>
          <w:numId w:val="1"/>
        </w:numPr>
        <w:ind w:left="426"/>
        <w:jc w:val="both"/>
      </w:pPr>
      <w:r>
        <w:t>Batteriefächer in Anwendungen (z. B. innerhalb von Schaltschränken).</w:t>
      </w:r>
    </w:p>
    <w:p w14:paraId="29C05F5E" w14:textId="77777777" w:rsidR="004E0054" w:rsidRDefault="004E0054" w:rsidP="004A08D4">
      <w:pPr>
        <w:jc w:val="both"/>
      </w:pPr>
    </w:p>
    <w:p w14:paraId="2318087E" w14:textId="77777777" w:rsidR="00C728C0" w:rsidRDefault="00C728C0" w:rsidP="004A08D4">
      <w:pPr>
        <w:jc w:val="both"/>
      </w:pPr>
      <w:r>
        <w:t xml:space="preserve">Schutzfaktoren müssen bei der Auswahl berücksichtigt werden. Schutz gegen: </w:t>
      </w:r>
    </w:p>
    <w:p w14:paraId="6C0A95C0" w14:textId="5DA04254" w:rsidR="00C728C0" w:rsidRDefault="00C728C0">
      <w:pPr>
        <w:pStyle w:val="Listenabsatz"/>
        <w:numPr>
          <w:ilvl w:val="0"/>
          <w:numId w:val="1"/>
        </w:numPr>
        <w:ind w:left="426"/>
        <w:jc w:val="both"/>
      </w:pPr>
      <w:r>
        <w:t xml:space="preserve">Äußere Gefährdungen z. B. Feuer, Wasser, Stoß, Schwingung, Ungezieferbefall; </w:t>
      </w:r>
    </w:p>
    <w:p w14:paraId="6D1FC7A1" w14:textId="145850CC" w:rsidR="00C728C0" w:rsidRDefault="00C728C0">
      <w:pPr>
        <w:pStyle w:val="Listenabsatz"/>
        <w:numPr>
          <w:ilvl w:val="0"/>
          <w:numId w:val="1"/>
        </w:numPr>
        <w:ind w:left="426"/>
        <w:jc w:val="both"/>
      </w:pPr>
      <w:r>
        <w:t xml:space="preserve">Gefährdungen, die von der Batterie ausgehen, z.B. hohe Spannung, </w:t>
      </w:r>
    </w:p>
    <w:p w14:paraId="773A6671" w14:textId="5EEBEA40" w:rsidR="00C728C0" w:rsidRDefault="00C728C0">
      <w:pPr>
        <w:pStyle w:val="Listenabsatz"/>
        <w:numPr>
          <w:ilvl w:val="0"/>
          <w:numId w:val="1"/>
        </w:numPr>
        <w:ind w:left="426"/>
        <w:jc w:val="both"/>
      </w:pPr>
      <w:r>
        <w:t xml:space="preserve">Gefährdungen durch Elektrolyte, Korrosion und Erdschlusswirkungen; </w:t>
      </w:r>
    </w:p>
    <w:p w14:paraId="1679001A" w14:textId="5230D261" w:rsidR="00C728C0" w:rsidRDefault="00C728C0">
      <w:pPr>
        <w:pStyle w:val="Listenabsatz"/>
        <w:numPr>
          <w:ilvl w:val="0"/>
          <w:numId w:val="1"/>
        </w:numPr>
        <w:ind w:left="426"/>
        <w:jc w:val="both"/>
      </w:pPr>
      <w:r>
        <w:t>Extreme Umwelteinflüsse, z. B. Temperatur, Feuchte, Luftverschmutzung;</w:t>
      </w:r>
    </w:p>
    <w:p w14:paraId="3B05B372" w14:textId="21DDC72D" w:rsidR="00C728C0" w:rsidRDefault="00C728C0">
      <w:pPr>
        <w:pStyle w:val="Listenabsatz"/>
        <w:numPr>
          <w:ilvl w:val="0"/>
          <w:numId w:val="1"/>
        </w:numPr>
        <w:ind w:left="426"/>
        <w:jc w:val="both"/>
      </w:pPr>
      <w:r>
        <w:t>In unmittelbarer Umgebung der Batterien sind funkenbildende Arbeiten und die</w:t>
      </w:r>
      <w:r w:rsidR="00405CC9">
        <w:t xml:space="preserve"> </w:t>
      </w:r>
      <w:r>
        <w:t>Verwendung von Geräten mit heißen Oberflächen untersagt;</w:t>
      </w:r>
    </w:p>
    <w:p w14:paraId="64C1F99F" w14:textId="42032E7B" w:rsidR="00C728C0" w:rsidRDefault="00C728C0">
      <w:pPr>
        <w:pStyle w:val="Listenabsatz"/>
        <w:numPr>
          <w:ilvl w:val="0"/>
          <w:numId w:val="1"/>
        </w:numPr>
        <w:ind w:left="426"/>
        <w:jc w:val="both"/>
      </w:pPr>
      <w:r>
        <w:t>Explosionsgefährdungen durch Ausgasen.</w:t>
      </w:r>
    </w:p>
    <w:p w14:paraId="7502BBA2" w14:textId="77777777" w:rsidR="00405CC9" w:rsidRDefault="00405CC9" w:rsidP="004A08D4">
      <w:pPr>
        <w:jc w:val="both"/>
      </w:pPr>
    </w:p>
    <w:p w14:paraId="00924778" w14:textId="6D7D2509" w:rsidR="00C728C0" w:rsidRDefault="00C728C0" w:rsidP="004A08D4">
      <w:pPr>
        <w:jc w:val="both"/>
      </w:pPr>
      <w:r>
        <w:t>Es ergeben sich daraus folgende Anforderungen an den Boden am Aufstellort:</w:t>
      </w:r>
    </w:p>
    <w:p w14:paraId="06CC7FFE" w14:textId="0945A834" w:rsidR="00C728C0" w:rsidRDefault="00C728C0">
      <w:pPr>
        <w:pStyle w:val="Listenabsatz"/>
        <w:numPr>
          <w:ilvl w:val="0"/>
          <w:numId w:val="1"/>
        </w:numPr>
        <w:ind w:left="426"/>
        <w:jc w:val="both"/>
      </w:pPr>
      <w:r>
        <w:t>Der Boden muss die Last tragen können und eine Reserve der Traglast für Erweiterungen ist einzuplanen;</w:t>
      </w:r>
    </w:p>
    <w:p w14:paraId="6E56EBFE" w14:textId="2831FDBE" w:rsidR="00C728C0" w:rsidRDefault="00C728C0">
      <w:pPr>
        <w:pStyle w:val="Listenabsatz"/>
        <w:numPr>
          <w:ilvl w:val="0"/>
          <w:numId w:val="1"/>
        </w:numPr>
        <w:ind w:left="426"/>
        <w:jc w:val="both"/>
      </w:pPr>
      <w:r>
        <w:t>Bei geschlossenen Batterien muss der Boden undurchlässig und chemisch resistent sein oder die Zellen müssen sich in geeigneten Wannen befinden;</w:t>
      </w:r>
    </w:p>
    <w:p w14:paraId="79C2BCBA" w14:textId="5CC0849A" w:rsidR="009501E6" w:rsidRDefault="00C728C0">
      <w:pPr>
        <w:pStyle w:val="Listenabsatz"/>
        <w:numPr>
          <w:ilvl w:val="0"/>
          <w:numId w:val="1"/>
        </w:numPr>
        <w:ind w:left="426"/>
        <w:jc w:val="both"/>
      </w:pPr>
      <w:r>
        <w:t>Der Boden muss elektrostatisch ableitend sein. Dabei ist der ableitfähige Widerstand R formal nach den Bedingungen ≤ 500V DV ≤ R ≤ 10 MΩ einzuhalten.</w:t>
      </w:r>
    </w:p>
    <w:p w14:paraId="613F2B78" w14:textId="77777777" w:rsidR="00405CC9" w:rsidRDefault="00405CC9" w:rsidP="004A08D4">
      <w:pPr>
        <w:jc w:val="both"/>
      </w:pPr>
    </w:p>
    <w:p w14:paraId="3B2C264B" w14:textId="77777777" w:rsidR="00950EEB" w:rsidRDefault="00950EEB" w:rsidP="004A08D4">
      <w:pPr>
        <w:jc w:val="both"/>
      </w:pPr>
      <w:r>
        <w:lastRenderedPageBreak/>
        <w:t>Spezifische Anforderungen bei Aufstellungen in speziellen abgetrennten Bereichen sind:</w:t>
      </w:r>
    </w:p>
    <w:p w14:paraId="27C5EBAE" w14:textId="37954727" w:rsidR="00950EEB" w:rsidRDefault="00950EEB">
      <w:pPr>
        <w:pStyle w:val="Listenabsatz"/>
        <w:numPr>
          <w:ilvl w:val="0"/>
          <w:numId w:val="1"/>
        </w:numPr>
        <w:ind w:left="426"/>
        <w:jc w:val="both"/>
      </w:pPr>
      <w:r>
        <w:t>Eine Auffangwanne, die mindestens das Elektrolyt einer Zelle oder einer Blockbatterie aufnehmen kann, ist zu verwenden;</w:t>
      </w:r>
    </w:p>
    <w:p w14:paraId="6EEF4348" w14:textId="179DC3A2" w:rsidR="00950EEB" w:rsidRDefault="00950EEB">
      <w:pPr>
        <w:pStyle w:val="Listenabsatz"/>
        <w:numPr>
          <w:ilvl w:val="0"/>
          <w:numId w:val="1"/>
        </w:numPr>
        <w:ind w:left="426"/>
        <w:jc w:val="both"/>
      </w:pPr>
      <w:r>
        <w:t>Warn- u. Verbotsschilder sind in der Nähe der Batterien anzubringen (siehe Tabelle 1);</w:t>
      </w:r>
    </w:p>
    <w:p w14:paraId="6BF50F86" w14:textId="4A00C5FF" w:rsidR="00950EEB" w:rsidRDefault="00950EEB">
      <w:pPr>
        <w:pStyle w:val="Listenabsatz"/>
        <w:numPr>
          <w:ilvl w:val="0"/>
          <w:numId w:val="1"/>
        </w:numPr>
        <w:ind w:left="426"/>
        <w:jc w:val="both"/>
      </w:pPr>
      <w:r>
        <w:t>Maßnahmen gegen elektrischen Schlag sind einzuhalten;</w:t>
      </w:r>
    </w:p>
    <w:p w14:paraId="336176F3" w14:textId="306C2CFA" w:rsidR="00950EEB" w:rsidRDefault="00950EEB">
      <w:pPr>
        <w:pStyle w:val="Listenabsatz"/>
        <w:numPr>
          <w:ilvl w:val="0"/>
          <w:numId w:val="1"/>
        </w:numPr>
        <w:ind w:left="426"/>
        <w:jc w:val="both"/>
      </w:pPr>
      <w:r>
        <w:t>Vorkehrungen gegen Explosionsgefahr sind zu treffen;</w:t>
      </w:r>
    </w:p>
    <w:p w14:paraId="1D02CC6E" w14:textId="4C6E95AD" w:rsidR="00D74F56" w:rsidRDefault="00950EEB">
      <w:pPr>
        <w:pStyle w:val="Listenabsatz"/>
        <w:numPr>
          <w:ilvl w:val="0"/>
          <w:numId w:val="1"/>
        </w:numPr>
        <w:ind w:left="426"/>
        <w:jc w:val="both"/>
      </w:pPr>
      <w:r>
        <w:t>Trotz Klimatisierung ist ein Frischluftanteil sicherzustellen, der die Wasserstoffkonzentration von ≤ 4% H² in der Atmosphäre unterschreitet.</w:t>
      </w:r>
    </w:p>
    <w:p w14:paraId="3C7AC8AB" w14:textId="77777777" w:rsidR="00950EEB" w:rsidRDefault="00950EEB" w:rsidP="004A08D4">
      <w:pPr>
        <w:jc w:val="both"/>
      </w:pPr>
    </w:p>
    <w:p w14:paraId="693A1E99" w14:textId="411600CE" w:rsidR="00D368BD" w:rsidRPr="00AE6A29" w:rsidRDefault="00101D66" w:rsidP="004A08D4">
      <w:pPr>
        <w:jc w:val="both"/>
        <w:rPr>
          <w:rStyle w:val="Fett"/>
        </w:rPr>
      </w:pPr>
      <w:r w:rsidRPr="00AE6A29">
        <w:rPr>
          <w:rStyle w:val="Fett"/>
        </w:rPr>
        <w:t>Lüftung und Explosionsgefahr</w:t>
      </w:r>
    </w:p>
    <w:p w14:paraId="1C37E85F" w14:textId="3DE3DA4A" w:rsidR="0078555E" w:rsidRDefault="0078555E" w:rsidP="004A08D4">
      <w:pPr>
        <w:jc w:val="both"/>
      </w:pPr>
      <w:r>
        <w:t xml:space="preserve">Aufgrund der elektrolytischen Zersetzung, die zumeist gegen Ende des Ladungsprozesses von Batterien eintritt, entstehen Ausgasungen von Wasserstoff. Wasserstoff und Umgebungssauerstoff bilden dabei ein Gasgemisch. Diese Gaswolke kann beim Vorhandensein einer geeigneten Zündquelle eine explosionsfähige Atmosphäre darstellen. Die untere Explosionsgrenze (UEG) darf dabei nicht überschritten werden und es sind Abstände von funkenbildenden Systemen zu den Batterieanlagen einzuhalten. </w:t>
      </w:r>
    </w:p>
    <w:p w14:paraId="79E1DBE1" w14:textId="77777777" w:rsidR="00D368BD" w:rsidRDefault="00D368BD" w:rsidP="004A08D4">
      <w:pPr>
        <w:jc w:val="both"/>
      </w:pPr>
    </w:p>
    <w:p w14:paraId="27DA4973" w14:textId="6C15239F" w:rsidR="0078555E" w:rsidRDefault="0078555E" w:rsidP="004A08D4">
      <w:pPr>
        <w:jc w:val="both"/>
      </w:pPr>
      <w:r>
        <w:t xml:space="preserve">Eine Entlüftung muss außerhalb des Gebäudes in die Atmosphäre erfolgen. Die Anordnungen der </w:t>
      </w:r>
      <w:proofErr w:type="spellStart"/>
      <w:r>
        <w:t>Zulufteinlässe</w:t>
      </w:r>
      <w:proofErr w:type="spellEnd"/>
      <w:r>
        <w:t xml:space="preserve"> und der Abluftöffnungen sind dabei so zu wählen, dass ein Luftaustausch im Raum gewährleistet wird. Die Lüftung kann auf natürlichem Weg den Luftwechsel sicherstellen oder mit einer technischen Zwangslüftung erfolgen. Ist die technische Lösung installiert, so muss z. B. ein Strömungssensor die Funktion „Belüftung“ überwachen. Der Ausfall der Zwangslüftung muss an ei-ne besetzte Stelle gemeldet werden, um der Bildung einer gefährlichen explosionsfähigen Wolke entgegenwirken zu können. </w:t>
      </w:r>
    </w:p>
    <w:p w14:paraId="3DBF5B19" w14:textId="77777777" w:rsidR="00D368BD" w:rsidRDefault="00D368BD" w:rsidP="004A08D4">
      <w:pPr>
        <w:jc w:val="both"/>
      </w:pPr>
    </w:p>
    <w:p w14:paraId="7C407872" w14:textId="020473F7" w:rsidR="0078555E" w:rsidRDefault="0078555E" w:rsidP="004A08D4">
      <w:pPr>
        <w:jc w:val="both"/>
      </w:pPr>
      <w:r>
        <w:t xml:space="preserve">Die Forderung nach Belüftung gemäß DIN EN IEC 62485-2 (VDE 0510-485-2): 2019-04 sind im Ab-schnitt 7.2 und im Anhang B (informativ) beschrieben. Dort finden sich die Gleichungen zur Berechnung, um die o. g. 4% UEG einzuhalten und somit Maßnahmen gegen Explosionsgefahr zu treffen. Das gilt für alle Batteriebauarten, auch für verschlossene Batterien, die fälschlicherweise auch als gasdicht bezeichnet werden. </w:t>
      </w:r>
    </w:p>
    <w:p w14:paraId="0C128779" w14:textId="77777777" w:rsidR="00D368BD" w:rsidRDefault="00D368BD" w:rsidP="004A08D4">
      <w:pPr>
        <w:jc w:val="both"/>
      </w:pPr>
    </w:p>
    <w:p w14:paraId="59D40B4D" w14:textId="7116A05A" w:rsidR="00C16826" w:rsidRPr="007E5C54" w:rsidRDefault="0078555E" w:rsidP="004A08D4">
      <w:pPr>
        <w:jc w:val="both"/>
      </w:pPr>
      <w:r>
        <w:t>Die Wahrscheinlichkeit, dass sich eine zündfähige Atmosphäre bilden kann, ist gegeben und so müssen nach dem TOP-Prinzip (Technisch/Organisatorisch/Persönlich) Gegenmaßnahmen wie z. B. die erhöhte Luftwechselrate in der Umgebung von Batterieanlagen, wie oben beschrieben er-folgen. Mit weiteren Maßnahmen aus der Gefährdungsbeurteilung für diesen Arbeitsplatz, können so die Gefährdungen erheblich reduziert werden.</w:t>
      </w:r>
    </w:p>
    <w:sectPr w:rsidR="00C16826" w:rsidRPr="007E5C54" w:rsidSect="00C445A6">
      <w:headerReference w:type="default" r:id="rId20"/>
      <w:footerReference w:type="default" r:id="rId21"/>
      <w:pgSz w:w="11906" w:h="16838"/>
      <w:pgMar w:top="1418" w:right="1021" w:bottom="567"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4E473" w14:textId="77777777" w:rsidR="0050153B" w:rsidRDefault="0050153B">
      <w:r>
        <w:separator/>
      </w:r>
    </w:p>
  </w:endnote>
  <w:endnote w:type="continuationSeparator" w:id="0">
    <w:p w14:paraId="01718774" w14:textId="77777777" w:rsidR="0050153B" w:rsidRDefault="00501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ヒラギノ角ゴ Pro W3">
    <w:altName w:val="Yu Gothic"/>
    <w:charset w:val="80"/>
    <w:family w:val="auto"/>
    <w:pitch w:val="variable"/>
    <w:sig w:usb0="00000000" w:usb1="7AC7FFFF" w:usb2="00000012" w:usb3="00000000" w:csb0="0002000D" w:csb1="00000000"/>
  </w:font>
  <w:font w:name="DGUV Meta-Normal">
    <w:altName w:val="DGUV Meta-Normal"/>
    <w:panose1 w:val="00000000000000000000"/>
    <w:charset w:val="00"/>
    <w:family w:val="swiss"/>
    <w:notTrueType/>
    <w:pitch w:val="default"/>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1280E" w14:textId="1A664579" w:rsidR="009639CA" w:rsidRDefault="009639CA" w:rsidP="00CD575C">
    <w:pPr>
      <w:pStyle w:val="Fuzeile"/>
      <w:tabs>
        <w:tab w:val="clear" w:pos="4536"/>
        <w:tab w:val="center" w:pos="5220"/>
      </w:tabs>
      <w:rPr>
        <w:sz w:val="16"/>
        <w:szCs w:val="16"/>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1113"/>
      <w:gridCol w:w="1114"/>
      <w:gridCol w:w="1114"/>
      <w:gridCol w:w="1114"/>
      <w:gridCol w:w="1114"/>
      <w:gridCol w:w="1114"/>
      <w:gridCol w:w="1114"/>
    </w:tblGrid>
    <w:tr w:rsidR="004F0DC2" w:rsidRPr="004C1C05" w14:paraId="5F239479" w14:textId="77777777" w:rsidTr="001B5CEE">
      <w:trPr>
        <w:trHeight w:val="240"/>
      </w:trPr>
      <w:tc>
        <w:tcPr>
          <w:tcW w:w="1814" w:type="dxa"/>
          <w:vAlign w:val="center"/>
        </w:tcPr>
        <w:p w14:paraId="268D0CFF" w14:textId="77777777" w:rsidR="004F0DC2" w:rsidRPr="004C1C05" w:rsidRDefault="004F0DC2" w:rsidP="004F0DC2">
          <w:pPr>
            <w:pStyle w:val="Fuzeile"/>
            <w:ind w:right="-83"/>
            <w:rPr>
              <w:sz w:val="16"/>
              <w:szCs w:val="16"/>
            </w:rPr>
          </w:pPr>
          <w:r w:rsidRPr="004C1C05">
            <w:rPr>
              <w:sz w:val="16"/>
              <w:szCs w:val="16"/>
            </w:rPr>
            <w:t>Ausgabe/Revision:</w:t>
          </w:r>
        </w:p>
      </w:tc>
      <w:tc>
        <w:tcPr>
          <w:tcW w:w="1113" w:type="dxa"/>
          <w:vAlign w:val="center"/>
        </w:tcPr>
        <w:p w14:paraId="0C3866EF" w14:textId="3AC9687B" w:rsidR="004F0DC2" w:rsidRPr="004C1C05" w:rsidRDefault="001B003D" w:rsidP="004F0DC2">
          <w:pPr>
            <w:pStyle w:val="Fuzeile"/>
            <w:ind w:right="-83"/>
            <w:rPr>
              <w:sz w:val="16"/>
              <w:szCs w:val="16"/>
            </w:rPr>
          </w:pPr>
          <w:r>
            <w:rPr>
              <w:sz w:val="16"/>
              <w:szCs w:val="16"/>
            </w:rPr>
            <w:t>0.</w:t>
          </w:r>
          <w:r w:rsidR="00571C17">
            <w:rPr>
              <w:sz w:val="16"/>
              <w:szCs w:val="16"/>
            </w:rPr>
            <w:t>1</w:t>
          </w:r>
        </w:p>
      </w:tc>
      <w:tc>
        <w:tcPr>
          <w:tcW w:w="1114" w:type="dxa"/>
          <w:vAlign w:val="center"/>
        </w:tcPr>
        <w:p w14:paraId="6AD19F8F" w14:textId="44627ABC" w:rsidR="004F0DC2" w:rsidRPr="004C1C05" w:rsidRDefault="004F0DC2" w:rsidP="004F0DC2">
          <w:pPr>
            <w:pStyle w:val="Fuzeile"/>
            <w:ind w:right="-83"/>
            <w:rPr>
              <w:sz w:val="16"/>
              <w:szCs w:val="16"/>
            </w:rPr>
          </w:pPr>
        </w:p>
      </w:tc>
      <w:tc>
        <w:tcPr>
          <w:tcW w:w="1114" w:type="dxa"/>
          <w:vAlign w:val="center"/>
        </w:tcPr>
        <w:p w14:paraId="06E32EC2" w14:textId="27238250" w:rsidR="004F0DC2" w:rsidRPr="004C1C05" w:rsidRDefault="004F0DC2" w:rsidP="004F0DC2">
          <w:pPr>
            <w:pStyle w:val="Fuzeile"/>
            <w:ind w:right="-83"/>
            <w:rPr>
              <w:sz w:val="16"/>
              <w:szCs w:val="16"/>
            </w:rPr>
          </w:pPr>
        </w:p>
      </w:tc>
      <w:tc>
        <w:tcPr>
          <w:tcW w:w="1114" w:type="dxa"/>
          <w:vAlign w:val="center"/>
        </w:tcPr>
        <w:p w14:paraId="54857B0D" w14:textId="77777777" w:rsidR="004F0DC2" w:rsidRPr="004C1C05" w:rsidRDefault="004F0DC2" w:rsidP="004F0DC2">
          <w:pPr>
            <w:pStyle w:val="Fuzeile"/>
            <w:ind w:right="-83"/>
            <w:rPr>
              <w:sz w:val="16"/>
              <w:szCs w:val="16"/>
            </w:rPr>
          </w:pPr>
        </w:p>
      </w:tc>
      <w:tc>
        <w:tcPr>
          <w:tcW w:w="1114" w:type="dxa"/>
          <w:vAlign w:val="center"/>
        </w:tcPr>
        <w:p w14:paraId="1FCE92DE" w14:textId="77777777" w:rsidR="004F0DC2" w:rsidRPr="004C1C05" w:rsidRDefault="004F0DC2" w:rsidP="004F0DC2">
          <w:pPr>
            <w:pStyle w:val="Fuzeile"/>
            <w:ind w:right="-83"/>
            <w:rPr>
              <w:sz w:val="16"/>
              <w:szCs w:val="16"/>
            </w:rPr>
          </w:pPr>
        </w:p>
      </w:tc>
      <w:tc>
        <w:tcPr>
          <w:tcW w:w="1114" w:type="dxa"/>
          <w:vAlign w:val="center"/>
        </w:tcPr>
        <w:p w14:paraId="52E50CC3" w14:textId="77777777" w:rsidR="004F0DC2" w:rsidRPr="004C1C05" w:rsidRDefault="004F0DC2" w:rsidP="004F0DC2">
          <w:pPr>
            <w:pStyle w:val="Fuzeile"/>
            <w:ind w:right="-83"/>
            <w:rPr>
              <w:sz w:val="16"/>
              <w:szCs w:val="16"/>
            </w:rPr>
          </w:pPr>
          <w:r w:rsidRPr="004C1C05">
            <w:rPr>
              <w:sz w:val="16"/>
              <w:szCs w:val="16"/>
            </w:rPr>
            <w:t>Seite:</w:t>
          </w:r>
        </w:p>
      </w:tc>
      <w:tc>
        <w:tcPr>
          <w:tcW w:w="1114" w:type="dxa"/>
          <w:vAlign w:val="center"/>
        </w:tcPr>
        <w:p w14:paraId="382784EF" w14:textId="77777777" w:rsidR="004F0DC2" w:rsidRPr="004C1C05" w:rsidRDefault="004F0DC2" w:rsidP="004F0DC2">
          <w:pPr>
            <w:pStyle w:val="Fuzeile"/>
            <w:ind w:right="-83"/>
            <w:rPr>
              <w:sz w:val="16"/>
              <w:szCs w:val="16"/>
            </w:rPr>
          </w:pPr>
          <w:r w:rsidRPr="004C1C05">
            <w:rPr>
              <w:sz w:val="16"/>
              <w:szCs w:val="16"/>
            </w:rPr>
            <w:fldChar w:fldCharType="begin"/>
          </w:r>
          <w:r w:rsidRPr="004C1C05">
            <w:rPr>
              <w:sz w:val="16"/>
              <w:szCs w:val="16"/>
            </w:rPr>
            <w:instrText xml:space="preserve"> PAGE  \* Arabic  \* MERGEFORMAT </w:instrText>
          </w:r>
          <w:r w:rsidRPr="004C1C05">
            <w:rPr>
              <w:sz w:val="16"/>
              <w:szCs w:val="16"/>
            </w:rPr>
            <w:fldChar w:fldCharType="separate"/>
          </w:r>
          <w:r>
            <w:rPr>
              <w:sz w:val="16"/>
              <w:szCs w:val="16"/>
            </w:rPr>
            <w:t>1</w:t>
          </w:r>
          <w:r w:rsidRPr="004C1C05">
            <w:rPr>
              <w:sz w:val="16"/>
              <w:szCs w:val="16"/>
            </w:rPr>
            <w:fldChar w:fldCharType="end"/>
          </w:r>
          <w:r w:rsidRPr="004C1C05">
            <w:rPr>
              <w:sz w:val="16"/>
              <w:szCs w:val="16"/>
            </w:rPr>
            <w:t xml:space="preserve"> von </w:t>
          </w:r>
          <w:r w:rsidRPr="004C1C05">
            <w:rPr>
              <w:sz w:val="16"/>
              <w:szCs w:val="16"/>
            </w:rPr>
            <w:fldChar w:fldCharType="begin"/>
          </w:r>
          <w:r w:rsidRPr="004C1C05">
            <w:rPr>
              <w:sz w:val="16"/>
              <w:szCs w:val="16"/>
            </w:rPr>
            <w:instrText xml:space="preserve"> NUMPAGES  \* Arabic  \* MERGEFORMAT </w:instrText>
          </w:r>
          <w:r w:rsidRPr="004C1C05">
            <w:rPr>
              <w:sz w:val="16"/>
              <w:szCs w:val="16"/>
            </w:rPr>
            <w:fldChar w:fldCharType="separate"/>
          </w:r>
          <w:r>
            <w:rPr>
              <w:sz w:val="16"/>
              <w:szCs w:val="16"/>
            </w:rPr>
            <w:t>5</w:t>
          </w:r>
          <w:r w:rsidRPr="004C1C05">
            <w:rPr>
              <w:sz w:val="16"/>
              <w:szCs w:val="16"/>
            </w:rPr>
            <w:fldChar w:fldCharType="end"/>
          </w:r>
        </w:p>
      </w:tc>
    </w:tr>
    <w:tr w:rsidR="00413A01" w:rsidRPr="004C1C05" w14:paraId="2A3C2017" w14:textId="77777777" w:rsidTr="001B5CEE">
      <w:tc>
        <w:tcPr>
          <w:tcW w:w="1814" w:type="dxa"/>
          <w:vAlign w:val="center"/>
        </w:tcPr>
        <w:p w14:paraId="7303C304" w14:textId="77777777" w:rsidR="00413A01" w:rsidRPr="004C1C05" w:rsidRDefault="00413A01" w:rsidP="00413A01">
          <w:pPr>
            <w:pStyle w:val="Fuzeile"/>
            <w:ind w:right="-83"/>
            <w:rPr>
              <w:sz w:val="16"/>
              <w:szCs w:val="16"/>
            </w:rPr>
          </w:pPr>
          <w:r w:rsidRPr="004C1C05">
            <w:rPr>
              <w:sz w:val="16"/>
              <w:szCs w:val="16"/>
            </w:rPr>
            <w:t>Datum:</w:t>
          </w:r>
        </w:p>
      </w:tc>
      <w:tc>
        <w:tcPr>
          <w:tcW w:w="1113" w:type="dxa"/>
          <w:vAlign w:val="center"/>
        </w:tcPr>
        <w:p w14:paraId="725D6138" w14:textId="661629EE" w:rsidR="00413A01" w:rsidRPr="004C1C05" w:rsidRDefault="006C0D69" w:rsidP="00413A01">
          <w:pPr>
            <w:pStyle w:val="Fuzeile"/>
            <w:ind w:right="-83"/>
            <w:rPr>
              <w:sz w:val="16"/>
              <w:szCs w:val="16"/>
            </w:rPr>
          </w:pPr>
          <w:r>
            <w:rPr>
              <w:sz w:val="16"/>
              <w:szCs w:val="16"/>
            </w:rPr>
            <w:t>0</w:t>
          </w:r>
          <w:r w:rsidR="00EC113C">
            <w:rPr>
              <w:sz w:val="16"/>
              <w:szCs w:val="16"/>
            </w:rPr>
            <w:t>3</w:t>
          </w:r>
          <w:r w:rsidR="00413A01">
            <w:rPr>
              <w:sz w:val="16"/>
              <w:szCs w:val="16"/>
            </w:rPr>
            <w:t>.202</w:t>
          </w:r>
          <w:r w:rsidR="00D62BC3">
            <w:rPr>
              <w:sz w:val="16"/>
              <w:szCs w:val="16"/>
            </w:rPr>
            <w:t>5</w:t>
          </w:r>
        </w:p>
      </w:tc>
      <w:tc>
        <w:tcPr>
          <w:tcW w:w="1114" w:type="dxa"/>
          <w:vAlign w:val="center"/>
        </w:tcPr>
        <w:p w14:paraId="0367896C" w14:textId="110B6819" w:rsidR="00413A01" w:rsidRPr="004C1C05" w:rsidRDefault="00413A01" w:rsidP="00413A01">
          <w:pPr>
            <w:pStyle w:val="Fuzeile"/>
            <w:ind w:right="-83"/>
            <w:rPr>
              <w:sz w:val="16"/>
              <w:szCs w:val="16"/>
            </w:rPr>
          </w:pPr>
        </w:p>
      </w:tc>
      <w:tc>
        <w:tcPr>
          <w:tcW w:w="1114" w:type="dxa"/>
          <w:vAlign w:val="center"/>
        </w:tcPr>
        <w:p w14:paraId="360FB340" w14:textId="117B4F1D" w:rsidR="00413A01" w:rsidRPr="004C1C05" w:rsidRDefault="00413A01" w:rsidP="00413A01">
          <w:pPr>
            <w:pStyle w:val="Fuzeile"/>
            <w:ind w:right="-83"/>
            <w:rPr>
              <w:sz w:val="16"/>
              <w:szCs w:val="16"/>
            </w:rPr>
          </w:pPr>
        </w:p>
      </w:tc>
      <w:tc>
        <w:tcPr>
          <w:tcW w:w="1114" w:type="dxa"/>
          <w:vAlign w:val="center"/>
        </w:tcPr>
        <w:p w14:paraId="135C6EE0" w14:textId="77777777" w:rsidR="00413A01" w:rsidRPr="004C1C05" w:rsidRDefault="00413A01" w:rsidP="00413A01">
          <w:pPr>
            <w:pStyle w:val="Fuzeile"/>
            <w:ind w:right="-83"/>
            <w:rPr>
              <w:sz w:val="16"/>
              <w:szCs w:val="16"/>
            </w:rPr>
          </w:pPr>
        </w:p>
      </w:tc>
      <w:tc>
        <w:tcPr>
          <w:tcW w:w="1114" w:type="dxa"/>
          <w:vAlign w:val="center"/>
        </w:tcPr>
        <w:p w14:paraId="5C164BEF" w14:textId="77777777" w:rsidR="00413A01" w:rsidRPr="004C1C05" w:rsidRDefault="00413A01" w:rsidP="00413A01">
          <w:pPr>
            <w:pStyle w:val="Fuzeile"/>
            <w:ind w:right="-83"/>
            <w:rPr>
              <w:sz w:val="16"/>
              <w:szCs w:val="16"/>
            </w:rPr>
          </w:pPr>
        </w:p>
      </w:tc>
      <w:tc>
        <w:tcPr>
          <w:tcW w:w="1114" w:type="dxa"/>
          <w:vAlign w:val="center"/>
        </w:tcPr>
        <w:p w14:paraId="5E6BF161" w14:textId="2AEBA8BB" w:rsidR="00413A01" w:rsidRPr="004C1C05" w:rsidRDefault="00413A01" w:rsidP="00413A01">
          <w:pPr>
            <w:pStyle w:val="Fuzeile"/>
            <w:ind w:right="-83"/>
            <w:rPr>
              <w:sz w:val="16"/>
              <w:szCs w:val="16"/>
            </w:rPr>
          </w:pPr>
        </w:p>
      </w:tc>
      <w:tc>
        <w:tcPr>
          <w:tcW w:w="1114" w:type="dxa"/>
          <w:vAlign w:val="center"/>
        </w:tcPr>
        <w:p w14:paraId="6E18031B" w14:textId="77777777" w:rsidR="00413A01" w:rsidRPr="004C1C05" w:rsidRDefault="00413A01" w:rsidP="00413A01">
          <w:pPr>
            <w:pStyle w:val="Fuzeile"/>
            <w:ind w:right="-83"/>
            <w:rPr>
              <w:sz w:val="16"/>
              <w:szCs w:val="16"/>
            </w:rPr>
          </w:pPr>
        </w:p>
      </w:tc>
    </w:tr>
    <w:tr w:rsidR="002F6E9C" w:rsidRPr="004C1C05" w14:paraId="7D7C1E9E" w14:textId="77777777" w:rsidTr="001B5CEE">
      <w:tc>
        <w:tcPr>
          <w:tcW w:w="1814" w:type="dxa"/>
          <w:vAlign w:val="center"/>
        </w:tcPr>
        <w:p w14:paraId="5FA7E0CE" w14:textId="77777777" w:rsidR="002F6E9C" w:rsidRPr="004C1C05" w:rsidRDefault="002F6E9C" w:rsidP="002F6E9C">
          <w:pPr>
            <w:pStyle w:val="Fuzeile"/>
            <w:ind w:right="-83"/>
            <w:rPr>
              <w:sz w:val="16"/>
              <w:szCs w:val="16"/>
            </w:rPr>
          </w:pPr>
          <w:r w:rsidRPr="004C1C05">
            <w:rPr>
              <w:sz w:val="16"/>
              <w:szCs w:val="16"/>
            </w:rPr>
            <w:t>Erstellt/geändert:</w:t>
          </w:r>
        </w:p>
      </w:tc>
      <w:tc>
        <w:tcPr>
          <w:tcW w:w="1113" w:type="dxa"/>
          <w:vAlign w:val="center"/>
        </w:tcPr>
        <w:p w14:paraId="46681F7E" w14:textId="6BAB5688" w:rsidR="002F6E9C" w:rsidRPr="004C1C05" w:rsidRDefault="002F6E9C" w:rsidP="002F6E9C">
          <w:pPr>
            <w:pStyle w:val="Fuzeile"/>
            <w:ind w:right="-83"/>
            <w:rPr>
              <w:sz w:val="16"/>
              <w:szCs w:val="16"/>
            </w:rPr>
          </w:pPr>
          <w:r>
            <w:rPr>
              <w:sz w:val="16"/>
              <w:szCs w:val="16"/>
            </w:rPr>
            <w:t>R.O.E.</w:t>
          </w:r>
          <w:r w:rsidRPr="004C1C05">
            <w:rPr>
              <w:sz w:val="16"/>
              <w:szCs w:val="16"/>
            </w:rPr>
            <w:t>GmbH</w:t>
          </w:r>
        </w:p>
      </w:tc>
      <w:tc>
        <w:tcPr>
          <w:tcW w:w="1114" w:type="dxa"/>
          <w:vAlign w:val="center"/>
        </w:tcPr>
        <w:p w14:paraId="238D0AC1" w14:textId="7DA54CD6" w:rsidR="002F6E9C" w:rsidRPr="004C1C05" w:rsidRDefault="002F6E9C" w:rsidP="002F6E9C">
          <w:pPr>
            <w:pStyle w:val="Fuzeile"/>
            <w:ind w:right="-83"/>
            <w:rPr>
              <w:sz w:val="16"/>
              <w:szCs w:val="16"/>
            </w:rPr>
          </w:pPr>
        </w:p>
      </w:tc>
      <w:tc>
        <w:tcPr>
          <w:tcW w:w="1114" w:type="dxa"/>
          <w:vAlign w:val="center"/>
        </w:tcPr>
        <w:p w14:paraId="74E249C1" w14:textId="2B786FC8" w:rsidR="002F6E9C" w:rsidRPr="004C1C05" w:rsidRDefault="002F6E9C" w:rsidP="002F6E9C">
          <w:pPr>
            <w:pStyle w:val="Fuzeile"/>
            <w:ind w:right="-83"/>
            <w:rPr>
              <w:sz w:val="16"/>
              <w:szCs w:val="16"/>
            </w:rPr>
          </w:pPr>
        </w:p>
      </w:tc>
      <w:tc>
        <w:tcPr>
          <w:tcW w:w="1114" w:type="dxa"/>
          <w:vAlign w:val="center"/>
        </w:tcPr>
        <w:p w14:paraId="2834616F" w14:textId="77777777" w:rsidR="002F6E9C" w:rsidRPr="004C1C05" w:rsidRDefault="002F6E9C" w:rsidP="002F6E9C">
          <w:pPr>
            <w:pStyle w:val="Fuzeile"/>
            <w:ind w:right="-83"/>
            <w:rPr>
              <w:sz w:val="16"/>
              <w:szCs w:val="16"/>
            </w:rPr>
          </w:pPr>
        </w:p>
      </w:tc>
      <w:tc>
        <w:tcPr>
          <w:tcW w:w="1114" w:type="dxa"/>
          <w:vAlign w:val="center"/>
        </w:tcPr>
        <w:p w14:paraId="7C8A9D96" w14:textId="77777777" w:rsidR="002F6E9C" w:rsidRPr="004C1C05" w:rsidRDefault="002F6E9C" w:rsidP="002F6E9C">
          <w:pPr>
            <w:pStyle w:val="Fuzeile"/>
            <w:ind w:right="-83"/>
            <w:rPr>
              <w:sz w:val="16"/>
              <w:szCs w:val="16"/>
            </w:rPr>
          </w:pPr>
        </w:p>
      </w:tc>
      <w:tc>
        <w:tcPr>
          <w:tcW w:w="1114" w:type="dxa"/>
          <w:shd w:val="clear" w:color="auto" w:fill="auto"/>
          <w:vAlign w:val="center"/>
        </w:tcPr>
        <w:p w14:paraId="6CCC8185" w14:textId="77777777" w:rsidR="002F6E9C" w:rsidRPr="004C1C05" w:rsidRDefault="002F6E9C" w:rsidP="002F6E9C">
          <w:pPr>
            <w:pStyle w:val="Fuzeile"/>
            <w:ind w:right="-83"/>
            <w:rPr>
              <w:sz w:val="16"/>
              <w:szCs w:val="16"/>
            </w:rPr>
          </w:pPr>
        </w:p>
      </w:tc>
      <w:tc>
        <w:tcPr>
          <w:tcW w:w="1114" w:type="dxa"/>
          <w:vAlign w:val="center"/>
        </w:tcPr>
        <w:p w14:paraId="7C91B93C" w14:textId="77777777" w:rsidR="002F6E9C" w:rsidRPr="004C1C05" w:rsidRDefault="002F6E9C" w:rsidP="002F6E9C">
          <w:pPr>
            <w:pStyle w:val="Fuzeile"/>
            <w:ind w:right="-83"/>
            <w:rPr>
              <w:sz w:val="16"/>
              <w:szCs w:val="16"/>
            </w:rPr>
          </w:pPr>
        </w:p>
      </w:tc>
    </w:tr>
    <w:tr w:rsidR="002F6E9C" w:rsidRPr="004C1C05" w14:paraId="7DBB12E6" w14:textId="77777777" w:rsidTr="001B5CEE">
      <w:tc>
        <w:tcPr>
          <w:tcW w:w="1814" w:type="dxa"/>
          <w:vAlign w:val="center"/>
        </w:tcPr>
        <w:p w14:paraId="1DAF7BED" w14:textId="77777777" w:rsidR="002F6E9C" w:rsidRPr="004C1C05" w:rsidRDefault="002F6E9C" w:rsidP="002F6E9C">
          <w:pPr>
            <w:pStyle w:val="Fuzeile"/>
            <w:ind w:right="-83"/>
            <w:rPr>
              <w:sz w:val="16"/>
              <w:szCs w:val="16"/>
            </w:rPr>
          </w:pPr>
          <w:r w:rsidRPr="004C1C05">
            <w:rPr>
              <w:sz w:val="16"/>
              <w:szCs w:val="16"/>
            </w:rPr>
            <w:t>Genehmigt:</w:t>
          </w:r>
        </w:p>
      </w:tc>
      <w:tc>
        <w:tcPr>
          <w:tcW w:w="1113" w:type="dxa"/>
          <w:vAlign w:val="center"/>
        </w:tcPr>
        <w:p w14:paraId="7031F58E" w14:textId="77777777" w:rsidR="002F6E9C" w:rsidRPr="004C1C05" w:rsidRDefault="002F6E9C" w:rsidP="002F6E9C">
          <w:pPr>
            <w:pStyle w:val="Fuzeile"/>
            <w:ind w:right="-83"/>
            <w:rPr>
              <w:sz w:val="16"/>
              <w:szCs w:val="16"/>
            </w:rPr>
          </w:pPr>
        </w:p>
      </w:tc>
      <w:tc>
        <w:tcPr>
          <w:tcW w:w="1114" w:type="dxa"/>
          <w:vAlign w:val="center"/>
        </w:tcPr>
        <w:p w14:paraId="47A64D35" w14:textId="77777777" w:rsidR="002F6E9C" w:rsidRPr="004C1C05" w:rsidRDefault="002F6E9C" w:rsidP="002F6E9C">
          <w:pPr>
            <w:pStyle w:val="Fuzeile"/>
            <w:ind w:right="-83"/>
            <w:rPr>
              <w:sz w:val="16"/>
              <w:szCs w:val="16"/>
            </w:rPr>
          </w:pPr>
        </w:p>
      </w:tc>
      <w:tc>
        <w:tcPr>
          <w:tcW w:w="1114" w:type="dxa"/>
          <w:vAlign w:val="center"/>
        </w:tcPr>
        <w:p w14:paraId="51ECD793" w14:textId="77777777" w:rsidR="002F6E9C" w:rsidRPr="004C1C05" w:rsidRDefault="002F6E9C" w:rsidP="002F6E9C">
          <w:pPr>
            <w:pStyle w:val="Fuzeile"/>
            <w:ind w:right="-83"/>
            <w:rPr>
              <w:sz w:val="16"/>
              <w:szCs w:val="16"/>
            </w:rPr>
          </w:pPr>
        </w:p>
      </w:tc>
      <w:tc>
        <w:tcPr>
          <w:tcW w:w="1114" w:type="dxa"/>
          <w:vAlign w:val="center"/>
        </w:tcPr>
        <w:p w14:paraId="0616FCC5" w14:textId="77777777" w:rsidR="002F6E9C" w:rsidRPr="004C1C05" w:rsidRDefault="002F6E9C" w:rsidP="002F6E9C">
          <w:pPr>
            <w:pStyle w:val="Fuzeile"/>
            <w:ind w:right="-83"/>
            <w:rPr>
              <w:sz w:val="16"/>
              <w:szCs w:val="16"/>
            </w:rPr>
          </w:pPr>
        </w:p>
      </w:tc>
      <w:tc>
        <w:tcPr>
          <w:tcW w:w="1114" w:type="dxa"/>
          <w:vAlign w:val="center"/>
        </w:tcPr>
        <w:p w14:paraId="3AEBC74A" w14:textId="77777777" w:rsidR="002F6E9C" w:rsidRPr="004C1C05" w:rsidRDefault="002F6E9C" w:rsidP="002F6E9C">
          <w:pPr>
            <w:pStyle w:val="Fuzeile"/>
            <w:ind w:right="-83"/>
            <w:rPr>
              <w:sz w:val="16"/>
              <w:szCs w:val="16"/>
            </w:rPr>
          </w:pPr>
        </w:p>
      </w:tc>
      <w:tc>
        <w:tcPr>
          <w:tcW w:w="1114" w:type="dxa"/>
          <w:shd w:val="clear" w:color="auto" w:fill="auto"/>
          <w:vAlign w:val="center"/>
        </w:tcPr>
        <w:p w14:paraId="024944CB" w14:textId="77777777" w:rsidR="002F6E9C" w:rsidRPr="004C1C05" w:rsidRDefault="002F6E9C" w:rsidP="002F6E9C">
          <w:pPr>
            <w:pStyle w:val="Fuzeile"/>
            <w:ind w:right="-83"/>
            <w:rPr>
              <w:sz w:val="16"/>
              <w:szCs w:val="16"/>
            </w:rPr>
          </w:pPr>
        </w:p>
      </w:tc>
      <w:tc>
        <w:tcPr>
          <w:tcW w:w="1114" w:type="dxa"/>
          <w:vAlign w:val="center"/>
        </w:tcPr>
        <w:p w14:paraId="4FE0CA3B" w14:textId="77777777" w:rsidR="002F6E9C" w:rsidRPr="004C1C05" w:rsidRDefault="002F6E9C" w:rsidP="002F6E9C">
          <w:pPr>
            <w:pStyle w:val="Fuzeile"/>
            <w:ind w:right="-83"/>
            <w:rPr>
              <w:sz w:val="16"/>
              <w:szCs w:val="16"/>
            </w:rPr>
          </w:pPr>
        </w:p>
      </w:tc>
    </w:tr>
  </w:tbl>
  <w:p w14:paraId="0CD0EDC1" w14:textId="352A32B7" w:rsidR="004F0DC2" w:rsidRPr="004C1C05" w:rsidRDefault="004F0DC2" w:rsidP="004F0DC2">
    <w:pPr>
      <w:spacing w:before="60"/>
    </w:pPr>
    <w:r w:rsidRPr="004C1C05">
      <w:rPr>
        <w:b/>
        <w:sz w:val="16"/>
      </w:rPr>
      <w:t>© Copyright R.O.E. GmbH, keine unerlaubte Vervielfältigung, auch nicht auszugsweise!</w:t>
    </w:r>
  </w:p>
  <w:p w14:paraId="7722BBC5" w14:textId="5B879EC5" w:rsidR="009639CA" w:rsidRPr="00CD575C" w:rsidRDefault="009639CA" w:rsidP="00CD57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43C78" w14:textId="77777777" w:rsidR="0050153B" w:rsidRDefault="0050153B">
      <w:r>
        <w:separator/>
      </w:r>
    </w:p>
  </w:footnote>
  <w:footnote w:type="continuationSeparator" w:id="0">
    <w:p w14:paraId="691EA970" w14:textId="77777777" w:rsidR="0050153B" w:rsidRDefault="00501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8D050" w14:textId="6212FE51" w:rsidR="009639CA" w:rsidRPr="00060250" w:rsidRDefault="009639CA" w:rsidP="00152593">
    <w:pPr>
      <w:rPr>
        <w:sz w:val="16"/>
        <w:szCs w:val="16"/>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9"/>
      <w:gridCol w:w="5026"/>
      <w:gridCol w:w="2236"/>
    </w:tblGrid>
    <w:tr w:rsidR="004F0DC2" w:rsidRPr="00E21DC0" w14:paraId="48663E9A" w14:textId="77777777" w:rsidTr="001B5CEE">
      <w:trPr>
        <w:trHeight w:val="841"/>
      </w:trPr>
      <w:tc>
        <w:tcPr>
          <w:tcW w:w="2349" w:type="dxa"/>
          <w:vAlign w:val="center"/>
        </w:tcPr>
        <w:p w14:paraId="61611845" w14:textId="403156CA" w:rsidR="004F0DC2" w:rsidRPr="00E21DC0" w:rsidRDefault="00A17842" w:rsidP="004F0DC2">
          <w:pPr>
            <w:pStyle w:val="KeinLeerraum"/>
            <w:jc w:val="center"/>
            <w:rPr>
              <w:b/>
              <w:sz w:val="18"/>
            </w:rPr>
          </w:pPr>
          <w:r>
            <w:rPr>
              <w:b/>
              <w:noProof/>
              <w:sz w:val="18"/>
            </w:rPr>
            <w:drawing>
              <wp:inline distT="0" distB="0" distL="0" distR="0" wp14:anchorId="3FDB4CE3" wp14:editId="57F84ADE">
                <wp:extent cx="475259" cy="475259"/>
                <wp:effectExtent l="0" t="0" r="0" b="0"/>
                <wp:docPr id="81844185" name="Immagine 1"/>
                <wp:cNvGraphicFramePr/>
                <a:graphic xmlns:a="http://schemas.openxmlformats.org/drawingml/2006/main">
                  <a:graphicData uri="http://schemas.openxmlformats.org/drawingml/2006/picture">
                    <pic:pic xmlns:pic="http://schemas.openxmlformats.org/drawingml/2006/picture">
                      <pic:nvPicPr>
                        <pic:cNvPr id="81844185" name=""/>
                        <pic:cNvPicPr/>
                      </pic:nvPicPr>
                      <pic:blipFill>
                        <a:blip r:embed="rId1"/>
                        <a:stretch>
                          <a:fillRect/>
                        </a:stretch>
                      </pic:blipFill>
                      <pic:spPr>
                        <a:xfrm>
                          <a:off x="0" y="0"/>
                          <a:ext cx="475259" cy="475259"/>
                        </a:xfrm>
                        <a:prstGeom prst="rect">
                          <a:avLst/>
                        </a:prstGeom>
                      </pic:spPr>
                    </pic:pic>
                  </a:graphicData>
                </a:graphic>
              </wp:inline>
            </w:drawing>
          </w:r>
        </w:p>
      </w:tc>
      <w:tc>
        <w:tcPr>
          <w:tcW w:w="5026" w:type="dxa"/>
          <w:vAlign w:val="center"/>
        </w:tcPr>
        <w:p w14:paraId="64ECFC63" w14:textId="77777777" w:rsidR="004F0DC2" w:rsidRPr="00E21DC0" w:rsidRDefault="004F0DC2" w:rsidP="004F0DC2">
          <w:pPr>
            <w:jc w:val="center"/>
            <w:rPr>
              <w:b/>
              <w:sz w:val="36"/>
              <w:szCs w:val="36"/>
            </w:rPr>
          </w:pPr>
          <w:r w:rsidRPr="00E21DC0">
            <w:rPr>
              <w:b/>
              <w:sz w:val="36"/>
              <w:szCs w:val="36"/>
            </w:rPr>
            <w:t>Elektro-Tipp</w:t>
          </w:r>
        </w:p>
      </w:tc>
      <w:tc>
        <w:tcPr>
          <w:tcW w:w="2236" w:type="dxa"/>
          <w:vAlign w:val="center"/>
        </w:tcPr>
        <w:p w14:paraId="729B3C53" w14:textId="2B79AD6C" w:rsidR="004F0DC2" w:rsidRPr="00E21DC0" w:rsidRDefault="004F0DC2" w:rsidP="004F0DC2">
          <w:pPr>
            <w:jc w:val="center"/>
          </w:pPr>
        </w:p>
      </w:tc>
    </w:tr>
    <w:tr w:rsidR="004F0DC2" w:rsidRPr="00E21DC0" w14:paraId="6919BF43" w14:textId="77777777" w:rsidTr="001B5CEE">
      <w:trPr>
        <w:trHeight w:val="832"/>
      </w:trPr>
      <w:tc>
        <w:tcPr>
          <w:tcW w:w="2349" w:type="dxa"/>
          <w:vAlign w:val="center"/>
        </w:tcPr>
        <w:p w14:paraId="157C7CEE" w14:textId="4D014482" w:rsidR="004F0DC2" w:rsidRPr="00E21DC0" w:rsidRDefault="004F0DC2" w:rsidP="004F0DC2">
          <w:pPr>
            <w:jc w:val="center"/>
          </w:pPr>
          <w:r w:rsidRPr="00E21DC0">
            <w:rPr>
              <w:b/>
            </w:rPr>
            <w:t>UW_ET_</w:t>
          </w:r>
          <w:r w:rsidR="0034451F">
            <w:rPr>
              <w:b/>
            </w:rPr>
            <w:t>117</w:t>
          </w:r>
        </w:p>
      </w:tc>
      <w:tc>
        <w:tcPr>
          <w:tcW w:w="5026" w:type="dxa"/>
          <w:vAlign w:val="center"/>
        </w:tcPr>
        <w:p w14:paraId="63D167E9" w14:textId="1839915D" w:rsidR="004F0DC2" w:rsidRPr="00B2005A" w:rsidRDefault="00607CB4" w:rsidP="00B5221D">
          <w:pPr>
            <w:jc w:val="center"/>
            <w:rPr>
              <w:sz w:val="28"/>
              <w:szCs w:val="28"/>
            </w:rPr>
          </w:pPr>
          <w:r>
            <w:rPr>
              <w:sz w:val="28"/>
              <w:szCs w:val="28"/>
            </w:rPr>
            <w:t xml:space="preserve">Ausstattung von Lüftung und Böden </w:t>
          </w:r>
          <w:r>
            <w:rPr>
              <w:sz w:val="28"/>
              <w:szCs w:val="28"/>
            </w:rPr>
            <w:br/>
            <w:t>in Batterieräumen</w:t>
          </w:r>
        </w:p>
      </w:tc>
      <w:tc>
        <w:tcPr>
          <w:tcW w:w="2236" w:type="dxa"/>
          <w:vAlign w:val="center"/>
        </w:tcPr>
        <w:p w14:paraId="738C5159" w14:textId="77777777" w:rsidR="004F0DC2" w:rsidRPr="00E21DC0" w:rsidRDefault="004F0DC2" w:rsidP="004F0DC2">
          <w:pPr>
            <w:jc w:val="center"/>
          </w:pPr>
        </w:p>
      </w:tc>
    </w:tr>
  </w:tbl>
  <w:p w14:paraId="0F4D8A50" w14:textId="77777777" w:rsidR="009639CA" w:rsidRPr="008372B7" w:rsidRDefault="009639CA" w:rsidP="006262F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E636F3"/>
    <w:multiLevelType w:val="hybridMultilevel"/>
    <w:tmpl w:val="772C703C"/>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num w:numId="1" w16cid:durableId="125798479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ACF"/>
    <w:rsid w:val="000000AE"/>
    <w:rsid w:val="00002342"/>
    <w:rsid w:val="00002EF1"/>
    <w:rsid w:val="0000677D"/>
    <w:rsid w:val="00007539"/>
    <w:rsid w:val="00007D14"/>
    <w:rsid w:val="00007E03"/>
    <w:rsid w:val="00007FF6"/>
    <w:rsid w:val="00013089"/>
    <w:rsid w:val="00013D7A"/>
    <w:rsid w:val="00014CCE"/>
    <w:rsid w:val="00015930"/>
    <w:rsid w:val="0001596B"/>
    <w:rsid w:val="0002566B"/>
    <w:rsid w:val="000257CF"/>
    <w:rsid w:val="0002703C"/>
    <w:rsid w:val="00027F84"/>
    <w:rsid w:val="00031B39"/>
    <w:rsid w:val="00032FDB"/>
    <w:rsid w:val="0003362A"/>
    <w:rsid w:val="00036B74"/>
    <w:rsid w:val="00040E3F"/>
    <w:rsid w:val="00041553"/>
    <w:rsid w:val="00042C6C"/>
    <w:rsid w:val="00043813"/>
    <w:rsid w:val="000440F0"/>
    <w:rsid w:val="00045D73"/>
    <w:rsid w:val="00047E60"/>
    <w:rsid w:val="00052E85"/>
    <w:rsid w:val="00054DE8"/>
    <w:rsid w:val="00060250"/>
    <w:rsid w:val="000630CC"/>
    <w:rsid w:val="000667B4"/>
    <w:rsid w:val="0006696B"/>
    <w:rsid w:val="0007225A"/>
    <w:rsid w:val="00073D58"/>
    <w:rsid w:val="0007611B"/>
    <w:rsid w:val="00077AAE"/>
    <w:rsid w:val="00081AF1"/>
    <w:rsid w:val="000839C9"/>
    <w:rsid w:val="000857C9"/>
    <w:rsid w:val="00086AF3"/>
    <w:rsid w:val="00090794"/>
    <w:rsid w:val="000915AB"/>
    <w:rsid w:val="000931DA"/>
    <w:rsid w:val="00093697"/>
    <w:rsid w:val="00097200"/>
    <w:rsid w:val="000A0308"/>
    <w:rsid w:val="000A2BDE"/>
    <w:rsid w:val="000A3CAC"/>
    <w:rsid w:val="000A4040"/>
    <w:rsid w:val="000A6088"/>
    <w:rsid w:val="000A7534"/>
    <w:rsid w:val="000B0485"/>
    <w:rsid w:val="000B2871"/>
    <w:rsid w:val="000B4B66"/>
    <w:rsid w:val="000B5D66"/>
    <w:rsid w:val="000B63C1"/>
    <w:rsid w:val="000B7620"/>
    <w:rsid w:val="000D3B67"/>
    <w:rsid w:val="000D52A3"/>
    <w:rsid w:val="000D61AC"/>
    <w:rsid w:val="000E49B4"/>
    <w:rsid w:val="000E7D83"/>
    <w:rsid w:val="000F2384"/>
    <w:rsid w:val="000F2584"/>
    <w:rsid w:val="000F3DE8"/>
    <w:rsid w:val="000F6291"/>
    <w:rsid w:val="000F705B"/>
    <w:rsid w:val="00101D66"/>
    <w:rsid w:val="00103F17"/>
    <w:rsid w:val="0010504C"/>
    <w:rsid w:val="00107C09"/>
    <w:rsid w:val="00107FF1"/>
    <w:rsid w:val="001122B9"/>
    <w:rsid w:val="00112BAC"/>
    <w:rsid w:val="00113A7C"/>
    <w:rsid w:val="00114246"/>
    <w:rsid w:val="00114954"/>
    <w:rsid w:val="00116060"/>
    <w:rsid w:val="0011690F"/>
    <w:rsid w:val="00116C94"/>
    <w:rsid w:val="00117926"/>
    <w:rsid w:val="00117AA2"/>
    <w:rsid w:val="001200AE"/>
    <w:rsid w:val="00125F35"/>
    <w:rsid w:val="00126350"/>
    <w:rsid w:val="00127406"/>
    <w:rsid w:val="00130BD6"/>
    <w:rsid w:val="001319BE"/>
    <w:rsid w:val="00133B78"/>
    <w:rsid w:val="00133C6D"/>
    <w:rsid w:val="0013474F"/>
    <w:rsid w:val="00137228"/>
    <w:rsid w:val="0014093A"/>
    <w:rsid w:val="00141349"/>
    <w:rsid w:val="00141F76"/>
    <w:rsid w:val="0014391D"/>
    <w:rsid w:val="001441C9"/>
    <w:rsid w:val="001460F5"/>
    <w:rsid w:val="00150243"/>
    <w:rsid w:val="00152593"/>
    <w:rsid w:val="00153025"/>
    <w:rsid w:val="00155CA0"/>
    <w:rsid w:val="00156BFD"/>
    <w:rsid w:val="00162022"/>
    <w:rsid w:val="001629D1"/>
    <w:rsid w:val="00162C04"/>
    <w:rsid w:val="00167B6C"/>
    <w:rsid w:val="001706BB"/>
    <w:rsid w:val="00171E5D"/>
    <w:rsid w:val="00172154"/>
    <w:rsid w:val="001725EE"/>
    <w:rsid w:val="001824CF"/>
    <w:rsid w:val="0018338F"/>
    <w:rsid w:val="001843E9"/>
    <w:rsid w:val="00186185"/>
    <w:rsid w:val="00186719"/>
    <w:rsid w:val="001876DB"/>
    <w:rsid w:val="00192927"/>
    <w:rsid w:val="001933CF"/>
    <w:rsid w:val="00195CB3"/>
    <w:rsid w:val="00196BA9"/>
    <w:rsid w:val="00196D73"/>
    <w:rsid w:val="001A0446"/>
    <w:rsid w:val="001A2730"/>
    <w:rsid w:val="001A732A"/>
    <w:rsid w:val="001B003D"/>
    <w:rsid w:val="001B09EE"/>
    <w:rsid w:val="001B0BD0"/>
    <w:rsid w:val="001B301D"/>
    <w:rsid w:val="001B48BE"/>
    <w:rsid w:val="001C1A10"/>
    <w:rsid w:val="001C2B0E"/>
    <w:rsid w:val="001C3A89"/>
    <w:rsid w:val="001C525F"/>
    <w:rsid w:val="001C6E01"/>
    <w:rsid w:val="001D4B3B"/>
    <w:rsid w:val="001D4F67"/>
    <w:rsid w:val="001D75BB"/>
    <w:rsid w:val="001E117B"/>
    <w:rsid w:val="001E1FCD"/>
    <w:rsid w:val="001E509A"/>
    <w:rsid w:val="001E6553"/>
    <w:rsid w:val="001F2E0D"/>
    <w:rsid w:val="001F3A96"/>
    <w:rsid w:val="001F3EEB"/>
    <w:rsid w:val="001F4C03"/>
    <w:rsid w:val="001F59F1"/>
    <w:rsid w:val="002015C7"/>
    <w:rsid w:val="00204E30"/>
    <w:rsid w:val="00210D68"/>
    <w:rsid w:val="0021635C"/>
    <w:rsid w:val="0021654A"/>
    <w:rsid w:val="00217045"/>
    <w:rsid w:val="0022222C"/>
    <w:rsid w:val="00224643"/>
    <w:rsid w:val="00225290"/>
    <w:rsid w:val="0023088A"/>
    <w:rsid w:val="002309EE"/>
    <w:rsid w:val="00230A8F"/>
    <w:rsid w:val="002321A1"/>
    <w:rsid w:val="00234C07"/>
    <w:rsid w:val="0023562E"/>
    <w:rsid w:val="002406C5"/>
    <w:rsid w:val="002414FA"/>
    <w:rsid w:val="0024427B"/>
    <w:rsid w:val="0024474D"/>
    <w:rsid w:val="00244F91"/>
    <w:rsid w:val="00246FDA"/>
    <w:rsid w:val="002477EA"/>
    <w:rsid w:val="00247F5D"/>
    <w:rsid w:val="00250538"/>
    <w:rsid w:val="00252541"/>
    <w:rsid w:val="0025264C"/>
    <w:rsid w:val="00256AC2"/>
    <w:rsid w:val="0026056C"/>
    <w:rsid w:val="00261D61"/>
    <w:rsid w:val="00265CBE"/>
    <w:rsid w:val="002663EA"/>
    <w:rsid w:val="00266D11"/>
    <w:rsid w:val="00266EFA"/>
    <w:rsid w:val="002678D9"/>
    <w:rsid w:val="00271B8E"/>
    <w:rsid w:val="002752FD"/>
    <w:rsid w:val="0028194E"/>
    <w:rsid w:val="00281A62"/>
    <w:rsid w:val="0028213B"/>
    <w:rsid w:val="00283128"/>
    <w:rsid w:val="0028404A"/>
    <w:rsid w:val="0028586B"/>
    <w:rsid w:val="0028784A"/>
    <w:rsid w:val="00287ABA"/>
    <w:rsid w:val="002904A2"/>
    <w:rsid w:val="00290A38"/>
    <w:rsid w:val="0029272A"/>
    <w:rsid w:val="00292C6A"/>
    <w:rsid w:val="00292EF3"/>
    <w:rsid w:val="0029322C"/>
    <w:rsid w:val="002939F4"/>
    <w:rsid w:val="002942FC"/>
    <w:rsid w:val="002976C5"/>
    <w:rsid w:val="002A3921"/>
    <w:rsid w:val="002A6F69"/>
    <w:rsid w:val="002A78F3"/>
    <w:rsid w:val="002A7BDE"/>
    <w:rsid w:val="002B1CFC"/>
    <w:rsid w:val="002B1FB6"/>
    <w:rsid w:val="002B486C"/>
    <w:rsid w:val="002B5C14"/>
    <w:rsid w:val="002C2A04"/>
    <w:rsid w:val="002C4167"/>
    <w:rsid w:val="002C45FA"/>
    <w:rsid w:val="002C6960"/>
    <w:rsid w:val="002C7232"/>
    <w:rsid w:val="002D1257"/>
    <w:rsid w:val="002D1D3A"/>
    <w:rsid w:val="002D1D5A"/>
    <w:rsid w:val="002D2FCA"/>
    <w:rsid w:val="002D302E"/>
    <w:rsid w:val="002D65D1"/>
    <w:rsid w:val="002D6FA6"/>
    <w:rsid w:val="002D7A8A"/>
    <w:rsid w:val="002E04E8"/>
    <w:rsid w:val="002E0C47"/>
    <w:rsid w:val="002E1457"/>
    <w:rsid w:val="002E1591"/>
    <w:rsid w:val="002E2E84"/>
    <w:rsid w:val="002E2F33"/>
    <w:rsid w:val="002E63C7"/>
    <w:rsid w:val="002E71DE"/>
    <w:rsid w:val="002E7E55"/>
    <w:rsid w:val="002F04E7"/>
    <w:rsid w:val="002F0ADA"/>
    <w:rsid w:val="002F2110"/>
    <w:rsid w:val="002F2217"/>
    <w:rsid w:val="002F271E"/>
    <w:rsid w:val="002F5C00"/>
    <w:rsid w:val="002F6478"/>
    <w:rsid w:val="002F6E9C"/>
    <w:rsid w:val="0030352D"/>
    <w:rsid w:val="0030385F"/>
    <w:rsid w:val="00303C23"/>
    <w:rsid w:val="00303CEF"/>
    <w:rsid w:val="00305927"/>
    <w:rsid w:val="00307517"/>
    <w:rsid w:val="00307FF4"/>
    <w:rsid w:val="003107A6"/>
    <w:rsid w:val="00310D11"/>
    <w:rsid w:val="00311044"/>
    <w:rsid w:val="00312BA5"/>
    <w:rsid w:val="00314A8C"/>
    <w:rsid w:val="00315ACF"/>
    <w:rsid w:val="003170CF"/>
    <w:rsid w:val="00320179"/>
    <w:rsid w:val="00321D0E"/>
    <w:rsid w:val="00323F4B"/>
    <w:rsid w:val="0032510F"/>
    <w:rsid w:val="003263F0"/>
    <w:rsid w:val="0033007A"/>
    <w:rsid w:val="00331B49"/>
    <w:rsid w:val="003321B3"/>
    <w:rsid w:val="00334624"/>
    <w:rsid w:val="00336CD7"/>
    <w:rsid w:val="00337677"/>
    <w:rsid w:val="003378EE"/>
    <w:rsid w:val="0034095C"/>
    <w:rsid w:val="00341B65"/>
    <w:rsid w:val="0034451F"/>
    <w:rsid w:val="003524AB"/>
    <w:rsid w:val="00353D59"/>
    <w:rsid w:val="0036642C"/>
    <w:rsid w:val="0037026C"/>
    <w:rsid w:val="00372E27"/>
    <w:rsid w:val="00373C7B"/>
    <w:rsid w:val="00377AF1"/>
    <w:rsid w:val="003810DA"/>
    <w:rsid w:val="00381DA4"/>
    <w:rsid w:val="003826A8"/>
    <w:rsid w:val="0038435E"/>
    <w:rsid w:val="00387658"/>
    <w:rsid w:val="0039050A"/>
    <w:rsid w:val="00392DF9"/>
    <w:rsid w:val="00394E3D"/>
    <w:rsid w:val="0039737B"/>
    <w:rsid w:val="003A47A4"/>
    <w:rsid w:val="003A5CBA"/>
    <w:rsid w:val="003A766C"/>
    <w:rsid w:val="003B39EF"/>
    <w:rsid w:val="003C31C2"/>
    <w:rsid w:val="003C3426"/>
    <w:rsid w:val="003C370C"/>
    <w:rsid w:val="003C3B2E"/>
    <w:rsid w:val="003C496C"/>
    <w:rsid w:val="003C5DDF"/>
    <w:rsid w:val="003D008D"/>
    <w:rsid w:val="003D026F"/>
    <w:rsid w:val="003D1485"/>
    <w:rsid w:val="003D1BE1"/>
    <w:rsid w:val="003D1C24"/>
    <w:rsid w:val="003D2D98"/>
    <w:rsid w:val="003D4C3F"/>
    <w:rsid w:val="003E60A4"/>
    <w:rsid w:val="003E749D"/>
    <w:rsid w:val="003E7856"/>
    <w:rsid w:val="003F13C7"/>
    <w:rsid w:val="003F216A"/>
    <w:rsid w:val="004000C5"/>
    <w:rsid w:val="00402BA2"/>
    <w:rsid w:val="00402EA6"/>
    <w:rsid w:val="00402F10"/>
    <w:rsid w:val="0040334E"/>
    <w:rsid w:val="00405CC9"/>
    <w:rsid w:val="00406DE6"/>
    <w:rsid w:val="004100B1"/>
    <w:rsid w:val="00413A01"/>
    <w:rsid w:val="00416285"/>
    <w:rsid w:val="004211C0"/>
    <w:rsid w:val="00421AEA"/>
    <w:rsid w:val="0042274F"/>
    <w:rsid w:val="00423473"/>
    <w:rsid w:val="00423690"/>
    <w:rsid w:val="00424E9E"/>
    <w:rsid w:val="00427C17"/>
    <w:rsid w:val="004302D1"/>
    <w:rsid w:val="00432859"/>
    <w:rsid w:val="00436067"/>
    <w:rsid w:val="0044181F"/>
    <w:rsid w:val="00446822"/>
    <w:rsid w:val="00456569"/>
    <w:rsid w:val="00457F21"/>
    <w:rsid w:val="0046027A"/>
    <w:rsid w:val="00460DBF"/>
    <w:rsid w:val="00461100"/>
    <w:rsid w:val="004628FC"/>
    <w:rsid w:val="00462EBE"/>
    <w:rsid w:val="004630E8"/>
    <w:rsid w:val="00464E09"/>
    <w:rsid w:val="00467344"/>
    <w:rsid w:val="00473B28"/>
    <w:rsid w:val="00473C53"/>
    <w:rsid w:val="00480665"/>
    <w:rsid w:val="004808B1"/>
    <w:rsid w:val="0048617E"/>
    <w:rsid w:val="00491D35"/>
    <w:rsid w:val="00493113"/>
    <w:rsid w:val="004933B3"/>
    <w:rsid w:val="00497325"/>
    <w:rsid w:val="004A08D4"/>
    <w:rsid w:val="004A1D63"/>
    <w:rsid w:val="004A3198"/>
    <w:rsid w:val="004A5231"/>
    <w:rsid w:val="004A5918"/>
    <w:rsid w:val="004A6B04"/>
    <w:rsid w:val="004A6BDA"/>
    <w:rsid w:val="004B0FB2"/>
    <w:rsid w:val="004B5834"/>
    <w:rsid w:val="004B6F6E"/>
    <w:rsid w:val="004C44CA"/>
    <w:rsid w:val="004C4EF6"/>
    <w:rsid w:val="004C5E47"/>
    <w:rsid w:val="004C7411"/>
    <w:rsid w:val="004D2758"/>
    <w:rsid w:val="004D5C8D"/>
    <w:rsid w:val="004D6B1A"/>
    <w:rsid w:val="004D7728"/>
    <w:rsid w:val="004D7940"/>
    <w:rsid w:val="004D7CFA"/>
    <w:rsid w:val="004E0054"/>
    <w:rsid w:val="004E50CE"/>
    <w:rsid w:val="004E6674"/>
    <w:rsid w:val="004E7494"/>
    <w:rsid w:val="004F0B1F"/>
    <w:rsid w:val="004F0DC2"/>
    <w:rsid w:val="004F1600"/>
    <w:rsid w:val="004F29CE"/>
    <w:rsid w:val="004F4F0C"/>
    <w:rsid w:val="004F53BB"/>
    <w:rsid w:val="004F6395"/>
    <w:rsid w:val="004F7F82"/>
    <w:rsid w:val="00500585"/>
    <w:rsid w:val="00500D5D"/>
    <w:rsid w:val="0050153B"/>
    <w:rsid w:val="0050522E"/>
    <w:rsid w:val="0050558F"/>
    <w:rsid w:val="005069BB"/>
    <w:rsid w:val="00506F78"/>
    <w:rsid w:val="00507717"/>
    <w:rsid w:val="005104E1"/>
    <w:rsid w:val="0051077A"/>
    <w:rsid w:val="00517E94"/>
    <w:rsid w:val="00521FA9"/>
    <w:rsid w:val="0052250B"/>
    <w:rsid w:val="0052288B"/>
    <w:rsid w:val="0052337B"/>
    <w:rsid w:val="00524007"/>
    <w:rsid w:val="005245CC"/>
    <w:rsid w:val="00525360"/>
    <w:rsid w:val="00527AAE"/>
    <w:rsid w:val="00530673"/>
    <w:rsid w:val="005306CD"/>
    <w:rsid w:val="00532D1C"/>
    <w:rsid w:val="005357E1"/>
    <w:rsid w:val="00537549"/>
    <w:rsid w:val="00537F44"/>
    <w:rsid w:val="00540723"/>
    <w:rsid w:val="00542168"/>
    <w:rsid w:val="00546908"/>
    <w:rsid w:val="00551472"/>
    <w:rsid w:val="00553132"/>
    <w:rsid w:val="0055401B"/>
    <w:rsid w:val="005545FD"/>
    <w:rsid w:val="00554805"/>
    <w:rsid w:val="005642A4"/>
    <w:rsid w:val="0056629D"/>
    <w:rsid w:val="005663D6"/>
    <w:rsid w:val="00567EC3"/>
    <w:rsid w:val="00570D13"/>
    <w:rsid w:val="00571C17"/>
    <w:rsid w:val="00575529"/>
    <w:rsid w:val="00575E78"/>
    <w:rsid w:val="0057797B"/>
    <w:rsid w:val="0058031B"/>
    <w:rsid w:val="00592FA3"/>
    <w:rsid w:val="005968AC"/>
    <w:rsid w:val="005A258C"/>
    <w:rsid w:val="005A3501"/>
    <w:rsid w:val="005A3597"/>
    <w:rsid w:val="005A515B"/>
    <w:rsid w:val="005A7A2B"/>
    <w:rsid w:val="005B0B6A"/>
    <w:rsid w:val="005B470F"/>
    <w:rsid w:val="005C1CEB"/>
    <w:rsid w:val="005C2CBA"/>
    <w:rsid w:val="005C37A0"/>
    <w:rsid w:val="005D0805"/>
    <w:rsid w:val="005D0CB4"/>
    <w:rsid w:val="005D3262"/>
    <w:rsid w:val="005D5981"/>
    <w:rsid w:val="005D600F"/>
    <w:rsid w:val="005D6A3B"/>
    <w:rsid w:val="005D6FD5"/>
    <w:rsid w:val="005D7A8F"/>
    <w:rsid w:val="005E092B"/>
    <w:rsid w:val="005E0C09"/>
    <w:rsid w:val="005E28C0"/>
    <w:rsid w:val="005E37AF"/>
    <w:rsid w:val="005E6EF5"/>
    <w:rsid w:val="005F0730"/>
    <w:rsid w:val="005F2262"/>
    <w:rsid w:val="005F2E28"/>
    <w:rsid w:val="005F34E8"/>
    <w:rsid w:val="005F38FA"/>
    <w:rsid w:val="005F3D7B"/>
    <w:rsid w:val="005F4D8C"/>
    <w:rsid w:val="005F4E81"/>
    <w:rsid w:val="005F56C8"/>
    <w:rsid w:val="00600B37"/>
    <w:rsid w:val="006017B6"/>
    <w:rsid w:val="00601F09"/>
    <w:rsid w:val="00604A11"/>
    <w:rsid w:val="00607CB4"/>
    <w:rsid w:val="00615F8A"/>
    <w:rsid w:val="00616683"/>
    <w:rsid w:val="00616A7A"/>
    <w:rsid w:val="00617FE6"/>
    <w:rsid w:val="006207B4"/>
    <w:rsid w:val="00620E65"/>
    <w:rsid w:val="00621215"/>
    <w:rsid w:val="006213A9"/>
    <w:rsid w:val="00621DB8"/>
    <w:rsid w:val="00625C19"/>
    <w:rsid w:val="006262F6"/>
    <w:rsid w:val="0062688B"/>
    <w:rsid w:val="00626E05"/>
    <w:rsid w:val="006270A4"/>
    <w:rsid w:val="0063075F"/>
    <w:rsid w:val="006337DA"/>
    <w:rsid w:val="00633E79"/>
    <w:rsid w:val="0063544C"/>
    <w:rsid w:val="00641A0B"/>
    <w:rsid w:val="00642781"/>
    <w:rsid w:val="0064315D"/>
    <w:rsid w:val="006433D4"/>
    <w:rsid w:val="00645745"/>
    <w:rsid w:val="0064626F"/>
    <w:rsid w:val="00650470"/>
    <w:rsid w:val="0065056D"/>
    <w:rsid w:val="0065754A"/>
    <w:rsid w:val="006614D5"/>
    <w:rsid w:val="00661617"/>
    <w:rsid w:val="00664B29"/>
    <w:rsid w:val="00665118"/>
    <w:rsid w:val="006668C8"/>
    <w:rsid w:val="00666F42"/>
    <w:rsid w:val="00675816"/>
    <w:rsid w:val="006775DC"/>
    <w:rsid w:val="0068470A"/>
    <w:rsid w:val="0068587C"/>
    <w:rsid w:val="00686CBC"/>
    <w:rsid w:val="00686F84"/>
    <w:rsid w:val="006878B3"/>
    <w:rsid w:val="006912A7"/>
    <w:rsid w:val="00694B02"/>
    <w:rsid w:val="00697869"/>
    <w:rsid w:val="00697E72"/>
    <w:rsid w:val="006A0BEF"/>
    <w:rsid w:val="006A26B1"/>
    <w:rsid w:val="006A6D15"/>
    <w:rsid w:val="006A79E0"/>
    <w:rsid w:val="006B343F"/>
    <w:rsid w:val="006B570F"/>
    <w:rsid w:val="006B6188"/>
    <w:rsid w:val="006B7BE6"/>
    <w:rsid w:val="006C0D69"/>
    <w:rsid w:val="006C0E34"/>
    <w:rsid w:val="006C1619"/>
    <w:rsid w:val="006C31D6"/>
    <w:rsid w:val="006C4BE1"/>
    <w:rsid w:val="006C6DCE"/>
    <w:rsid w:val="006C72F5"/>
    <w:rsid w:val="006D02CB"/>
    <w:rsid w:val="006D0820"/>
    <w:rsid w:val="006D0B5D"/>
    <w:rsid w:val="006D2054"/>
    <w:rsid w:val="006D403D"/>
    <w:rsid w:val="006D441C"/>
    <w:rsid w:val="006D6823"/>
    <w:rsid w:val="006D6C64"/>
    <w:rsid w:val="006D71B0"/>
    <w:rsid w:val="006E12F0"/>
    <w:rsid w:val="006E27F6"/>
    <w:rsid w:val="006E3984"/>
    <w:rsid w:val="006E410E"/>
    <w:rsid w:val="006E476C"/>
    <w:rsid w:val="006E481C"/>
    <w:rsid w:val="006E4AB5"/>
    <w:rsid w:val="006F0E69"/>
    <w:rsid w:val="006F16BE"/>
    <w:rsid w:val="006F226F"/>
    <w:rsid w:val="006F2CAA"/>
    <w:rsid w:val="006F46BA"/>
    <w:rsid w:val="0070061C"/>
    <w:rsid w:val="00700677"/>
    <w:rsid w:val="00701F5C"/>
    <w:rsid w:val="00716634"/>
    <w:rsid w:val="00717452"/>
    <w:rsid w:val="007202A5"/>
    <w:rsid w:val="00721B59"/>
    <w:rsid w:val="00721DF6"/>
    <w:rsid w:val="007221CB"/>
    <w:rsid w:val="00723389"/>
    <w:rsid w:val="00724074"/>
    <w:rsid w:val="00726559"/>
    <w:rsid w:val="00730832"/>
    <w:rsid w:val="00730A0D"/>
    <w:rsid w:val="007376D0"/>
    <w:rsid w:val="00741CA7"/>
    <w:rsid w:val="00743BA5"/>
    <w:rsid w:val="00743FCC"/>
    <w:rsid w:val="00746D1A"/>
    <w:rsid w:val="0074764B"/>
    <w:rsid w:val="00752650"/>
    <w:rsid w:val="007542F2"/>
    <w:rsid w:val="00754F27"/>
    <w:rsid w:val="0075535C"/>
    <w:rsid w:val="0075681F"/>
    <w:rsid w:val="00757336"/>
    <w:rsid w:val="007626E8"/>
    <w:rsid w:val="00773149"/>
    <w:rsid w:val="00773E6E"/>
    <w:rsid w:val="00776CDC"/>
    <w:rsid w:val="00780707"/>
    <w:rsid w:val="00780D4E"/>
    <w:rsid w:val="00780EC0"/>
    <w:rsid w:val="007814E5"/>
    <w:rsid w:val="00781915"/>
    <w:rsid w:val="00782F69"/>
    <w:rsid w:val="00784964"/>
    <w:rsid w:val="0078555E"/>
    <w:rsid w:val="00787B06"/>
    <w:rsid w:val="00790AAF"/>
    <w:rsid w:val="00791491"/>
    <w:rsid w:val="00792272"/>
    <w:rsid w:val="007947E9"/>
    <w:rsid w:val="00795256"/>
    <w:rsid w:val="00797AB6"/>
    <w:rsid w:val="00797FEE"/>
    <w:rsid w:val="007A1F0C"/>
    <w:rsid w:val="007A2F85"/>
    <w:rsid w:val="007A3799"/>
    <w:rsid w:val="007A3999"/>
    <w:rsid w:val="007A3D26"/>
    <w:rsid w:val="007A3F0B"/>
    <w:rsid w:val="007A4B38"/>
    <w:rsid w:val="007A4DA8"/>
    <w:rsid w:val="007A74D5"/>
    <w:rsid w:val="007B05BA"/>
    <w:rsid w:val="007B219D"/>
    <w:rsid w:val="007B33B0"/>
    <w:rsid w:val="007B3CAF"/>
    <w:rsid w:val="007B5E93"/>
    <w:rsid w:val="007B6C81"/>
    <w:rsid w:val="007B7D13"/>
    <w:rsid w:val="007C0CB6"/>
    <w:rsid w:val="007C3AAD"/>
    <w:rsid w:val="007D04FD"/>
    <w:rsid w:val="007D43AB"/>
    <w:rsid w:val="007D66A9"/>
    <w:rsid w:val="007E0DB6"/>
    <w:rsid w:val="007E19A8"/>
    <w:rsid w:val="007E3510"/>
    <w:rsid w:val="007E543B"/>
    <w:rsid w:val="007E5C54"/>
    <w:rsid w:val="007E6378"/>
    <w:rsid w:val="007F1316"/>
    <w:rsid w:val="007F4293"/>
    <w:rsid w:val="007F58E2"/>
    <w:rsid w:val="007F5E38"/>
    <w:rsid w:val="007F60EA"/>
    <w:rsid w:val="007F7A63"/>
    <w:rsid w:val="0080323B"/>
    <w:rsid w:val="008118EF"/>
    <w:rsid w:val="008119DD"/>
    <w:rsid w:val="00811ED0"/>
    <w:rsid w:val="0081285D"/>
    <w:rsid w:val="00812D72"/>
    <w:rsid w:val="00822C58"/>
    <w:rsid w:val="00827614"/>
    <w:rsid w:val="0083499E"/>
    <w:rsid w:val="008350F4"/>
    <w:rsid w:val="008352BA"/>
    <w:rsid w:val="008372B7"/>
    <w:rsid w:val="00841412"/>
    <w:rsid w:val="00842447"/>
    <w:rsid w:val="00846D90"/>
    <w:rsid w:val="00847CCF"/>
    <w:rsid w:val="00850CF0"/>
    <w:rsid w:val="00853AC3"/>
    <w:rsid w:val="0085425E"/>
    <w:rsid w:val="00854AB8"/>
    <w:rsid w:val="00855CA6"/>
    <w:rsid w:val="00855DC9"/>
    <w:rsid w:val="008575D0"/>
    <w:rsid w:val="00861BBB"/>
    <w:rsid w:val="00862CF0"/>
    <w:rsid w:val="00863CD6"/>
    <w:rsid w:val="008720F7"/>
    <w:rsid w:val="0087236F"/>
    <w:rsid w:val="00874C81"/>
    <w:rsid w:val="008760A6"/>
    <w:rsid w:val="00876459"/>
    <w:rsid w:val="00877EF4"/>
    <w:rsid w:val="008804B4"/>
    <w:rsid w:val="00882F9F"/>
    <w:rsid w:val="00884716"/>
    <w:rsid w:val="008856C2"/>
    <w:rsid w:val="008862EB"/>
    <w:rsid w:val="008879D2"/>
    <w:rsid w:val="0089014B"/>
    <w:rsid w:val="00890659"/>
    <w:rsid w:val="0089137C"/>
    <w:rsid w:val="00891B4F"/>
    <w:rsid w:val="008931EB"/>
    <w:rsid w:val="00895A7F"/>
    <w:rsid w:val="00895E89"/>
    <w:rsid w:val="008A0928"/>
    <w:rsid w:val="008A33CC"/>
    <w:rsid w:val="008A413E"/>
    <w:rsid w:val="008B124C"/>
    <w:rsid w:val="008B1308"/>
    <w:rsid w:val="008B325F"/>
    <w:rsid w:val="008B33CF"/>
    <w:rsid w:val="008B3859"/>
    <w:rsid w:val="008B4939"/>
    <w:rsid w:val="008B7671"/>
    <w:rsid w:val="008D03BE"/>
    <w:rsid w:val="008D4E30"/>
    <w:rsid w:val="008D6120"/>
    <w:rsid w:val="008E2D70"/>
    <w:rsid w:val="008E3078"/>
    <w:rsid w:val="008E6A21"/>
    <w:rsid w:val="008F4C28"/>
    <w:rsid w:val="008F5FD4"/>
    <w:rsid w:val="008F675F"/>
    <w:rsid w:val="008F731C"/>
    <w:rsid w:val="008F7FAC"/>
    <w:rsid w:val="00900CD9"/>
    <w:rsid w:val="00904946"/>
    <w:rsid w:val="00905A08"/>
    <w:rsid w:val="009076D1"/>
    <w:rsid w:val="009079BE"/>
    <w:rsid w:val="00912C49"/>
    <w:rsid w:val="009165C2"/>
    <w:rsid w:val="00916B2F"/>
    <w:rsid w:val="00917A55"/>
    <w:rsid w:val="00917A79"/>
    <w:rsid w:val="00921691"/>
    <w:rsid w:val="00923E3D"/>
    <w:rsid w:val="00924852"/>
    <w:rsid w:val="00924D11"/>
    <w:rsid w:val="009258E9"/>
    <w:rsid w:val="009303F3"/>
    <w:rsid w:val="009332A9"/>
    <w:rsid w:val="009341F3"/>
    <w:rsid w:val="0093476C"/>
    <w:rsid w:val="00936359"/>
    <w:rsid w:val="00937F23"/>
    <w:rsid w:val="00942AD9"/>
    <w:rsid w:val="00946C77"/>
    <w:rsid w:val="0094768E"/>
    <w:rsid w:val="009478BA"/>
    <w:rsid w:val="009501E6"/>
    <w:rsid w:val="00950EEB"/>
    <w:rsid w:val="009513D6"/>
    <w:rsid w:val="009518A1"/>
    <w:rsid w:val="0095259F"/>
    <w:rsid w:val="00953012"/>
    <w:rsid w:val="0095574D"/>
    <w:rsid w:val="00962F97"/>
    <w:rsid w:val="0096335A"/>
    <w:rsid w:val="009639CA"/>
    <w:rsid w:val="00966214"/>
    <w:rsid w:val="009668BF"/>
    <w:rsid w:val="009668FF"/>
    <w:rsid w:val="00967DDA"/>
    <w:rsid w:val="00971525"/>
    <w:rsid w:val="00974713"/>
    <w:rsid w:val="00974A20"/>
    <w:rsid w:val="00977F63"/>
    <w:rsid w:val="009809F8"/>
    <w:rsid w:val="00982F8A"/>
    <w:rsid w:val="00982F8E"/>
    <w:rsid w:val="00986FBE"/>
    <w:rsid w:val="0099071E"/>
    <w:rsid w:val="0099151C"/>
    <w:rsid w:val="009921AF"/>
    <w:rsid w:val="00994EEC"/>
    <w:rsid w:val="00996AA4"/>
    <w:rsid w:val="00996D04"/>
    <w:rsid w:val="009970F1"/>
    <w:rsid w:val="009A04DF"/>
    <w:rsid w:val="009A1EA9"/>
    <w:rsid w:val="009A1FF6"/>
    <w:rsid w:val="009A37B2"/>
    <w:rsid w:val="009A38B6"/>
    <w:rsid w:val="009B4674"/>
    <w:rsid w:val="009B64A6"/>
    <w:rsid w:val="009B791C"/>
    <w:rsid w:val="009C3C8F"/>
    <w:rsid w:val="009C4056"/>
    <w:rsid w:val="009C5B3A"/>
    <w:rsid w:val="009C6EB8"/>
    <w:rsid w:val="009D3978"/>
    <w:rsid w:val="009D626B"/>
    <w:rsid w:val="009D6CED"/>
    <w:rsid w:val="009D77B1"/>
    <w:rsid w:val="009E030A"/>
    <w:rsid w:val="009E0DA2"/>
    <w:rsid w:val="009E1FF0"/>
    <w:rsid w:val="009E34F9"/>
    <w:rsid w:val="009E503E"/>
    <w:rsid w:val="009F0A12"/>
    <w:rsid w:val="009F49DF"/>
    <w:rsid w:val="009F5E7B"/>
    <w:rsid w:val="009F6ED8"/>
    <w:rsid w:val="00A03648"/>
    <w:rsid w:val="00A0422A"/>
    <w:rsid w:val="00A049E9"/>
    <w:rsid w:val="00A16C64"/>
    <w:rsid w:val="00A17842"/>
    <w:rsid w:val="00A23AA2"/>
    <w:rsid w:val="00A25DB9"/>
    <w:rsid w:val="00A277A3"/>
    <w:rsid w:val="00A2787F"/>
    <w:rsid w:val="00A30AC8"/>
    <w:rsid w:val="00A32764"/>
    <w:rsid w:val="00A361B2"/>
    <w:rsid w:val="00A4060E"/>
    <w:rsid w:val="00A46D6F"/>
    <w:rsid w:val="00A47B98"/>
    <w:rsid w:val="00A50019"/>
    <w:rsid w:val="00A52431"/>
    <w:rsid w:val="00A549BC"/>
    <w:rsid w:val="00A5691B"/>
    <w:rsid w:val="00A613D4"/>
    <w:rsid w:val="00A66880"/>
    <w:rsid w:val="00A72C0D"/>
    <w:rsid w:val="00A731AC"/>
    <w:rsid w:val="00A73362"/>
    <w:rsid w:val="00A73B0F"/>
    <w:rsid w:val="00A74C06"/>
    <w:rsid w:val="00A74EF7"/>
    <w:rsid w:val="00A76328"/>
    <w:rsid w:val="00A766F8"/>
    <w:rsid w:val="00A81E5C"/>
    <w:rsid w:val="00A82931"/>
    <w:rsid w:val="00A8538E"/>
    <w:rsid w:val="00A86382"/>
    <w:rsid w:val="00A877CB"/>
    <w:rsid w:val="00A9306E"/>
    <w:rsid w:val="00A93E00"/>
    <w:rsid w:val="00A9483A"/>
    <w:rsid w:val="00A95658"/>
    <w:rsid w:val="00AA33F2"/>
    <w:rsid w:val="00AA67D9"/>
    <w:rsid w:val="00AB6130"/>
    <w:rsid w:val="00AB6F4F"/>
    <w:rsid w:val="00AC2586"/>
    <w:rsid w:val="00AC3538"/>
    <w:rsid w:val="00AC391C"/>
    <w:rsid w:val="00AC3DB8"/>
    <w:rsid w:val="00AC6FD0"/>
    <w:rsid w:val="00AD2D69"/>
    <w:rsid w:val="00AD4FA1"/>
    <w:rsid w:val="00AD599F"/>
    <w:rsid w:val="00AE205E"/>
    <w:rsid w:val="00AE6A29"/>
    <w:rsid w:val="00AE70E3"/>
    <w:rsid w:val="00AE75A0"/>
    <w:rsid w:val="00AF2FBA"/>
    <w:rsid w:val="00AF44F5"/>
    <w:rsid w:val="00AF4DD5"/>
    <w:rsid w:val="00B016C4"/>
    <w:rsid w:val="00B02F5B"/>
    <w:rsid w:val="00B07A3A"/>
    <w:rsid w:val="00B1047F"/>
    <w:rsid w:val="00B12354"/>
    <w:rsid w:val="00B127A0"/>
    <w:rsid w:val="00B13FE3"/>
    <w:rsid w:val="00B15196"/>
    <w:rsid w:val="00B15B95"/>
    <w:rsid w:val="00B15E1C"/>
    <w:rsid w:val="00B167FC"/>
    <w:rsid w:val="00B178D2"/>
    <w:rsid w:val="00B25168"/>
    <w:rsid w:val="00B260AF"/>
    <w:rsid w:val="00B31C35"/>
    <w:rsid w:val="00B32EBE"/>
    <w:rsid w:val="00B3770C"/>
    <w:rsid w:val="00B40A66"/>
    <w:rsid w:val="00B41813"/>
    <w:rsid w:val="00B41A77"/>
    <w:rsid w:val="00B41B8F"/>
    <w:rsid w:val="00B423DC"/>
    <w:rsid w:val="00B441D4"/>
    <w:rsid w:val="00B45152"/>
    <w:rsid w:val="00B458FB"/>
    <w:rsid w:val="00B460AB"/>
    <w:rsid w:val="00B47B18"/>
    <w:rsid w:val="00B504BE"/>
    <w:rsid w:val="00B5221D"/>
    <w:rsid w:val="00B5318B"/>
    <w:rsid w:val="00B54173"/>
    <w:rsid w:val="00B541FC"/>
    <w:rsid w:val="00B54223"/>
    <w:rsid w:val="00B56234"/>
    <w:rsid w:val="00B63509"/>
    <w:rsid w:val="00B6587E"/>
    <w:rsid w:val="00B66443"/>
    <w:rsid w:val="00B66891"/>
    <w:rsid w:val="00B66B5D"/>
    <w:rsid w:val="00B67D13"/>
    <w:rsid w:val="00B71EA8"/>
    <w:rsid w:val="00B75CE1"/>
    <w:rsid w:val="00B764C8"/>
    <w:rsid w:val="00B76859"/>
    <w:rsid w:val="00B8245D"/>
    <w:rsid w:val="00B85E03"/>
    <w:rsid w:val="00B86F8B"/>
    <w:rsid w:val="00B9089D"/>
    <w:rsid w:val="00B95B72"/>
    <w:rsid w:val="00B978F5"/>
    <w:rsid w:val="00BA4CE4"/>
    <w:rsid w:val="00BA5084"/>
    <w:rsid w:val="00BB250E"/>
    <w:rsid w:val="00BB59DE"/>
    <w:rsid w:val="00BB5B2B"/>
    <w:rsid w:val="00BC5E35"/>
    <w:rsid w:val="00BD06FE"/>
    <w:rsid w:val="00BD073D"/>
    <w:rsid w:val="00BD0E4E"/>
    <w:rsid w:val="00BD66D1"/>
    <w:rsid w:val="00BE2D25"/>
    <w:rsid w:val="00BE32B8"/>
    <w:rsid w:val="00BE3C39"/>
    <w:rsid w:val="00BE50BF"/>
    <w:rsid w:val="00BF1F48"/>
    <w:rsid w:val="00BF4B00"/>
    <w:rsid w:val="00BF4E9B"/>
    <w:rsid w:val="00BF566C"/>
    <w:rsid w:val="00BF6448"/>
    <w:rsid w:val="00BF6CAD"/>
    <w:rsid w:val="00C02836"/>
    <w:rsid w:val="00C04A5B"/>
    <w:rsid w:val="00C104B1"/>
    <w:rsid w:val="00C10E74"/>
    <w:rsid w:val="00C11825"/>
    <w:rsid w:val="00C14F45"/>
    <w:rsid w:val="00C16826"/>
    <w:rsid w:val="00C16FD0"/>
    <w:rsid w:val="00C1760D"/>
    <w:rsid w:val="00C176DD"/>
    <w:rsid w:val="00C21F2B"/>
    <w:rsid w:val="00C24532"/>
    <w:rsid w:val="00C27250"/>
    <w:rsid w:val="00C30DE1"/>
    <w:rsid w:val="00C3391D"/>
    <w:rsid w:val="00C33D72"/>
    <w:rsid w:val="00C34332"/>
    <w:rsid w:val="00C350E1"/>
    <w:rsid w:val="00C35422"/>
    <w:rsid w:val="00C361C7"/>
    <w:rsid w:val="00C36FBA"/>
    <w:rsid w:val="00C40060"/>
    <w:rsid w:val="00C40F67"/>
    <w:rsid w:val="00C4131F"/>
    <w:rsid w:val="00C420A2"/>
    <w:rsid w:val="00C424A9"/>
    <w:rsid w:val="00C445A6"/>
    <w:rsid w:val="00C51AB0"/>
    <w:rsid w:val="00C51FD5"/>
    <w:rsid w:val="00C53B5E"/>
    <w:rsid w:val="00C55654"/>
    <w:rsid w:val="00C5623E"/>
    <w:rsid w:val="00C6053B"/>
    <w:rsid w:val="00C60762"/>
    <w:rsid w:val="00C664F4"/>
    <w:rsid w:val="00C67109"/>
    <w:rsid w:val="00C71E69"/>
    <w:rsid w:val="00C725CB"/>
    <w:rsid w:val="00C72605"/>
    <w:rsid w:val="00C728C0"/>
    <w:rsid w:val="00C740C3"/>
    <w:rsid w:val="00C76F57"/>
    <w:rsid w:val="00C8238B"/>
    <w:rsid w:val="00C90655"/>
    <w:rsid w:val="00C92AA8"/>
    <w:rsid w:val="00C94250"/>
    <w:rsid w:val="00C96C7E"/>
    <w:rsid w:val="00C974F8"/>
    <w:rsid w:val="00CA18B6"/>
    <w:rsid w:val="00CA723B"/>
    <w:rsid w:val="00CA7579"/>
    <w:rsid w:val="00CB0A16"/>
    <w:rsid w:val="00CB1503"/>
    <w:rsid w:val="00CB1505"/>
    <w:rsid w:val="00CB2493"/>
    <w:rsid w:val="00CB2536"/>
    <w:rsid w:val="00CC0B71"/>
    <w:rsid w:val="00CC4EE5"/>
    <w:rsid w:val="00CC743C"/>
    <w:rsid w:val="00CD01DE"/>
    <w:rsid w:val="00CD2424"/>
    <w:rsid w:val="00CD4CB6"/>
    <w:rsid w:val="00CD575C"/>
    <w:rsid w:val="00CD671E"/>
    <w:rsid w:val="00CD6727"/>
    <w:rsid w:val="00CD7C97"/>
    <w:rsid w:val="00CD7EB4"/>
    <w:rsid w:val="00CE495C"/>
    <w:rsid w:val="00CE6485"/>
    <w:rsid w:val="00CE7E6B"/>
    <w:rsid w:val="00CE7FDB"/>
    <w:rsid w:val="00CF0AB6"/>
    <w:rsid w:val="00CF1ED2"/>
    <w:rsid w:val="00CF2C00"/>
    <w:rsid w:val="00CF4868"/>
    <w:rsid w:val="00D0191E"/>
    <w:rsid w:val="00D0216B"/>
    <w:rsid w:val="00D04E33"/>
    <w:rsid w:val="00D050DE"/>
    <w:rsid w:val="00D051AF"/>
    <w:rsid w:val="00D05D51"/>
    <w:rsid w:val="00D06C67"/>
    <w:rsid w:val="00D07351"/>
    <w:rsid w:val="00D1300C"/>
    <w:rsid w:val="00D139A8"/>
    <w:rsid w:val="00D14014"/>
    <w:rsid w:val="00D15670"/>
    <w:rsid w:val="00D15947"/>
    <w:rsid w:val="00D20D7B"/>
    <w:rsid w:val="00D2120B"/>
    <w:rsid w:val="00D22C4D"/>
    <w:rsid w:val="00D23653"/>
    <w:rsid w:val="00D260B4"/>
    <w:rsid w:val="00D31342"/>
    <w:rsid w:val="00D3229B"/>
    <w:rsid w:val="00D339B8"/>
    <w:rsid w:val="00D34198"/>
    <w:rsid w:val="00D34C9C"/>
    <w:rsid w:val="00D350D5"/>
    <w:rsid w:val="00D368BD"/>
    <w:rsid w:val="00D40DC2"/>
    <w:rsid w:val="00D45D86"/>
    <w:rsid w:val="00D52FF6"/>
    <w:rsid w:val="00D543A8"/>
    <w:rsid w:val="00D55457"/>
    <w:rsid w:val="00D62BC3"/>
    <w:rsid w:val="00D62E1E"/>
    <w:rsid w:val="00D637E9"/>
    <w:rsid w:val="00D639D7"/>
    <w:rsid w:val="00D6731E"/>
    <w:rsid w:val="00D70AD7"/>
    <w:rsid w:val="00D7240E"/>
    <w:rsid w:val="00D74CFD"/>
    <w:rsid w:val="00D74F56"/>
    <w:rsid w:val="00D75291"/>
    <w:rsid w:val="00D76D12"/>
    <w:rsid w:val="00D7735B"/>
    <w:rsid w:val="00D809BC"/>
    <w:rsid w:val="00D81BBB"/>
    <w:rsid w:val="00D833F3"/>
    <w:rsid w:val="00D86C7E"/>
    <w:rsid w:val="00D95850"/>
    <w:rsid w:val="00D967C2"/>
    <w:rsid w:val="00DA27B5"/>
    <w:rsid w:val="00DA4E5E"/>
    <w:rsid w:val="00DA6C96"/>
    <w:rsid w:val="00DB127A"/>
    <w:rsid w:val="00DB16AE"/>
    <w:rsid w:val="00DB2279"/>
    <w:rsid w:val="00DB67E9"/>
    <w:rsid w:val="00DB6865"/>
    <w:rsid w:val="00DC396F"/>
    <w:rsid w:val="00DC6AF3"/>
    <w:rsid w:val="00DD1FC1"/>
    <w:rsid w:val="00DD2B28"/>
    <w:rsid w:val="00DD6181"/>
    <w:rsid w:val="00DD7E02"/>
    <w:rsid w:val="00DE18CE"/>
    <w:rsid w:val="00DE58F5"/>
    <w:rsid w:val="00DE62FC"/>
    <w:rsid w:val="00DF0998"/>
    <w:rsid w:val="00DF4627"/>
    <w:rsid w:val="00DF6745"/>
    <w:rsid w:val="00DF729A"/>
    <w:rsid w:val="00DF74F2"/>
    <w:rsid w:val="00E007D6"/>
    <w:rsid w:val="00E02056"/>
    <w:rsid w:val="00E13E3B"/>
    <w:rsid w:val="00E15B7B"/>
    <w:rsid w:val="00E1744A"/>
    <w:rsid w:val="00E174BB"/>
    <w:rsid w:val="00E17EBF"/>
    <w:rsid w:val="00E20B3B"/>
    <w:rsid w:val="00E22259"/>
    <w:rsid w:val="00E24DDE"/>
    <w:rsid w:val="00E26C5D"/>
    <w:rsid w:val="00E3095F"/>
    <w:rsid w:val="00E30E0B"/>
    <w:rsid w:val="00E337A8"/>
    <w:rsid w:val="00E33CBE"/>
    <w:rsid w:val="00E360A2"/>
    <w:rsid w:val="00E4074A"/>
    <w:rsid w:val="00E418AB"/>
    <w:rsid w:val="00E420A0"/>
    <w:rsid w:val="00E44383"/>
    <w:rsid w:val="00E44E5D"/>
    <w:rsid w:val="00E4683C"/>
    <w:rsid w:val="00E47BC4"/>
    <w:rsid w:val="00E5198F"/>
    <w:rsid w:val="00E525C7"/>
    <w:rsid w:val="00E556A7"/>
    <w:rsid w:val="00E55DBE"/>
    <w:rsid w:val="00E570D3"/>
    <w:rsid w:val="00E57F6B"/>
    <w:rsid w:val="00E6024E"/>
    <w:rsid w:val="00E65E77"/>
    <w:rsid w:val="00E65F8E"/>
    <w:rsid w:val="00E70760"/>
    <w:rsid w:val="00E729B8"/>
    <w:rsid w:val="00E73F5D"/>
    <w:rsid w:val="00E747CA"/>
    <w:rsid w:val="00E7529A"/>
    <w:rsid w:val="00E75FD8"/>
    <w:rsid w:val="00E7666A"/>
    <w:rsid w:val="00E76835"/>
    <w:rsid w:val="00E76C55"/>
    <w:rsid w:val="00E81DDB"/>
    <w:rsid w:val="00E84C25"/>
    <w:rsid w:val="00E84FD2"/>
    <w:rsid w:val="00E85313"/>
    <w:rsid w:val="00E85316"/>
    <w:rsid w:val="00E8579F"/>
    <w:rsid w:val="00E87965"/>
    <w:rsid w:val="00E87D4B"/>
    <w:rsid w:val="00E91163"/>
    <w:rsid w:val="00E91529"/>
    <w:rsid w:val="00E94B8A"/>
    <w:rsid w:val="00E94BCD"/>
    <w:rsid w:val="00EA09D5"/>
    <w:rsid w:val="00EA135F"/>
    <w:rsid w:val="00EA15C6"/>
    <w:rsid w:val="00EA1B36"/>
    <w:rsid w:val="00EA216A"/>
    <w:rsid w:val="00EA2AA6"/>
    <w:rsid w:val="00EA6087"/>
    <w:rsid w:val="00EB11A4"/>
    <w:rsid w:val="00EB4592"/>
    <w:rsid w:val="00EB5619"/>
    <w:rsid w:val="00EB7221"/>
    <w:rsid w:val="00EC03AE"/>
    <w:rsid w:val="00EC113C"/>
    <w:rsid w:val="00EC172B"/>
    <w:rsid w:val="00EC67B1"/>
    <w:rsid w:val="00EC7378"/>
    <w:rsid w:val="00ED66B8"/>
    <w:rsid w:val="00EF0331"/>
    <w:rsid w:val="00EF0AE8"/>
    <w:rsid w:val="00EF312F"/>
    <w:rsid w:val="00EF5642"/>
    <w:rsid w:val="00F0188B"/>
    <w:rsid w:val="00F02348"/>
    <w:rsid w:val="00F03FB3"/>
    <w:rsid w:val="00F06AA4"/>
    <w:rsid w:val="00F07228"/>
    <w:rsid w:val="00F10BFB"/>
    <w:rsid w:val="00F127FD"/>
    <w:rsid w:val="00F1431A"/>
    <w:rsid w:val="00F22A4F"/>
    <w:rsid w:val="00F22A70"/>
    <w:rsid w:val="00F23E0E"/>
    <w:rsid w:val="00F272F5"/>
    <w:rsid w:val="00F31511"/>
    <w:rsid w:val="00F32C4E"/>
    <w:rsid w:val="00F33F3F"/>
    <w:rsid w:val="00F35089"/>
    <w:rsid w:val="00F35E8E"/>
    <w:rsid w:val="00F408B2"/>
    <w:rsid w:val="00F4220C"/>
    <w:rsid w:val="00F4330E"/>
    <w:rsid w:val="00F4559E"/>
    <w:rsid w:val="00F45828"/>
    <w:rsid w:val="00F45DB9"/>
    <w:rsid w:val="00F50532"/>
    <w:rsid w:val="00F532DA"/>
    <w:rsid w:val="00F53FD6"/>
    <w:rsid w:val="00F54D4A"/>
    <w:rsid w:val="00F57B11"/>
    <w:rsid w:val="00F57E17"/>
    <w:rsid w:val="00F604E0"/>
    <w:rsid w:val="00F62D41"/>
    <w:rsid w:val="00F62F22"/>
    <w:rsid w:val="00F639A0"/>
    <w:rsid w:val="00F64F1D"/>
    <w:rsid w:val="00F72A9D"/>
    <w:rsid w:val="00F72E4B"/>
    <w:rsid w:val="00F74177"/>
    <w:rsid w:val="00F749EB"/>
    <w:rsid w:val="00F7726A"/>
    <w:rsid w:val="00F7734E"/>
    <w:rsid w:val="00F81291"/>
    <w:rsid w:val="00F81577"/>
    <w:rsid w:val="00F827FC"/>
    <w:rsid w:val="00F832C6"/>
    <w:rsid w:val="00F83BB9"/>
    <w:rsid w:val="00F85185"/>
    <w:rsid w:val="00F859A0"/>
    <w:rsid w:val="00F87279"/>
    <w:rsid w:val="00F9029C"/>
    <w:rsid w:val="00F909B4"/>
    <w:rsid w:val="00F90D14"/>
    <w:rsid w:val="00F910E0"/>
    <w:rsid w:val="00F920FF"/>
    <w:rsid w:val="00F9394C"/>
    <w:rsid w:val="00F93FED"/>
    <w:rsid w:val="00F94748"/>
    <w:rsid w:val="00F95041"/>
    <w:rsid w:val="00F95EBC"/>
    <w:rsid w:val="00F9646A"/>
    <w:rsid w:val="00F96848"/>
    <w:rsid w:val="00FA3E69"/>
    <w:rsid w:val="00FB1A02"/>
    <w:rsid w:val="00FB365C"/>
    <w:rsid w:val="00FB4954"/>
    <w:rsid w:val="00FB7230"/>
    <w:rsid w:val="00FB7473"/>
    <w:rsid w:val="00FC099F"/>
    <w:rsid w:val="00FC1AFA"/>
    <w:rsid w:val="00FC53E7"/>
    <w:rsid w:val="00FC623E"/>
    <w:rsid w:val="00FC6E22"/>
    <w:rsid w:val="00FD0FB3"/>
    <w:rsid w:val="00FD1F14"/>
    <w:rsid w:val="00FD30A0"/>
    <w:rsid w:val="00FD44A7"/>
    <w:rsid w:val="00FD6667"/>
    <w:rsid w:val="00FE1344"/>
    <w:rsid w:val="00FE1D76"/>
    <w:rsid w:val="00FE3F05"/>
    <w:rsid w:val="00FE68FA"/>
    <w:rsid w:val="00FE6ECC"/>
    <w:rsid w:val="00FF0F75"/>
    <w:rsid w:val="00FF2A91"/>
    <w:rsid w:val="00FF402C"/>
    <w:rsid w:val="00FF4C67"/>
    <w:rsid w:val="00FF74CB"/>
    <w:rsid w:val="00FF7F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00095D"/>
  <w15:chartTrackingRefBased/>
  <w15:docId w15:val="{214D5308-4B1B-4F2F-A21C-55E28ED9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2262"/>
    <w:rPr>
      <w:rFonts w:ascii="Arial" w:hAnsi="Arial"/>
      <w:sz w:val="24"/>
    </w:rPr>
  </w:style>
  <w:style w:type="paragraph" w:styleId="berschrift1">
    <w:name w:val="heading 1"/>
    <w:basedOn w:val="Standard"/>
    <w:link w:val="berschrift1Zchn"/>
    <w:uiPriority w:val="9"/>
    <w:qFormat/>
    <w:locked/>
    <w:rsid w:val="006E3984"/>
    <w:pPr>
      <w:spacing w:before="100" w:beforeAutospacing="1" w:after="100" w:afterAutospacing="1"/>
      <w:outlineLvl w:val="0"/>
    </w:pPr>
    <w:rPr>
      <w:rFonts w:ascii="Times New Roman" w:hAnsi="Times New Roman"/>
      <w:b/>
      <w:bCs/>
      <w:kern w:val="36"/>
      <w:sz w:val="48"/>
      <w:szCs w:val="48"/>
    </w:rPr>
  </w:style>
  <w:style w:type="paragraph" w:styleId="berschrift2">
    <w:name w:val="heading 2"/>
    <w:basedOn w:val="Standard"/>
    <w:next w:val="Standard"/>
    <w:link w:val="berschrift2Zchn"/>
    <w:semiHidden/>
    <w:unhideWhenUsed/>
    <w:qFormat/>
    <w:locked/>
    <w:rsid w:val="00AC353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semiHidden/>
    <w:unhideWhenUsed/>
    <w:qFormat/>
    <w:locked/>
    <w:rsid w:val="004000C5"/>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F2262"/>
    <w:pPr>
      <w:tabs>
        <w:tab w:val="center" w:pos="4536"/>
        <w:tab w:val="right" w:pos="9072"/>
      </w:tabs>
    </w:pPr>
  </w:style>
  <w:style w:type="character" w:customStyle="1" w:styleId="KopfzeileZchn">
    <w:name w:val="Kopfzeile Zchn"/>
    <w:link w:val="Kopfzeile"/>
    <w:uiPriority w:val="99"/>
    <w:semiHidden/>
    <w:rsid w:val="00881458"/>
    <w:rPr>
      <w:rFonts w:ascii="Arial" w:hAnsi="Arial"/>
      <w:sz w:val="24"/>
      <w:szCs w:val="20"/>
    </w:rPr>
  </w:style>
  <w:style w:type="paragraph" w:styleId="Fuzeile">
    <w:name w:val="footer"/>
    <w:basedOn w:val="Standard"/>
    <w:link w:val="FuzeileZchn"/>
    <w:rsid w:val="005F2262"/>
    <w:pPr>
      <w:tabs>
        <w:tab w:val="center" w:pos="4536"/>
        <w:tab w:val="right" w:pos="9072"/>
      </w:tabs>
    </w:pPr>
  </w:style>
  <w:style w:type="character" w:customStyle="1" w:styleId="FuzeileZchn">
    <w:name w:val="Fußzeile Zchn"/>
    <w:link w:val="Fuzeile"/>
    <w:uiPriority w:val="99"/>
    <w:rsid w:val="00881458"/>
    <w:rPr>
      <w:rFonts w:ascii="Arial" w:hAnsi="Arial"/>
      <w:sz w:val="24"/>
      <w:szCs w:val="20"/>
    </w:rPr>
  </w:style>
  <w:style w:type="table" w:customStyle="1" w:styleId="Tabellengitternetz">
    <w:name w:val="Tabellengitternetz"/>
    <w:basedOn w:val="NormaleTabelle"/>
    <w:uiPriority w:val="99"/>
    <w:rsid w:val="005F2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uiPriority w:val="99"/>
    <w:rsid w:val="00A52431"/>
    <w:rPr>
      <w:rFonts w:cs="Times New Roman"/>
    </w:rPr>
  </w:style>
  <w:style w:type="paragraph" w:styleId="Dokumentstruktur">
    <w:name w:val="Document Map"/>
    <w:basedOn w:val="Standard"/>
    <w:link w:val="DokumentstrukturZchn"/>
    <w:uiPriority w:val="99"/>
    <w:semiHidden/>
    <w:rsid w:val="00855DC9"/>
    <w:pPr>
      <w:shd w:val="clear" w:color="auto" w:fill="000080"/>
    </w:pPr>
    <w:rPr>
      <w:rFonts w:ascii="Tahoma" w:hAnsi="Tahoma" w:cs="Tahoma"/>
      <w:sz w:val="20"/>
    </w:rPr>
  </w:style>
  <w:style w:type="character" w:customStyle="1" w:styleId="DokumentstrukturZchn">
    <w:name w:val="Dokumentstruktur Zchn"/>
    <w:link w:val="Dokumentstruktur"/>
    <w:uiPriority w:val="99"/>
    <w:semiHidden/>
    <w:rsid w:val="00881458"/>
    <w:rPr>
      <w:sz w:val="0"/>
      <w:szCs w:val="0"/>
    </w:rPr>
  </w:style>
  <w:style w:type="paragraph" w:styleId="berarbeitung">
    <w:name w:val="Revision"/>
    <w:hidden/>
    <w:uiPriority w:val="99"/>
    <w:semiHidden/>
    <w:rsid w:val="008804B4"/>
    <w:rPr>
      <w:rFonts w:ascii="Arial" w:hAnsi="Arial"/>
      <w:sz w:val="24"/>
    </w:rPr>
  </w:style>
  <w:style w:type="paragraph" w:styleId="Sprechblasentext">
    <w:name w:val="Balloon Text"/>
    <w:basedOn w:val="Standard"/>
    <w:link w:val="SprechblasentextZchn"/>
    <w:uiPriority w:val="99"/>
    <w:rsid w:val="008804B4"/>
    <w:rPr>
      <w:rFonts w:ascii="Tahoma" w:hAnsi="Tahoma" w:cs="Tahoma"/>
      <w:sz w:val="16"/>
      <w:szCs w:val="16"/>
    </w:rPr>
  </w:style>
  <w:style w:type="character" w:customStyle="1" w:styleId="SprechblasentextZchn">
    <w:name w:val="Sprechblasentext Zchn"/>
    <w:link w:val="Sprechblasentext"/>
    <w:uiPriority w:val="99"/>
    <w:locked/>
    <w:rsid w:val="008804B4"/>
    <w:rPr>
      <w:rFonts w:ascii="Tahoma" w:hAnsi="Tahoma" w:cs="Tahoma"/>
      <w:sz w:val="16"/>
      <w:szCs w:val="16"/>
    </w:rPr>
  </w:style>
  <w:style w:type="paragraph" w:styleId="Listenabsatz">
    <w:name w:val="List Paragraph"/>
    <w:aliases w:val="- Aufuzählung"/>
    <w:basedOn w:val="Standard"/>
    <w:uiPriority w:val="34"/>
    <w:qFormat/>
    <w:rsid w:val="00B167FC"/>
    <w:pPr>
      <w:ind w:left="708"/>
    </w:pPr>
  </w:style>
  <w:style w:type="character" w:styleId="Hervorhebung">
    <w:name w:val="Emphasis"/>
    <w:uiPriority w:val="99"/>
    <w:qFormat/>
    <w:rsid w:val="00042C6C"/>
    <w:rPr>
      <w:rFonts w:cs="Times New Roman"/>
      <w:i/>
      <w:iCs/>
    </w:rPr>
  </w:style>
  <w:style w:type="paragraph" w:styleId="KeinLeerraum">
    <w:name w:val="No Spacing"/>
    <w:uiPriority w:val="1"/>
    <w:qFormat/>
    <w:rsid w:val="000B7620"/>
    <w:rPr>
      <w:rFonts w:ascii="Calibri" w:eastAsia="Calibri" w:hAnsi="Calibri"/>
      <w:sz w:val="22"/>
      <w:szCs w:val="22"/>
      <w:lang w:eastAsia="en-US"/>
    </w:rPr>
  </w:style>
  <w:style w:type="paragraph" w:styleId="Funotentext">
    <w:name w:val="footnote text"/>
    <w:basedOn w:val="Standard"/>
    <w:link w:val="FunotentextZchn"/>
    <w:uiPriority w:val="99"/>
    <w:semiHidden/>
    <w:unhideWhenUsed/>
    <w:rsid w:val="00315ACF"/>
    <w:rPr>
      <w:sz w:val="20"/>
    </w:rPr>
  </w:style>
  <w:style w:type="character" w:customStyle="1" w:styleId="FunotentextZchn">
    <w:name w:val="Fußnotentext Zchn"/>
    <w:basedOn w:val="Absatz-Standardschriftart"/>
    <w:link w:val="Funotentext"/>
    <w:uiPriority w:val="99"/>
    <w:semiHidden/>
    <w:rsid w:val="00315ACF"/>
    <w:rPr>
      <w:rFonts w:ascii="Arial" w:hAnsi="Arial"/>
    </w:rPr>
  </w:style>
  <w:style w:type="character" w:styleId="Funotenzeichen">
    <w:name w:val="footnote reference"/>
    <w:uiPriority w:val="99"/>
    <w:semiHidden/>
    <w:unhideWhenUsed/>
    <w:rsid w:val="00315ACF"/>
    <w:rPr>
      <w:vertAlign w:val="superscript"/>
    </w:rPr>
  </w:style>
  <w:style w:type="paragraph" w:customStyle="1" w:styleId="Default">
    <w:name w:val="Default"/>
    <w:rsid w:val="005D600F"/>
    <w:pPr>
      <w:autoSpaceDE w:val="0"/>
      <w:autoSpaceDN w:val="0"/>
      <w:adjustRightInd w:val="0"/>
    </w:pPr>
    <w:rPr>
      <w:rFonts w:ascii="Cambria" w:hAnsi="Cambria" w:cs="Cambria"/>
      <w:color w:val="000000"/>
      <w:sz w:val="24"/>
      <w:szCs w:val="24"/>
    </w:rPr>
  </w:style>
  <w:style w:type="table" w:styleId="Tabellenraster">
    <w:name w:val="Table Grid"/>
    <w:basedOn w:val="NormaleTabelle"/>
    <w:uiPriority w:val="59"/>
    <w:rsid w:val="00D07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99"/>
    <w:unhideWhenUsed/>
    <w:qFormat/>
    <w:locked/>
    <w:rsid w:val="006433D4"/>
    <w:pPr>
      <w:spacing w:after="200"/>
    </w:pPr>
    <w:rPr>
      <w:i/>
      <w:iCs/>
      <w:color w:val="44546A" w:themeColor="text2"/>
      <w:sz w:val="18"/>
      <w:szCs w:val="18"/>
    </w:rPr>
  </w:style>
  <w:style w:type="character" w:styleId="Hyperlink">
    <w:name w:val="Hyperlink"/>
    <w:basedOn w:val="Absatz-Standardschriftart"/>
    <w:uiPriority w:val="99"/>
    <w:unhideWhenUsed/>
    <w:rsid w:val="00A73B0F"/>
    <w:rPr>
      <w:color w:val="0000FF"/>
      <w:u w:val="single"/>
    </w:rPr>
  </w:style>
  <w:style w:type="paragraph" w:styleId="StandardWeb">
    <w:name w:val="Normal (Web)"/>
    <w:basedOn w:val="Standard"/>
    <w:uiPriority w:val="99"/>
    <w:semiHidden/>
    <w:unhideWhenUsed/>
    <w:rsid w:val="0046027A"/>
    <w:pPr>
      <w:spacing w:before="100" w:beforeAutospacing="1" w:after="100" w:afterAutospacing="1"/>
    </w:pPr>
    <w:rPr>
      <w:rFonts w:ascii="Times New Roman" w:hAnsi="Times New Roman"/>
      <w:szCs w:val="24"/>
    </w:rPr>
  </w:style>
  <w:style w:type="character" w:customStyle="1" w:styleId="berschrift1Zchn">
    <w:name w:val="Überschrift 1 Zchn"/>
    <w:basedOn w:val="Absatz-Standardschriftart"/>
    <w:link w:val="berschrift1"/>
    <w:uiPriority w:val="9"/>
    <w:rsid w:val="006E3984"/>
    <w:rPr>
      <w:b/>
      <w:bCs/>
      <w:kern w:val="36"/>
      <w:sz w:val="48"/>
      <w:szCs w:val="48"/>
    </w:rPr>
  </w:style>
  <w:style w:type="paragraph" w:customStyle="1" w:styleId="Standard1">
    <w:name w:val="Standard1"/>
    <w:rsid w:val="001A2730"/>
    <w:pPr>
      <w:jc w:val="both"/>
    </w:pPr>
    <w:rPr>
      <w:rFonts w:ascii="Cambria" w:eastAsia="ヒラギノ角ゴ Pro W3" w:hAnsi="Cambria"/>
      <w:color w:val="000000"/>
      <w:sz w:val="22"/>
    </w:rPr>
  </w:style>
  <w:style w:type="character" w:styleId="Fett">
    <w:name w:val="Strong"/>
    <w:basedOn w:val="Absatz-Standardschriftart"/>
    <w:uiPriority w:val="22"/>
    <w:qFormat/>
    <w:locked/>
    <w:rsid w:val="00F1431A"/>
    <w:rPr>
      <w:b/>
      <w:bCs/>
    </w:rPr>
  </w:style>
  <w:style w:type="character" w:styleId="BesuchterLink">
    <w:name w:val="FollowedHyperlink"/>
    <w:basedOn w:val="Absatz-Standardschriftart"/>
    <w:uiPriority w:val="99"/>
    <w:semiHidden/>
    <w:unhideWhenUsed/>
    <w:rsid w:val="00C51AB0"/>
    <w:rPr>
      <w:color w:val="954F72" w:themeColor="followedHyperlink"/>
      <w:u w:val="single"/>
    </w:rPr>
  </w:style>
  <w:style w:type="character" w:styleId="Kommentarzeichen">
    <w:name w:val="annotation reference"/>
    <w:basedOn w:val="Absatz-Standardschriftart"/>
    <w:uiPriority w:val="99"/>
    <w:semiHidden/>
    <w:unhideWhenUsed/>
    <w:rsid w:val="00287ABA"/>
    <w:rPr>
      <w:sz w:val="16"/>
      <w:szCs w:val="16"/>
    </w:rPr>
  </w:style>
  <w:style w:type="paragraph" w:styleId="Kommentartext">
    <w:name w:val="annotation text"/>
    <w:basedOn w:val="Standard"/>
    <w:link w:val="KommentartextZchn"/>
    <w:uiPriority w:val="99"/>
    <w:semiHidden/>
    <w:unhideWhenUsed/>
    <w:rsid w:val="00287ABA"/>
    <w:rPr>
      <w:sz w:val="20"/>
    </w:rPr>
  </w:style>
  <w:style w:type="character" w:customStyle="1" w:styleId="KommentartextZchn">
    <w:name w:val="Kommentartext Zchn"/>
    <w:basedOn w:val="Absatz-Standardschriftart"/>
    <w:link w:val="Kommentartext"/>
    <w:uiPriority w:val="99"/>
    <w:semiHidden/>
    <w:rsid w:val="00287ABA"/>
    <w:rPr>
      <w:rFonts w:ascii="Arial" w:hAnsi="Arial"/>
    </w:rPr>
  </w:style>
  <w:style w:type="paragraph" w:styleId="Kommentarthema">
    <w:name w:val="annotation subject"/>
    <w:basedOn w:val="Kommentartext"/>
    <w:next w:val="Kommentartext"/>
    <w:link w:val="KommentarthemaZchn"/>
    <w:uiPriority w:val="99"/>
    <w:semiHidden/>
    <w:unhideWhenUsed/>
    <w:rsid w:val="00287ABA"/>
    <w:rPr>
      <w:b/>
      <w:bCs/>
    </w:rPr>
  </w:style>
  <w:style w:type="character" w:customStyle="1" w:styleId="KommentarthemaZchn">
    <w:name w:val="Kommentarthema Zchn"/>
    <w:basedOn w:val="KommentartextZchn"/>
    <w:link w:val="Kommentarthema"/>
    <w:uiPriority w:val="99"/>
    <w:semiHidden/>
    <w:rsid w:val="00287ABA"/>
    <w:rPr>
      <w:rFonts w:ascii="Arial" w:hAnsi="Arial"/>
      <w:b/>
      <w:bCs/>
    </w:rPr>
  </w:style>
  <w:style w:type="character" w:customStyle="1" w:styleId="berschrift2Zchn">
    <w:name w:val="Überschrift 2 Zchn"/>
    <w:basedOn w:val="Absatz-Standardschriftart"/>
    <w:link w:val="berschrift2"/>
    <w:semiHidden/>
    <w:rsid w:val="00AC3538"/>
    <w:rPr>
      <w:rFonts w:asciiTheme="majorHAnsi" w:eastAsiaTheme="majorEastAsia" w:hAnsiTheme="majorHAnsi" w:cstheme="majorBidi"/>
      <w:color w:val="2E74B5" w:themeColor="accent1" w:themeShade="BF"/>
      <w:sz w:val="26"/>
      <w:szCs w:val="26"/>
    </w:rPr>
  </w:style>
  <w:style w:type="paragraph" w:customStyle="1" w:styleId="Pa13">
    <w:name w:val="Pa13"/>
    <w:basedOn w:val="Standard"/>
    <w:next w:val="Standard"/>
    <w:uiPriority w:val="99"/>
    <w:rsid w:val="00BE50BF"/>
    <w:pPr>
      <w:autoSpaceDE w:val="0"/>
      <w:autoSpaceDN w:val="0"/>
      <w:adjustRightInd w:val="0"/>
      <w:spacing w:line="181" w:lineRule="atLeast"/>
    </w:pPr>
    <w:rPr>
      <w:rFonts w:ascii="DGUV Meta-Normal" w:eastAsiaTheme="minorHAnsi" w:hAnsi="DGUV Meta-Normal" w:cstheme="minorBidi"/>
      <w:szCs w:val="24"/>
      <w:lang w:eastAsia="en-US"/>
    </w:rPr>
  </w:style>
  <w:style w:type="paragraph" w:customStyle="1" w:styleId="Pa23">
    <w:name w:val="Pa23"/>
    <w:basedOn w:val="Standard"/>
    <w:next w:val="Standard"/>
    <w:uiPriority w:val="99"/>
    <w:rsid w:val="00BE50BF"/>
    <w:pPr>
      <w:autoSpaceDE w:val="0"/>
      <w:autoSpaceDN w:val="0"/>
      <w:adjustRightInd w:val="0"/>
      <w:spacing w:line="161" w:lineRule="atLeast"/>
    </w:pPr>
    <w:rPr>
      <w:rFonts w:ascii="DGUV Meta-Normal" w:eastAsiaTheme="minorHAnsi" w:hAnsi="DGUV Meta-Normal" w:cstheme="minorBidi"/>
      <w:szCs w:val="24"/>
      <w:lang w:eastAsia="en-US"/>
    </w:rPr>
  </w:style>
  <w:style w:type="paragraph" w:styleId="Zitat">
    <w:name w:val="Quote"/>
    <w:basedOn w:val="Standard"/>
    <w:next w:val="Standard"/>
    <w:link w:val="ZitatZchn"/>
    <w:uiPriority w:val="29"/>
    <w:qFormat/>
    <w:rsid w:val="00413A01"/>
    <w:rPr>
      <w:rFonts w:cs="Arial"/>
      <w:i/>
      <w:iCs/>
      <w:color w:val="000000" w:themeColor="text1"/>
      <w:sz w:val="22"/>
      <w:szCs w:val="22"/>
    </w:rPr>
  </w:style>
  <w:style w:type="character" w:customStyle="1" w:styleId="ZitatZchn">
    <w:name w:val="Zitat Zchn"/>
    <w:basedOn w:val="Absatz-Standardschriftart"/>
    <w:link w:val="Zitat"/>
    <w:uiPriority w:val="29"/>
    <w:rsid w:val="00413A01"/>
    <w:rPr>
      <w:rFonts w:ascii="Arial" w:hAnsi="Arial" w:cs="Arial"/>
      <w:i/>
      <w:iCs/>
      <w:color w:val="000000" w:themeColor="text1"/>
      <w:sz w:val="22"/>
      <w:szCs w:val="22"/>
    </w:rPr>
  </w:style>
  <w:style w:type="character" w:styleId="IntensiveHervorhebung">
    <w:name w:val="Intense Emphasis"/>
    <w:basedOn w:val="Absatz-Standardschriftart"/>
    <w:uiPriority w:val="21"/>
    <w:qFormat/>
    <w:rsid w:val="00620E65"/>
    <w:rPr>
      <w:i/>
      <w:iCs/>
      <w:color w:val="5B9BD5" w:themeColor="accent1"/>
    </w:rPr>
  </w:style>
  <w:style w:type="paragraph" w:customStyle="1" w:styleId="TextA">
    <w:name w:val="Text A"/>
    <w:rsid w:val="00A50019"/>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vorschau">
    <w:name w:val="vorschau"/>
    <w:basedOn w:val="Absatz-Standardschriftart"/>
    <w:rsid w:val="0032510F"/>
  </w:style>
  <w:style w:type="character" w:customStyle="1" w:styleId="vorschautitlebar">
    <w:name w:val="vorschautitlebar"/>
    <w:basedOn w:val="Absatz-Standardschriftart"/>
    <w:rsid w:val="0032510F"/>
  </w:style>
  <w:style w:type="character" w:customStyle="1" w:styleId="berschrift3Zchn">
    <w:name w:val="Überschrift 3 Zchn"/>
    <w:basedOn w:val="Absatz-Standardschriftart"/>
    <w:link w:val="berschrift3"/>
    <w:semiHidden/>
    <w:rsid w:val="004000C5"/>
    <w:rPr>
      <w:rFonts w:asciiTheme="majorHAnsi" w:eastAsiaTheme="majorEastAsia" w:hAnsiTheme="majorHAnsi" w:cstheme="majorBidi"/>
      <w:color w:val="1F4D78" w:themeColor="accent1" w:themeShade="7F"/>
      <w:sz w:val="24"/>
      <w:szCs w:val="24"/>
    </w:rPr>
  </w:style>
  <w:style w:type="character" w:customStyle="1" w:styleId="n1017c">
    <w:name w:val="n1017c"/>
    <w:basedOn w:val="Absatz-Standardschriftart"/>
    <w:rsid w:val="000A7534"/>
  </w:style>
  <w:style w:type="character" w:styleId="NichtaufgelsteErwhnung">
    <w:name w:val="Unresolved Mention"/>
    <w:basedOn w:val="Absatz-Standardschriftart"/>
    <w:uiPriority w:val="99"/>
    <w:semiHidden/>
    <w:unhideWhenUsed/>
    <w:rsid w:val="002904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3380">
      <w:bodyDiv w:val="1"/>
      <w:marLeft w:val="0"/>
      <w:marRight w:val="0"/>
      <w:marTop w:val="0"/>
      <w:marBottom w:val="0"/>
      <w:divBdr>
        <w:top w:val="none" w:sz="0" w:space="0" w:color="auto"/>
        <w:left w:val="none" w:sz="0" w:space="0" w:color="auto"/>
        <w:bottom w:val="none" w:sz="0" w:space="0" w:color="auto"/>
        <w:right w:val="none" w:sz="0" w:space="0" w:color="auto"/>
      </w:divBdr>
    </w:div>
    <w:div w:id="52891357">
      <w:bodyDiv w:val="1"/>
      <w:marLeft w:val="0"/>
      <w:marRight w:val="0"/>
      <w:marTop w:val="0"/>
      <w:marBottom w:val="0"/>
      <w:divBdr>
        <w:top w:val="none" w:sz="0" w:space="0" w:color="auto"/>
        <w:left w:val="none" w:sz="0" w:space="0" w:color="auto"/>
        <w:bottom w:val="none" w:sz="0" w:space="0" w:color="auto"/>
        <w:right w:val="none" w:sz="0" w:space="0" w:color="auto"/>
      </w:divBdr>
      <w:divsChild>
        <w:div w:id="1857891077">
          <w:marLeft w:val="0"/>
          <w:marRight w:val="0"/>
          <w:marTop w:val="0"/>
          <w:marBottom w:val="0"/>
          <w:divBdr>
            <w:top w:val="none" w:sz="0" w:space="0" w:color="auto"/>
            <w:left w:val="none" w:sz="0" w:space="0" w:color="auto"/>
            <w:bottom w:val="none" w:sz="0" w:space="0" w:color="auto"/>
            <w:right w:val="none" w:sz="0" w:space="0" w:color="auto"/>
          </w:divBdr>
        </w:div>
        <w:div w:id="2071532091">
          <w:marLeft w:val="0"/>
          <w:marRight w:val="0"/>
          <w:marTop w:val="0"/>
          <w:marBottom w:val="0"/>
          <w:divBdr>
            <w:top w:val="none" w:sz="0" w:space="0" w:color="auto"/>
            <w:left w:val="none" w:sz="0" w:space="0" w:color="auto"/>
            <w:bottom w:val="none" w:sz="0" w:space="0" w:color="auto"/>
            <w:right w:val="none" w:sz="0" w:space="0" w:color="auto"/>
          </w:divBdr>
        </w:div>
        <w:div w:id="1772582291">
          <w:marLeft w:val="0"/>
          <w:marRight w:val="0"/>
          <w:marTop w:val="0"/>
          <w:marBottom w:val="0"/>
          <w:divBdr>
            <w:top w:val="none" w:sz="0" w:space="0" w:color="auto"/>
            <w:left w:val="none" w:sz="0" w:space="0" w:color="auto"/>
            <w:bottom w:val="none" w:sz="0" w:space="0" w:color="auto"/>
            <w:right w:val="none" w:sz="0" w:space="0" w:color="auto"/>
          </w:divBdr>
        </w:div>
        <w:div w:id="612975928">
          <w:marLeft w:val="0"/>
          <w:marRight w:val="0"/>
          <w:marTop w:val="0"/>
          <w:marBottom w:val="0"/>
          <w:divBdr>
            <w:top w:val="none" w:sz="0" w:space="0" w:color="auto"/>
            <w:left w:val="none" w:sz="0" w:space="0" w:color="auto"/>
            <w:bottom w:val="none" w:sz="0" w:space="0" w:color="auto"/>
            <w:right w:val="none" w:sz="0" w:space="0" w:color="auto"/>
          </w:divBdr>
        </w:div>
        <w:div w:id="348803176">
          <w:marLeft w:val="0"/>
          <w:marRight w:val="0"/>
          <w:marTop w:val="0"/>
          <w:marBottom w:val="0"/>
          <w:divBdr>
            <w:top w:val="none" w:sz="0" w:space="0" w:color="auto"/>
            <w:left w:val="none" w:sz="0" w:space="0" w:color="auto"/>
            <w:bottom w:val="none" w:sz="0" w:space="0" w:color="auto"/>
            <w:right w:val="none" w:sz="0" w:space="0" w:color="auto"/>
          </w:divBdr>
        </w:div>
        <w:div w:id="1258056658">
          <w:marLeft w:val="0"/>
          <w:marRight w:val="0"/>
          <w:marTop w:val="0"/>
          <w:marBottom w:val="0"/>
          <w:divBdr>
            <w:top w:val="none" w:sz="0" w:space="0" w:color="auto"/>
            <w:left w:val="none" w:sz="0" w:space="0" w:color="auto"/>
            <w:bottom w:val="none" w:sz="0" w:space="0" w:color="auto"/>
            <w:right w:val="none" w:sz="0" w:space="0" w:color="auto"/>
          </w:divBdr>
        </w:div>
        <w:div w:id="1874079269">
          <w:marLeft w:val="0"/>
          <w:marRight w:val="0"/>
          <w:marTop w:val="0"/>
          <w:marBottom w:val="0"/>
          <w:divBdr>
            <w:top w:val="none" w:sz="0" w:space="0" w:color="auto"/>
            <w:left w:val="none" w:sz="0" w:space="0" w:color="auto"/>
            <w:bottom w:val="none" w:sz="0" w:space="0" w:color="auto"/>
            <w:right w:val="none" w:sz="0" w:space="0" w:color="auto"/>
          </w:divBdr>
        </w:div>
        <w:div w:id="1779330868">
          <w:marLeft w:val="0"/>
          <w:marRight w:val="0"/>
          <w:marTop w:val="0"/>
          <w:marBottom w:val="0"/>
          <w:divBdr>
            <w:top w:val="none" w:sz="0" w:space="0" w:color="auto"/>
            <w:left w:val="none" w:sz="0" w:space="0" w:color="auto"/>
            <w:bottom w:val="none" w:sz="0" w:space="0" w:color="auto"/>
            <w:right w:val="none" w:sz="0" w:space="0" w:color="auto"/>
          </w:divBdr>
        </w:div>
        <w:div w:id="884293606">
          <w:marLeft w:val="0"/>
          <w:marRight w:val="0"/>
          <w:marTop w:val="0"/>
          <w:marBottom w:val="0"/>
          <w:divBdr>
            <w:top w:val="none" w:sz="0" w:space="0" w:color="auto"/>
            <w:left w:val="none" w:sz="0" w:space="0" w:color="auto"/>
            <w:bottom w:val="none" w:sz="0" w:space="0" w:color="auto"/>
            <w:right w:val="none" w:sz="0" w:space="0" w:color="auto"/>
          </w:divBdr>
        </w:div>
      </w:divsChild>
    </w:div>
    <w:div w:id="70398700">
      <w:bodyDiv w:val="1"/>
      <w:marLeft w:val="0"/>
      <w:marRight w:val="0"/>
      <w:marTop w:val="0"/>
      <w:marBottom w:val="0"/>
      <w:divBdr>
        <w:top w:val="none" w:sz="0" w:space="0" w:color="auto"/>
        <w:left w:val="none" w:sz="0" w:space="0" w:color="auto"/>
        <w:bottom w:val="none" w:sz="0" w:space="0" w:color="auto"/>
        <w:right w:val="none" w:sz="0" w:space="0" w:color="auto"/>
      </w:divBdr>
      <w:divsChild>
        <w:div w:id="445780449">
          <w:marLeft w:val="0"/>
          <w:marRight w:val="0"/>
          <w:marTop w:val="0"/>
          <w:marBottom w:val="0"/>
          <w:divBdr>
            <w:top w:val="none" w:sz="0" w:space="0" w:color="auto"/>
            <w:left w:val="none" w:sz="0" w:space="0" w:color="auto"/>
            <w:bottom w:val="none" w:sz="0" w:space="0" w:color="auto"/>
            <w:right w:val="none" w:sz="0" w:space="0" w:color="auto"/>
          </w:divBdr>
        </w:div>
        <w:div w:id="1877960065">
          <w:marLeft w:val="0"/>
          <w:marRight w:val="0"/>
          <w:marTop w:val="0"/>
          <w:marBottom w:val="0"/>
          <w:divBdr>
            <w:top w:val="none" w:sz="0" w:space="0" w:color="auto"/>
            <w:left w:val="none" w:sz="0" w:space="0" w:color="auto"/>
            <w:bottom w:val="none" w:sz="0" w:space="0" w:color="auto"/>
            <w:right w:val="none" w:sz="0" w:space="0" w:color="auto"/>
          </w:divBdr>
        </w:div>
        <w:div w:id="915675024">
          <w:marLeft w:val="0"/>
          <w:marRight w:val="0"/>
          <w:marTop w:val="0"/>
          <w:marBottom w:val="0"/>
          <w:divBdr>
            <w:top w:val="none" w:sz="0" w:space="0" w:color="auto"/>
            <w:left w:val="none" w:sz="0" w:space="0" w:color="auto"/>
            <w:bottom w:val="none" w:sz="0" w:space="0" w:color="auto"/>
            <w:right w:val="none" w:sz="0" w:space="0" w:color="auto"/>
          </w:divBdr>
        </w:div>
        <w:div w:id="2031493591">
          <w:marLeft w:val="0"/>
          <w:marRight w:val="0"/>
          <w:marTop w:val="0"/>
          <w:marBottom w:val="0"/>
          <w:divBdr>
            <w:top w:val="none" w:sz="0" w:space="0" w:color="auto"/>
            <w:left w:val="none" w:sz="0" w:space="0" w:color="auto"/>
            <w:bottom w:val="none" w:sz="0" w:space="0" w:color="auto"/>
            <w:right w:val="none" w:sz="0" w:space="0" w:color="auto"/>
          </w:divBdr>
        </w:div>
        <w:div w:id="1216040566">
          <w:marLeft w:val="0"/>
          <w:marRight w:val="0"/>
          <w:marTop w:val="0"/>
          <w:marBottom w:val="0"/>
          <w:divBdr>
            <w:top w:val="none" w:sz="0" w:space="0" w:color="auto"/>
            <w:left w:val="none" w:sz="0" w:space="0" w:color="auto"/>
            <w:bottom w:val="none" w:sz="0" w:space="0" w:color="auto"/>
            <w:right w:val="none" w:sz="0" w:space="0" w:color="auto"/>
          </w:divBdr>
        </w:div>
        <w:div w:id="471943647">
          <w:marLeft w:val="0"/>
          <w:marRight w:val="0"/>
          <w:marTop w:val="0"/>
          <w:marBottom w:val="0"/>
          <w:divBdr>
            <w:top w:val="none" w:sz="0" w:space="0" w:color="auto"/>
            <w:left w:val="none" w:sz="0" w:space="0" w:color="auto"/>
            <w:bottom w:val="none" w:sz="0" w:space="0" w:color="auto"/>
            <w:right w:val="none" w:sz="0" w:space="0" w:color="auto"/>
          </w:divBdr>
        </w:div>
      </w:divsChild>
    </w:div>
    <w:div w:id="255865053">
      <w:bodyDiv w:val="1"/>
      <w:marLeft w:val="0"/>
      <w:marRight w:val="0"/>
      <w:marTop w:val="0"/>
      <w:marBottom w:val="0"/>
      <w:divBdr>
        <w:top w:val="none" w:sz="0" w:space="0" w:color="auto"/>
        <w:left w:val="none" w:sz="0" w:space="0" w:color="auto"/>
        <w:bottom w:val="none" w:sz="0" w:space="0" w:color="auto"/>
        <w:right w:val="none" w:sz="0" w:space="0" w:color="auto"/>
      </w:divBdr>
    </w:div>
    <w:div w:id="278802913">
      <w:bodyDiv w:val="1"/>
      <w:marLeft w:val="0"/>
      <w:marRight w:val="0"/>
      <w:marTop w:val="0"/>
      <w:marBottom w:val="0"/>
      <w:divBdr>
        <w:top w:val="none" w:sz="0" w:space="0" w:color="auto"/>
        <w:left w:val="none" w:sz="0" w:space="0" w:color="auto"/>
        <w:bottom w:val="none" w:sz="0" w:space="0" w:color="auto"/>
        <w:right w:val="none" w:sz="0" w:space="0" w:color="auto"/>
      </w:divBdr>
    </w:div>
    <w:div w:id="313609383">
      <w:bodyDiv w:val="1"/>
      <w:marLeft w:val="0"/>
      <w:marRight w:val="0"/>
      <w:marTop w:val="0"/>
      <w:marBottom w:val="0"/>
      <w:divBdr>
        <w:top w:val="none" w:sz="0" w:space="0" w:color="auto"/>
        <w:left w:val="none" w:sz="0" w:space="0" w:color="auto"/>
        <w:bottom w:val="none" w:sz="0" w:space="0" w:color="auto"/>
        <w:right w:val="none" w:sz="0" w:space="0" w:color="auto"/>
      </w:divBdr>
    </w:div>
    <w:div w:id="318074249">
      <w:bodyDiv w:val="1"/>
      <w:marLeft w:val="0"/>
      <w:marRight w:val="0"/>
      <w:marTop w:val="0"/>
      <w:marBottom w:val="0"/>
      <w:divBdr>
        <w:top w:val="none" w:sz="0" w:space="0" w:color="auto"/>
        <w:left w:val="none" w:sz="0" w:space="0" w:color="auto"/>
        <w:bottom w:val="none" w:sz="0" w:space="0" w:color="auto"/>
        <w:right w:val="none" w:sz="0" w:space="0" w:color="auto"/>
      </w:divBdr>
    </w:div>
    <w:div w:id="390202149">
      <w:bodyDiv w:val="1"/>
      <w:marLeft w:val="0"/>
      <w:marRight w:val="0"/>
      <w:marTop w:val="0"/>
      <w:marBottom w:val="0"/>
      <w:divBdr>
        <w:top w:val="none" w:sz="0" w:space="0" w:color="auto"/>
        <w:left w:val="none" w:sz="0" w:space="0" w:color="auto"/>
        <w:bottom w:val="none" w:sz="0" w:space="0" w:color="auto"/>
        <w:right w:val="none" w:sz="0" w:space="0" w:color="auto"/>
      </w:divBdr>
    </w:div>
    <w:div w:id="495583270">
      <w:bodyDiv w:val="1"/>
      <w:marLeft w:val="0"/>
      <w:marRight w:val="0"/>
      <w:marTop w:val="0"/>
      <w:marBottom w:val="0"/>
      <w:divBdr>
        <w:top w:val="none" w:sz="0" w:space="0" w:color="auto"/>
        <w:left w:val="none" w:sz="0" w:space="0" w:color="auto"/>
        <w:bottom w:val="none" w:sz="0" w:space="0" w:color="auto"/>
        <w:right w:val="none" w:sz="0" w:space="0" w:color="auto"/>
      </w:divBdr>
      <w:divsChild>
        <w:div w:id="1449347940">
          <w:marLeft w:val="0"/>
          <w:marRight w:val="0"/>
          <w:marTop w:val="0"/>
          <w:marBottom w:val="0"/>
          <w:divBdr>
            <w:top w:val="none" w:sz="0" w:space="0" w:color="auto"/>
            <w:left w:val="none" w:sz="0" w:space="0" w:color="auto"/>
            <w:bottom w:val="none" w:sz="0" w:space="0" w:color="auto"/>
            <w:right w:val="none" w:sz="0" w:space="0" w:color="auto"/>
          </w:divBdr>
        </w:div>
        <w:div w:id="1815292818">
          <w:marLeft w:val="0"/>
          <w:marRight w:val="0"/>
          <w:marTop w:val="0"/>
          <w:marBottom w:val="0"/>
          <w:divBdr>
            <w:top w:val="none" w:sz="0" w:space="0" w:color="auto"/>
            <w:left w:val="none" w:sz="0" w:space="0" w:color="auto"/>
            <w:bottom w:val="none" w:sz="0" w:space="0" w:color="auto"/>
            <w:right w:val="none" w:sz="0" w:space="0" w:color="auto"/>
          </w:divBdr>
        </w:div>
        <w:div w:id="402224019">
          <w:marLeft w:val="0"/>
          <w:marRight w:val="0"/>
          <w:marTop w:val="0"/>
          <w:marBottom w:val="0"/>
          <w:divBdr>
            <w:top w:val="none" w:sz="0" w:space="0" w:color="auto"/>
            <w:left w:val="none" w:sz="0" w:space="0" w:color="auto"/>
            <w:bottom w:val="none" w:sz="0" w:space="0" w:color="auto"/>
            <w:right w:val="none" w:sz="0" w:space="0" w:color="auto"/>
          </w:divBdr>
        </w:div>
        <w:div w:id="2045591999">
          <w:marLeft w:val="0"/>
          <w:marRight w:val="0"/>
          <w:marTop w:val="0"/>
          <w:marBottom w:val="0"/>
          <w:divBdr>
            <w:top w:val="none" w:sz="0" w:space="0" w:color="auto"/>
            <w:left w:val="none" w:sz="0" w:space="0" w:color="auto"/>
            <w:bottom w:val="none" w:sz="0" w:space="0" w:color="auto"/>
            <w:right w:val="none" w:sz="0" w:space="0" w:color="auto"/>
          </w:divBdr>
        </w:div>
        <w:div w:id="1653174137">
          <w:marLeft w:val="0"/>
          <w:marRight w:val="0"/>
          <w:marTop w:val="0"/>
          <w:marBottom w:val="0"/>
          <w:divBdr>
            <w:top w:val="none" w:sz="0" w:space="0" w:color="auto"/>
            <w:left w:val="none" w:sz="0" w:space="0" w:color="auto"/>
            <w:bottom w:val="none" w:sz="0" w:space="0" w:color="auto"/>
            <w:right w:val="none" w:sz="0" w:space="0" w:color="auto"/>
          </w:divBdr>
        </w:div>
        <w:div w:id="288705195">
          <w:marLeft w:val="0"/>
          <w:marRight w:val="0"/>
          <w:marTop w:val="0"/>
          <w:marBottom w:val="0"/>
          <w:divBdr>
            <w:top w:val="none" w:sz="0" w:space="0" w:color="auto"/>
            <w:left w:val="none" w:sz="0" w:space="0" w:color="auto"/>
            <w:bottom w:val="none" w:sz="0" w:space="0" w:color="auto"/>
            <w:right w:val="none" w:sz="0" w:space="0" w:color="auto"/>
          </w:divBdr>
        </w:div>
        <w:div w:id="458114665">
          <w:marLeft w:val="0"/>
          <w:marRight w:val="0"/>
          <w:marTop w:val="0"/>
          <w:marBottom w:val="0"/>
          <w:divBdr>
            <w:top w:val="none" w:sz="0" w:space="0" w:color="auto"/>
            <w:left w:val="none" w:sz="0" w:space="0" w:color="auto"/>
            <w:bottom w:val="none" w:sz="0" w:space="0" w:color="auto"/>
            <w:right w:val="none" w:sz="0" w:space="0" w:color="auto"/>
          </w:divBdr>
        </w:div>
        <w:div w:id="1021205613">
          <w:marLeft w:val="0"/>
          <w:marRight w:val="0"/>
          <w:marTop w:val="0"/>
          <w:marBottom w:val="0"/>
          <w:divBdr>
            <w:top w:val="none" w:sz="0" w:space="0" w:color="auto"/>
            <w:left w:val="none" w:sz="0" w:space="0" w:color="auto"/>
            <w:bottom w:val="none" w:sz="0" w:space="0" w:color="auto"/>
            <w:right w:val="none" w:sz="0" w:space="0" w:color="auto"/>
          </w:divBdr>
        </w:div>
        <w:div w:id="1630013992">
          <w:marLeft w:val="0"/>
          <w:marRight w:val="0"/>
          <w:marTop w:val="0"/>
          <w:marBottom w:val="0"/>
          <w:divBdr>
            <w:top w:val="none" w:sz="0" w:space="0" w:color="auto"/>
            <w:left w:val="none" w:sz="0" w:space="0" w:color="auto"/>
            <w:bottom w:val="none" w:sz="0" w:space="0" w:color="auto"/>
            <w:right w:val="none" w:sz="0" w:space="0" w:color="auto"/>
          </w:divBdr>
        </w:div>
        <w:div w:id="432628948">
          <w:marLeft w:val="0"/>
          <w:marRight w:val="0"/>
          <w:marTop w:val="0"/>
          <w:marBottom w:val="0"/>
          <w:divBdr>
            <w:top w:val="none" w:sz="0" w:space="0" w:color="auto"/>
            <w:left w:val="none" w:sz="0" w:space="0" w:color="auto"/>
            <w:bottom w:val="none" w:sz="0" w:space="0" w:color="auto"/>
            <w:right w:val="none" w:sz="0" w:space="0" w:color="auto"/>
          </w:divBdr>
        </w:div>
        <w:div w:id="1079712639">
          <w:marLeft w:val="0"/>
          <w:marRight w:val="0"/>
          <w:marTop w:val="0"/>
          <w:marBottom w:val="0"/>
          <w:divBdr>
            <w:top w:val="none" w:sz="0" w:space="0" w:color="auto"/>
            <w:left w:val="none" w:sz="0" w:space="0" w:color="auto"/>
            <w:bottom w:val="none" w:sz="0" w:space="0" w:color="auto"/>
            <w:right w:val="none" w:sz="0" w:space="0" w:color="auto"/>
          </w:divBdr>
        </w:div>
        <w:div w:id="1551767025">
          <w:marLeft w:val="0"/>
          <w:marRight w:val="0"/>
          <w:marTop w:val="0"/>
          <w:marBottom w:val="0"/>
          <w:divBdr>
            <w:top w:val="none" w:sz="0" w:space="0" w:color="auto"/>
            <w:left w:val="none" w:sz="0" w:space="0" w:color="auto"/>
            <w:bottom w:val="none" w:sz="0" w:space="0" w:color="auto"/>
            <w:right w:val="none" w:sz="0" w:space="0" w:color="auto"/>
          </w:divBdr>
        </w:div>
        <w:div w:id="1269001585">
          <w:marLeft w:val="0"/>
          <w:marRight w:val="0"/>
          <w:marTop w:val="0"/>
          <w:marBottom w:val="0"/>
          <w:divBdr>
            <w:top w:val="none" w:sz="0" w:space="0" w:color="auto"/>
            <w:left w:val="none" w:sz="0" w:space="0" w:color="auto"/>
            <w:bottom w:val="none" w:sz="0" w:space="0" w:color="auto"/>
            <w:right w:val="none" w:sz="0" w:space="0" w:color="auto"/>
          </w:divBdr>
        </w:div>
        <w:div w:id="559049982">
          <w:marLeft w:val="0"/>
          <w:marRight w:val="0"/>
          <w:marTop w:val="0"/>
          <w:marBottom w:val="0"/>
          <w:divBdr>
            <w:top w:val="none" w:sz="0" w:space="0" w:color="auto"/>
            <w:left w:val="none" w:sz="0" w:space="0" w:color="auto"/>
            <w:bottom w:val="none" w:sz="0" w:space="0" w:color="auto"/>
            <w:right w:val="none" w:sz="0" w:space="0" w:color="auto"/>
          </w:divBdr>
        </w:div>
        <w:div w:id="2080903715">
          <w:marLeft w:val="0"/>
          <w:marRight w:val="0"/>
          <w:marTop w:val="0"/>
          <w:marBottom w:val="0"/>
          <w:divBdr>
            <w:top w:val="none" w:sz="0" w:space="0" w:color="auto"/>
            <w:left w:val="none" w:sz="0" w:space="0" w:color="auto"/>
            <w:bottom w:val="none" w:sz="0" w:space="0" w:color="auto"/>
            <w:right w:val="none" w:sz="0" w:space="0" w:color="auto"/>
          </w:divBdr>
        </w:div>
        <w:div w:id="1486967840">
          <w:marLeft w:val="0"/>
          <w:marRight w:val="0"/>
          <w:marTop w:val="0"/>
          <w:marBottom w:val="0"/>
          <w:divBdr>
            <w:top w:val="none" w:sz="0" w:space="0" w:color="auto"/>
            <w:left w:val="none" w:sz="0" w:space="0" w:color="auto"/>
            <w:bottom w:val="none" w:sz="0" w:space="0" w:color="auto"/>
            <w:right w:val="none" w:sz="0" w:space="0" w:color="auto"/>
          </w:divBdr>
        </w:div>
        <w:div w:id="2085299510">
          <w:marLeft w:val="0"/>
          <w:marRight w:val="0"/>
          <w:marTop w:val="0"/>
          <w:marBottom w:val="0"/>
          <w:divBdr>
            <w:top w:val="none" w:sz="0" w:space="0" w:color="auto"/>
            <w:left w:val="none" w:sz="0" w:space="0" w:color="auto"/>
            <w:bottom w:val="none" w:sz="0" w:space="0" w:color="auto"/>
            <w:right w:val="none" w:sz="0" w:space="0" w:color="auto"/>
          </w:divBdr>
        </w:div>
        <w:div w:id="407576577">
          <w:marLeft w:val="0"/>
          <w:marRight w:val="0"/>
          <w:marTop w:val="0"/>
          <w:marBottom w:val="0"/>
          <w:divBdr>
            <w:top w:val="none" w:sz="0" w:space="0" w:color="auto"/>
            <w:left w:val="none" w:sz="0" w:space="0" w:color="auto"/>
            <w:bottom w:val="none" w:sz="0" w:space="0" w:color="auto"/>
            <w:right w:val="none" w:sz="0" w:space="0" w:color="auto"/>
          </w:divBdr>
        </w:div>
        <w:div w:id="1637251331">
          <w:marLeft w:val="0"/>
          <w:marRight w:val="0"/>
          <w:marTop w:val="0"/>
          <w:marBottom w:val="0"/>
          <w:divBdr>
            <w:top w:val="none" w:sz="0" w:space="0" w:color="auto"/>
            <w:left w:val="none" w:sz="0" w:space="0" w:color="auto"/>
            <w:bottom w:val="none" w:sz="0" w:space="0" w:color="auto"/>
            <w:right w:val="none" w:sz="0" w:space="0" w:color="auto"/>
          </w:divBdr>
        </w:div>
      </w:divsChild>
    </w:div>
    <w:div w:id="640379516">
      <w:bodyDiv w:val="1"/>
      <w:marLeft w:val="0"/>
      <w:marRight w:val="0"/>
      <w:marTop w:val="0"/>
      <w:marBottom w:val="0"/>
      <w:divBdr>
        <w:top w:val="none" w:sz="0" w:space="0" w:color="auto"/>
        <w:left w:val="none" w:sz="0" w:space="0" w:color="auto"/>
        <w:bottom w:val="none" w:sz="0" w:space="0" w:color="auto"/>
        <w:right w:val="none" w:sz="0" w:space="0" w:color="auto"/>
      </w:divBdr>
    </w:div>
    <w:div w:id="801728826">
      <w:bodyDiv w:val="1"/>
      <w:marLeft w:val="0"/>
      <w:marRight w:val="0"/>
      <w:marTop w:val="0"/>
      <w:marBottom w:val="0"/>
      <w:divBdr>
        <w:top w:val="none" w:sz="0" w:space="0" w:color="auto"/>
        <w:left w:val="none" w:sz="0" w:space="0" w:color="auto"/>
        <w:bottom w:val="none" w:sz="0" w:space="0" w:color="auto"/>
        <w:right w:val="none" w:sz="0" w:space="0" w:color="auto"/>
      </w:divBdr>
    </w:div>
    <w:div w:id="802842903">
      <w:marLeft w:val="0"/>
      <w:marRight w:val="0"/>
      <w:marTop w:val="0"/>
      <w:marBottom w:val="0"/>
      <w:divBdr>
        <w:top w:val="none" w:sz="0" w:space="0" w:color="auto"/>
        <w:left w:val="none" w:sz="0" w:space="0" w:color="auto"/>
        <w:bottom w:val="none" w:sz="0" w:space="0" w:color="auto"/>
        <w:right w:val="none" w:sz="0" w:space="0" w:color="auto"/>
      </w:divBdr>
      <w:divsChild>
        <w:div w:id="802842913">
          <w:marLeft w:val="562"/>
          <w:marRight w:val="0"/>
          <w:marTop w:val="0"/>
          <w:marBottom w:val="0"/>
          <w:divBdr>
            <w:top w:val="none" w:sz="0" w:space="0" w:color="auto"/>
            <w:left w:val="none" w:sz="0" w:space="0" w:color="auto"/>
            <w:bottom w:val="none" w:sz="0" w:space="0" w:color="auto"/>
            <w:right w:val="none" w:sz="0" w:space="0" w:color="auto"/>
          </w:divBdr>
        </w:div>
      </w:divsChild>
    </w:div>
    <w:div w:id="802842904">
      <w:marLeft w:val="0"/>
      <w:marRight w:val="0"/>
      <w:marTop w:val="0"/>
      <w:marBottom w:val="0"/>
      <w:divBdr>
        <w:top w:val="none" w:sz="0" w:space="0" w:color="auto"/>
        <w:left w:val="none" w:sz="0" w:space="0" w:color="auto"/>
        <w:bottom w:val="none" w:sz="0" w:space="0" w:color="auto"/>
        <w:right w:val="none" w:sz="0" w:space="0" w:color="auto"/>
      </w:divBdr>
      <w:divsChild>
        <w:div w:id="802842917">
          <w:marLeft w:val="547"/>
          <w:marRight w:val="0"/>
          <w:marTop w:val="115"/>
          <w:marBottom w:val="0"/>
          <w:divBdr>
            <w:top w:val="none" w:sz="0" w:space="0" w:color="auto"/>
            <w:left w:val="none" w:sz="0" w:space="0" w:color="auto"/>
            <w:bottom w:val="none" w:sz="0" w:space="0" w:color="auto"/>
            <w:right w:val="none" w:sz="0" w:space="0" w:color="auto"/>
          </w:divBdr>
        </w:div>
      </w:divsChild>
    </w:div>
    <w:div w:id="802842906">
      <w:marLeft w:val="0"/>
      <w:marRight w:val="0"/>
      <w:marTop w:val="0"/>
      <w:marBottom w:val="0"/>
      <w:divBdr>
        <w:top w:val="none" w:sz="0" w:space="0" w:color="auto"/>
        <w:left w:val="none" w:sz="0" w:space="0" w:color="auto"/>
        <w:bottom w:val="none" w:sz="0" w:space="0" w:color="auto"/>
        <w:right w:val="none" w:sz="0" w:space="0" w:color="auto"/>
      </w:divBdr>
    </w:div>
    <w:div w:id="802842907">
      <w:marLeft w:val="0"/>
      <w:marRight w:val="0"/>
      <w:marTop w:val="0"/>
      <w:marBottom w:val="0"/>
      <w:divBdr>
        <w:top w:val="none" w:sz="0" w:space="0" w:color="auto"/>
        <w:left w:val="none" w:sz="0" w:space="0" w:color="auto"/>
        <w:bottom w:val="none" w:sz="0" w:space="0" w:color="auto"/>
        <w:right w:val="none" w:sz="0" w:space="0" w:color="auto"/>
      </w:divBdr>
      <w:divsChild>
        <w:div w:id="802842905">
          <w:marLeft w:val="547"/>
          <w:marRight w:val="0"/>
          <w:marTop w:val="86"/>
          <w:marBottom w:val="0"/>
          <w:divBdr>
            <w:top w:val="none" w:sz="0" w:space="0" w:color="auto"/>
            <w:left w:val="none" w:sz="0" w:space="0" w:color="auto"/>
            <w:bottom w:val="none" w:sz="0" w:space="0" w:color="auto"/>
            <w:right w:val="none" w:sz="0" w:space="0" w:color="auto"/>
          </w:divBdr>
        </w:div>
        <w:div w:id="802842911">
          <w:marLeft w:val="547"/>
          <w:marRight w:val="0"/>
          <w:marTop w:val="86"/>
          <w:marBottom w:val="0"/>
          <w:divBdr>
            <w:top w:val="none" w:sz="0" w:space="0" w:color="auto"/>
            <w:left w:val="none" w:sz="0" w:space="0" w:color="auto"/>
            <w:bottom w:val="none" w:sz="0" w:space="0" w:color="auto"/>
            <w:right w:val="none" w:sz="0" w:space="0" w:color="auto"/>
          </w:divBdr>
        </w:div>
      </w:divsChild>
    </w:div>
    <w:div w:id="802842908">
      <w:marLeft w:val="0"/>
      <w:marRight w:val="0"/>
      <w:marTop w:val="0"/>
      <w:marBottom w:val="0"/>
      <w:divBdr>
        <w:top w:val="none" w:sz="0" w:space="0" w:color="auto"/>
        <w:left w:val="none" w:sz="0" w:space="0" w:color="auto"/>
        <w:bottom w:val="none" w:sz="0" w:space="0" w:color="auto"/>
        <w:right w:val="none" w:sz="0" w:space="0" w:color="auto"/>
      </w:divBdr>
      <w:divsChild>
        <w:div w:id="802842912">
          <w:marLeft w:val="547"/>
          <w:marRight w:val="0"/>
          <w:marTop w:val="86"/>
          <w:marBottom w:val="0"/>
          <w:divBdr>
            <w:top w:val="none" w:sz="0" w:space="0" w:color="auto"/>
            <w:left w:val="none" w:sz="0" w:space="0" w:color="auto"/>
            <w:bottom w:val="none" w:sz="0" w:space="0" w:color="auto"/>
            <w:right w:val="none" w:sz="0" w:space="0" w:color="auto"/>
          </w:divBdr>
        </w:div>
      </w:divsChild>
    </w:div>
    <w:div w:id="802842910">
      <w:marLeft w:val="0"/>
      <w:marRight w:val="0"/>
      <w:marTop w:val="0"/>
      <w:marBottom w:val="0"/>
      <w:divBdr>
        <w:top w:val="none" w:sz="0" w:space="0" w:color="auto"/>
        <w:left w:val="none" w:sz="0" w:space="0" w:color="auto"/>
        <w:bottom w:val="none" w:sz="0" w:space="0" w:color="auto"/>
        <w:right w:val="none" w:sz="0" w:space="0" w:color="auto"/>
      </w:divBdr>
    </w:div>
    <w:div w:id="802842914">
      <w:marLeft w:val="0"/>
      <w:marRight w:val="0"/>
      <w:marTop w:val="0"/>
      <w:marBottom w:val="0"/>
      <w:divBdr>
        <w:top w:val="none" w:sz="0" w:space="0" w:color="auto"/>
        <w:left w:val="none" w:sz="0" w:space="0" w:color="auto"/>
        <w:bottom w:val="none" w:sz="0" w:space="0" w:color="auto"/>
        <w:right w:val="none" w:sz="0" w:space="0" w:color="auto"/>
      </w:divBdr>
    </w:div>
    <w:div w:id="802842915">
      <w:marLeft w:val="0"/>
      <w:marRight w:val="0"/>
      <w:marTop w:val="0"/>
      <w:marBottom w:val="0"/>
      <w:divBdr>
        <w:top w:val="none" w:sz="0" w:space="0" w:color="auto"/>
        <w:left w:val="none" w:sz="0" w:space="0" w:color="auto"/>
        <w:bottom w:val="none" w:sz="0" w:space="0" w:color="auto"/>
        <w:right w:val="none" w:sz="0" w:space="0" w:color="auto"/>
      </w:divBdr>
    </w:div>
    <w:div w:id="802842916">
      <w:marLeft w:val="0"/>
      <w:marRight w:val="0"/>
      <w:marTop w:val="0"/>
      <w:marBottom w:val="0"/>
      <w:divBdr>
        <w:top w:val="none" w:sz="0" w:space="0" w:color="auto"/>
        <w:left w:val="none" w:sz="0" w:space="0" w:color="auto"/>
        <w:bottom w:val="none" w:sz="0" w:space="0" w:color="auto"/>
        <w:right w:val="none" w:sz="0" w:space="0" w:color="auto"/>
      </w:divBdr>
      <w:divsChild>
        <w:div w:id="802842909">
          <w:marLeft w:val="547"/>
          <w:marRight w:val="0"/>
          <w:marTop w:val="86"/>
          <w:marBottom w:val="0"/>
          <w:divBdr>
            <w:top w:val="none" w:sz="0" w:space="0" w:color="auto"/>
            <w:left w:val="none" w:sz="0" w:space="0" w:color="auto"/>
            <w:bottom w:val="none" w:sz="0" w:space="0" w:color="auto"/>
            <w:right w:val="none" w:sz="0" w:space="0" w:color="auto"/>
          </w:divBdr>
        </w:div>
      </w:divsChild>
    </w:div>
    <w:div w:id="862284785">
      <w:bodyDiv w:val="1"/>
      <w:marLeft w:val="0"/>
      <w:marRight w:val="0"/>
      <w:marTop w:val="0"/>
      <w:marBottom w:val="0"/>
      <w:divBdr>
        <w:top w:val="none" w:sz="0" w:space="0" w:color="auto"/>
        <w:left w:val="none" w:sz="0" w:space="0" w:color="auto"/>
        <w:bottom w:val="none" w:sz="0" w:space="0" w:color="auto"/>
        <w:right w:val="none" w:sz="0" w:space="0" w:color="auto"/>
      </w:divBdr>
      <w:divsChild>
        <w:div w:id="2137748739">
          <w:marLeft w:val="0"/>
          <w:marRight w:val="0"/>
          <w:marTop w:val="0"/>
          <w:marBottom w:val="0"/>
          <w:divBdr>
            <w:top w:val="none" w:sz="0" w:space="0" w:color="auto"/>
            <w:left w:val="none" w:sz="0" w:space="0" w:color="auto"/>
            <w:bottom w:val="none" w:sz="0" w:space="0" w:color="auto"/>
            <w:right w:val="none" w:sz="0" w:space="0" w:color="auto"/>
          </w:divBdr>
        </w:div>
        <w:div w:id="554505689">
          <w:marLeft w:val="0"/>
          <w:marRight w:val="0"/>
          <w:marTop w:val="0"/>
          <w:marBottom w:val="0"/>
          <w:divBdr>
            <w:top w:val="none" w:sz="0" w:space="0" w:color="auto"/>
            <w:left w:val="none" w:sz="0" w:space="0" w:color="auto"/>
            <w:bottom w:val="none" w:sz="0" w:space="0" w:color="auto"/>
            <w:right w:val="none" w:sz="0" w:space="0" w:color="auto"/>
          </w:divBdr>
        </w:div>
        <w:div w:id="719402892">
          <w:marLeft w:val="0"/>
          <w:marRight w:val="0"/>
          <w:marTop w:val="0"/>
          <w:marBottom w:val="0"/>
          <w:divBdr>
            <w:top w:val="none" w:sz="0" w:space="0" w:color="auto"/>
            <w:left w:val="none" w:sz="0" w:space="0" w:color="auto"/>
            <w:bottom w:val="none" w:sz="0" w:space="0" w:color="auto"/>
            <w:right w:val="none" w:sz="0" w:space="0" w:color="auto"/>
          </w:divBdr>
        </w:div>
        <w:div w:id="94327201">
          <w:marLeft w:val="0"/>
          <w:marRight w:val="0"/>
          <w:marTop w:val="0"/>
          <w:marBottom w:val="0"/>
          <w:divBdr>
            <w:top w:val="none" w:sz="0" w:space="0" w:color="auto"/>
            <w:left w:val="none" w:sz="0" w:space="0" w:color="auto"/>
            <w:bottom w:val="none" w:sz="0" w:space="0" w:color="auto"/>
            <w:right w:val="none" w:sz="0" w:space="0" w:color="auto"/>
          </w:divBdr>
        </w:div>
        <w:div w:id="559633629">
          <w:marLeft w:val="0"/>
          <w:marRight w:val="0"/>
          <w:marTop w:val="0"/>
          <w:marBottom w:val="0"/>
          <w:divBdr>
            <w:top w:val="none" w:sz="0" w:space="0" w:color="auto"/>
            <w:left w:val="none" w:sz="0" w:space="0" w:color="auto"/>
            <w:bottom w:val="none" w:sz="0" w:space="0" w:color="auto"/>
            <w:right w:val="none" w:sz="0" w:space="0" w:color="auto"/>
          </w:divBdr>
        </w:div>
        <w:div w:id="1147815663">
          <w:marLeft w:val="0"/>
          <w:marRight w:val="0"/>
          <w:marTop w:val="0"/>
          <w:marBottom w:val="0"/>
          <w:divBdr>
            <w:top w:val="none" w:sz="0" w:space="0" w:color="auto"/>
            <w:left w:val="none" w:sz="0" w:space="0" w:color="auto"/>
            <w:bottom w:val="none" w:sz="0" w:space="0" w:color="auto"/>
            <w:right w:val="none" w:sz="0" w:space="0" w:color="auto"/>
          </w:divBdr>
        </w:div>
        <w:div w:id="1844127601">
          <w:marLeft w:val="0"/>
          <w:marRight w:val="0"/>
          <w:marTop w:val="0"/>
          <w:marBottom w:val="0"/>
          <w:divBdr>
            <w:top w:val="none" w:sz="0" w:space="0" w:color="auto"/>
            <w:left w:val="none" w:sz="0" w:space="0" w:color="auto"/>
            <w:bottom w:val="none" w:sz="0" w:space="0" w:color="auto"/>
            <w:right w:val="none" w:sz="0" w:space="0" w:color="auto"/>
          </w:divBdr>
        </w:div>
      </w:divsChild>
    </w:div>
    <w:div w:id="917982468">
      <w:bodyDiv w:val="1"/>
      <w:marLeft w:val="0"/>
      <w:marRight w:val="0"/>
      <w:marTop w:val="0"/>
      <w:marBottom w:val="0"/>
      <w:divBdr>
        <w:top w:val="none" w:sz="0" w:space="0" w:color="auto"/>
        <w:left w:val="none" w:sz="0" w:space="0" w:color="auto"/>
        <w:bottom w:val="none" w:sz="0" w:space="0" w:color="auto"/>
        <w:right w:val="none" w:sz="0" w:space="0" w:color="auto"/>
      </w:divBdr>
      <w:divsChild>
        <w:div w:id="374699270">
          <w:marLeft w:val="0"/>
          <w:marRight w:val="0"/>
          <w:marTop w:val="0"/>
          <w:marBottom w:val="0"/>
          <w:divBdr>
            <w:top w:val="none" w:sz="0" w:space="0" w:color="auto"/>
            <w:left w:val="none" w:sz="0" w:space="0" w:color="auto"/>
            <w:bottom w:val="none" w:sz="0" w:space="0" w:color="auto"/>
            <w:right w:val="none" w:sz="0" w:space="0" w:color="auto"/>
          </w:divBdr>
        </w:div>
        <w:div w:id="512108406">
          <w:marLeft w:val="0"/>
          <w:marRight w:val="0"/>
          <w:marTop w:val="0"/>
          <w:marBottom w:val="0"/>
          <w:divBdr>
            <w:top w:val="none" w:sz="0" w:space="0" w:color="auto"/>
            <w:left w:val="none" w:sz="0" w:space="0" w:color="auto"/>
            <w:bottom w:val="none" w:sz="0" w:space="0" w:color="auto"/>
            <w:right w:val="none" w:sz="0" w:space="0" w:color="auto"/>
          </w:divBdr>
        </w:div>
        <w:div w:id="1555241406">
          <w:marLeft w:val="0"/>
          <w:marRight w:val="0"/>
          <w:marTop w:val="0"/>
          <w:marBottom w:val="0"/>
          <w:divBdr>
            <w:top w:val="none" w:sz="0" w:space="0" w:color="auto"/>
            <w:left w:val="none" w:sz="0" w:space="0" w:color="auto"/>
            <w:bottom w:val="none" w:sz="0" w:space="0" w:color="auto"/>
            <w:right w:val="none" w:sz="0" w:space="0" w:color="auto"/>
          </w:divBdr>
        </w:div>
        <w:div w:id="556862092">
          <w:marLeft w:val="0"/>
          <w:marRight w:val="0"/>
          <w:marTop w:val="0"/>
          <w:marBottom w:val="0"/>
          <w:divBdr>
            <w:top w:val="none" w:sz="0" w:space="0" w:color="auto"/>
            <w:left w:val="none" w:sz="0" w:space="0" w:color="auto"/>
            <w:bottom w:val="none" w:sz="0" w:space="0" w:color="auto"/>
            <w:right w:val="none" w:sz="0" w:space="0" w:color="auto"/>
          </w:divBdr>
        </w:div>
        <w:div w:id="355886534">
          <w:marLeft w:val="0"/>
          <w:marRight w:val="0"/>
          <w:marTop w:val="0"/>
          <w:marBottom w:val="0"/>
          <w:divBdr>
            <w:top w:val="none" w:sz="0" w:space="0" w:color="auto"/>
            <w:left w:val="none" w:sz="0" w:space="0" w:color="auto"/>
            <w:bottom w:val="none" w:sz="0" w:space="0" w:color="auto"/>
            <w:right w:val="none" w:sz="0" w:space="0" w:color="auto"/>
          </w:divBdr>
        </w:div>
        <w:div w:id="2134907456">
          <w:marLeft w:val="0"/>
          <w:marRight w:val="0"/>
          <w:marTop w:val="0"/>
          <w:marBottom w:val="0"/>
          <w:divBdr>
            <w:top w:val="none" w:sz="0" w:space="0" w:color="auto"/>
            <w:left w:val="none" w:sz="0" w:space="0" w:color="auto"/>
            <w:bottom w:val="none" w:sz="0" w:space="0" w:color="auto"/>
            <w:right w:val="none" w:sz="0" w:space="0" w:color="auto"/>
          </w:divBdr>
        </w:div>
        <w:div w:id="324868950">
          <w:marLeft w:val="0"/>
          <w:marRight w:val="0"/>
          <w:marTop w:val="0"/>
          <w:marBottom w:val="0"/>
          <w:divBdr>
            <w:top w:val="none" w:sz="0" w:space="0" w:color="auto"/>
            <w:left w:val="none" w:sz="0" w:space="0" w:color="auto"/>
            <w:bottom w:val="none" w:sz="0" w:space="0" w:color="auto"/>
            <w:right w:val="none" w:sz="0" w:space="0" w:color="auto"/>
          </w:divBdr>
        </w:div>
      </w:divsChild>
    </w:div>
    <w:div w:id="1085346061">
      <w:bodyDiv w:val="1"/>
      <w:marLeft w:val="0"/>
      <w:marRight w:val="0"/>
      <w:marTop w:val="0"/>
      <w:marBottom w:val="0"/>
      <w:divBdr>
        <w:top w:val="none" w:sz="0" w:space="0" w:color="auto"/>
        <w:left w:val="none" w:sz="0" w:space="0" w:color="auto"/>
        <w:bottom w:val="none" w:sz="0" w:space="0" w:color="auto"/>
        <w:right w:val="none" w:sz="0" w:space="0" w:color="auto"/>
      </w:divBdr>
    </w:div>
    <w:div w:id="1101223428">
      <w:bodyDiv w:val="1"/>
      <w:marLeft w:val="0"/>
      <w:marRight w:val="0"/>
      <w:marTop w:val="0"/>
      <w:marBottom w:val="0"/>
      <w:divBdr>
        <w:top w:val="none" w:sz="0" w:space="0" w:color="auto"/>
        <w:left w:val="none" w:sz="0" w:space="0" w:color="auto"/>
        <w:bottom w:val="none" w:sz="0" w:space="0" w:color="auto"/>
        <w:right w:val="none" w:sz="0" w:space="0" w:color="auto"/>
      </w:divBdr>
      <w:divsChild>
        <w:div w:id="633951865">
          <w:marLeft w:val="0"/>
          <w:marRight w:val="0"/>
          <w:marTop w:val="0"/>
          <w:marBottom w:val="0"/>
          <w:divBdr>
            <w:top w:val="none" w:sz="0" w:space="0" w:color="auto"/>
            <w:left w:val="none" w:sz="0" w:space="0" w:color="auto"/>
            <w:bottom w:val="none" w:sz="0" w:space="0" w:color="auto"/>
            <w:right w:val="none" w:sz="0" w:space="0" w:color="auto"/>
          </w:divBdr>
        </w:div>
        <w:div w:id="1893418511">
          <w:marLeft w:val="0"/>
          <w:marRight w:val="0"/>
          <w:marTop w:val="0"/>
          <w:marBottom w:val="0"/>
          <w:divBdr>
            <w:top w:val="none" w:sz="0" w:space="0" w:color="auto"/>
            <w:left w:val="none" w:sz="0" w:space="0" w:color="auto"/>
            <w:bottom w:val="none" w:sz="0" w:space="0" w:color="auto"/>
            <w:right w:val="none" w:sz="0" w:space="0" w:color="auto"/>
          </w:divBdr>
        </w:div>
        <w:div w:id="1246721313">
          <w:marLeft w:val="0"/>
          <w:marRight w:val="0"/>
          <w:marTop w:val="0"/>
          <w:marBottom w:val="0"/>
          <w:divBdr>
            <w:top w:val="none" w:sz="0" w:space="0" w:color="auto"/>
            <w:left w:val="none" w:sz="0" w:space="0" w:color="auto"/>
            <w:bottom w:val="none" w:sz="0" w:space="0" w:color="auto"/>
            <w:right w:val="none" w:sz="0" w:space="0" w:color="auto"/>
          </w:divBdr>
        </w:div>
        <w:div w:id="219635548">
          <w:marLeft w:val="0"/>
          <w:marRight w:val="0"/>
          <w:marTop w:val="0"/>
          <w:marBottom w:val="0"/>
          <w:divBdr>
            <w:top w:val="none" w:sz="0" w:space="0" w:color="auto"/>
            <w:left w:val="none" w:sz="0" w:space="0" w:color="auto"/>
            <w:bottom w:val="none" w:sz="0" w:space="0" w:color="auto"/>
            <w:right w:val="none" w:sz="0" w:space="0" w:color="auto"/>
          </w:divBdr>
        </w:div>
        <w:div w:id="11566512">
          <w:marLeft w:val="0"/>
          <w:marRight w:val="0"/>
          <w:marTop w:val="0"/>
          <w:marBottom w:val="0"/>
          <w:divBdr>
            <w:top w:val="none" w:sz="0" w:space="0" w:color="auto"/>
            <w:left w:val="none" w:sz="0" w:space="0" w:color="auto"/>
            <w:bottom w:val="none" w:sz="0" w:space="0" w:color="auto"/>
            <w:right w:val="none" w:sz="0" w:space="0" w:color="auto"/>
          </w:divBdr>
        </w:div>
        <w:div w:id="1720393109">
          <w:marLeft w:val="0"/>
          <w:marRight w:val="0"/>
          <w:marTop w:val="0"/>
          <w:marBottom w:val="0"/>
          <w:divBdr>
            <w:top w:val="none" w:sz="0" w:space="0" w:color="auto"/>
            <w:left w:val="none" w:sz="0" w:space="0" w:color="auto"/>
            <w:bottom w:val="none" w:sz="0" w:space="0" w:color="auto"/>
            <w:right w:val="none" w:sz="0" w:space="0" w:color="auto"/>
          </w:divBdr>
        </w:div>
        <w:div w:id="2042433285">
          <w:marLeft w:val="0"/>
          <w:marRight w:val="0"/>
          <w:marTop w:val="0"/>
          <w:marBottom w:val="0"/>
          <w:divBdr>
            <w:top w:val="none" w:sz="0" w:space="0" w:color="auto"/>
            <w:left w:val="none" w:sz="0" w:space="0" w:color="auto"/>
            <w:bottom w:val="none" w:sz="0" w:space="0" w:color="auto"/>
            <w:right w:val="none" w:sz="0" w:space="0" w:color="auto"/>
          </w:divBdr>
        </w:div>
        <w:div w:id="1352873457">
          <w:marLeft w:val="0"/>
          <w:marRight w:val="0"/>
          <w:marTop w:val="0"/>
          <w:marBottom w:val="0"/>
          <w:divBdr>
            <w:top w:val="none" w:sz="0" w:space="0" w:color="auto"/>
            <w:left w:val="none" w:sz="0" w:space="0" w:color="auto"/>
            <w:bottom w:val="none" w:sz="0" w:space="0" w:color="auto"/>
            <w:right w:val="none" w:sz="0" w:space="0" w:color="auto"/>
          </w:divBdr>
        </w:div>
        <w:div w:id="83839256">
          <w:marLeft w:val="0"/>
          <w:marRight w:val="0"/>
          <w:marTop w:val="0"/>
          <w:marBottom w:val="0"/>
          <w:divBdr>
            <w:top w:val="none" w:sz="0" w:space="0" w:color="auto"/>
            <w:left w:val="none" w:sz="0" w:space="0" w:color="auto"/>
            <w:bottom w:val="none" w:sz="0" w:space="0" w:color="auto"/>
            <w:right w:val="none" w:sz="0" w:space="0" w:color="auto"/>
          </w:divBdr>
        </w:div>
      </w:divsChild>
    </w:div>
    <w:div w:id="1614708368">
      <w:bodyDiv w:val="1"/>
      <w:marLeft w:val="0"/>
      <w:marRight w:val="0"/>
      <w:marTop w:val="0"/>
      <w:marBottom w:val="0"/>
      <w:divBdr>
        <w:top w:val="none" w:sz="0" w:space="0" w:color="auto"/>
        <w:left w:val="none" w:sz="0" w:space="0" w:color="auto"/>
        <w:bottom w:val="none" w:sz="0" w:space="0" w:color="auto"/>
        <w:right w:val="none" w:sz="0" w:space="0" w:color="auto"/>
      </w:divBdr>
    </w:div>
    <w:div w:id="1654984048">
      <w:bodyDiv w:val="1"/>
      <w:marLeft w:val="0"/>
      <w:marRight w:val="0"/>
      <w:marTop w:val="0"/>
      <w:marBottom w:val="0"/>
      <w:divBdr>
        <w:top w:val="none" w:sz="0" w:space="0" w:color="auto"/>
        <w:left w:val="none" w:sz="0" w:space="0" w:color="auto"/>
        <w:bottom w:val="none" w:sz="0" w:space="0" w:color="auto"/>
        <w:right w:val="none" w:sz="0" w:space="0" w:color="auto"/>
      </w:divBdr>
      <w:divsChild>
        <w:div w:id="2121607395">
          <w:marLeft w:val="1152"/>
          <w:marRight w:val="0"/>
          <w:marTop w:val="125"/>
          <w:marBottom w:val="0"/>
          <w:divBdr>
            <w:top w:val="none" w:sz="0" w:space="0" w:color="auto"/>
            <w:left w:val="none" w:sz="0" w:space="0" w:color="auto"/>
            <w:bottom w:val="none" w:sz="0" w:space="0" w:color="auto"/>
            <w:right w:val="none" w:sz="0" w:space="0" w:color="auto"/>
          </w:divBdr>
        </w:div>
        <w:div w:id="823082942">
          <w:marLeft w:val="1152"/>
          <w:marRight w:val="0"/>
          <w:marTop w:val="125"/>
          <w:marBottom w:val="0"/>
          <w:divBdr>
            <w:top w:val="none" w:sz="0" w:space="0" w:color="auto"/>
            <w:left w:val="none" w:sz="0" w:space="0" w:color="auto"/>
            <w:bottom w:val="none" w:sz="0" w:space="0" w:color="auto"/>
            <w:right w:val="none" w:sz="0" w:space="0" w:color="auto"/>
          </w:divBdr>
        </w:div>
        <w:div w:id="926571119">
          <w:marLeft w:val="1152"/>
          <w:marRight w:val="0"/>
          <w:marTop w:val="125"/>
          <w:marBottom w:val="0"/>
          <w:divBdr>
            <w:top w:val="none" w:sz="0" w:space="0" w:color="auto"/>
            <w:left w:val="none" w:sz="0" w:space="0" w:color="auto"/>
            <w:bottom w:val="none" w:sz="0" w:space="0" w:color="auto"/>
            <w:right w:val="none" w:sz="0" w:space="0" w:color="auto"/>
          </w:divBdr>
        </w:div>
        <w:div w:id="918909036">
          <w:marLeft w:val="1642"/>
          <w:marRight w:val="0"/>
          <w:marTop w:val="114"/>
          <w:marBottom w:val="0"/>
          <w:divBdr>
            <w:top w:val="none" w:sz="0" w:space="0" w:color="auto"/>
            <w:left w:val="none" w:sz="0" w:space="0" w:color="auto"/>
            <w:bottom w:val="none" w:sz="0" w:space="0" w:color="auto"/>
            <w:right w:val="none" w:sz="0" w:space="0" w:color="auto"/>
          </w:divBdr>
        </w:div>
        <w:div w:id="1781996762">
          <w:marLeft w:val="1152"/>
          <w:marRight w:val="0"/>
          <w:marTop w:val="125"/>
          <w:marBottom w:val="0"/>
          <w:divBdr>
            <w:top w:val="none" w:sz="0" w:space="0" w:color="auto"/>
            <w:left w:val="none" w:sz="0" w:space="0" w:color="auto"/>
            <w:bottom w:val="none" w:sz="0" w:space="0" w:color="auto"/>
            <w:right w:val="none" w:sz="0" w:space="0" w:color="auto"/>
          </w:divBdr>
        </w:div>
      </w:divsChild>
    </w:div>
    <w:div w:id="1657108866">
      <w:bodyDiv w:val="1"/>
      <w:marLeft w:val="0"/>
      <w:marRight w:val="0"/>
      <w:marTop w:val="0"/>
      <w:marBottom w:val="0"/>
      <w:divBdr>
        <w:top w:val="none" w:sz="0" w:space="0" w:color="auto"/>
        <w:left w:val="none" w:sz="0" w:space="0" w:color="auto"/>
        <w:bottom w:val="none" w:sz="0" w:space="0" w:color="auto"/>
        <w:right w:val="none" w:sz="0" w:space="0" w:color="auto"/>
      </w:divBdr>
    </w:div>
    <w:div w:id="214272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onshorst\Documents\Benutzerdefinierte%20Office-Vorlagen\Elektrokurzschulung_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44F0A2E325DA94982285E9B7D5E10CC" ma:contentTypeVersion="18" ma:contentTypeDescription="Creare un nuovo documento." ma:contentTypeScope="" ma:versionID="a09f34e031ec677f20901596856d05b7">
  <xsd:schema xmlns:xsd="http://www.w3.org/2001/XMLSchema" xmlns:xs="http://www.w3.org/2001/XMLSchema" xmlns:p="http://schemas.microsoft.com/office/2006/metadata/properties" xmlns:ns2="0ba9638b-9898-400c-aa80-e8ce42f10e4c" xmlns:ns3="f112106e-c22d-4e62-91a8-fee0c12b8c0c" targetNamespace="http://schemas.microsoft.com/office/2006/metadata/properties" ma:root="true" ma:fieldsID="55995facd5b1c1978825246777d08560" ns2:_="" ns3:_="">
    <xsd:import namespace="0ba9638b-9898-400c-aa80-e8ce42f10e4c"/>
    <xsd:import namespace="f112106e-c22d-4e62-91a8-fee0c12b8c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9638b-9898-400c-aa80-e8ce42f10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95f5e32c-150b-462f-bf54-3aeed57a90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2106e-c22d-4e62-91a8-fee0c12b8c0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8bd0ae1-9a7a-446b-b29e-65fbcfd9aa56}" ma:internalName="TaxCatchAll" ma:showField="CatchAllData" ma:web="f112106e-c22d-4e62-91a8-fee0c12b8c0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112106e-c22d-4e62-91a8-fee0c12b8c0c" xsi:nil="true"/>
    <lcf76f155ced4ddcb4097134ff3c332f xmlns="0ba9638b-9898-400c-aa80-e8ce42f10e4c">
      <Terms xmlns="http://schemas.microsoft.com/office/infopath/2007/PartnerControls"/>
    </lcf76f155ced4ddcb4097134ff3c332f>
    <SharedWithUsers xmlns="f112106e-c22d-4e62-91a8-fee0c12b8c0c">
      <UserInfo>
        <DisplayName/>
        <AccountId xsi:nil="true"/>
        <AccountType/>
      </UserInfo>
    </SharedWithUsers>
  </documentManagement>
</p:properties>
</file>

<file path=customXml/itemProps1.xml><?xml version="1.0" encoding="utf-8"?>
<ds:datastoreItem xmlns:ds="http://schemas.openxmlformats.org/officeDocument/2006/customXml" ds:itemID="{BF9FCADB-835D-CC40-9F38-93F42C1BBE34}">
  <ds:schemaRefs>
    <ds:schemaRef ds:uri="http://schemas.openxmlformats.org/officeDocument/2006/bibliography"/>
  </ds:schemaRefs>
</ds:datastoreItem>
</file>

<file path=customXml/itemProps2.xml><?xml version="1.0" encoding="utf-8"?>
<ds:datastoreItem xmlns:ds="http://schemas.openxmlformats.org/officeDocument/2006/customXml" ds:itemID="{5FD266CB-3340-4949-B9EF-C957A83509AD}">
  <ds:schemaRefs>
    <ds:schemaRef ds:uri="http://schemas.microsoft.com/sharepoint/v3/contenttype/forms"/>
  </ds:schemaRefs>
</ds:datastoreItem>
</file>

<file path=customXml/itemProps3.xml><?xml version="1.0" encoding="utf-8"?>
<ds:datastoreItem xmlns:ds="http://schemas.openxmlformats.org/officeDocument/2006/customXml" ds:itemID="{2C8C1D43-7D13-45A7-A82D-0F5C21DD9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9638b-9898-400c-aa80-e8ce42f10e4c"/>
    <ds:schemaRef ds:uri="f112106e-c22d-4e62-91a8-fee0c12b8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095010-E65F-40B7-988F-12D39370CACD}">
  <ds:schemaRefs>
    <ds:schemaRef ds:uri="http://schemas.microsoft.com/office/2006/metadata/properties"/>
    <ds:schemaRef ds:uri="http://schemas.microsoft.com/office/infopath/2007/PartnerControls"/>
    <ds:schemaRef ds:uri="f112106e-c22d-4e62-91a8-fee0c12b8c0c"/>
    <ds:schemaRef ds:uri="0ba9638b-9898-400c-aa80-e8ce42f10e4c"/>
  </ds:schemaRefs>
</ds:datastoreItem>
</file>

<file path=docProps/app.xml><?xml version="1.0" encoding="utf-8"?>
<Properties xmlns="http://schemas.openxmlformats.org/officeDocument/2006/extended-properties" xmlns:vt="http://schemas.openxmlformats.org/officeDocument/2006/docPropsVTypes">
  <Template>Elektrokurzschulung_Vorlage</Template>
  <TotalTime>0</TotalTime>
  <Pages>1</Pages>
  <Words>838</Words>
  <Characters>5285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Sicherheitsunterweisung 02_2010</vt:lpstr>
    </vt:vector>
  </TitlesOfParts>
  <Company>Axima GmbH</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Sicherheitsunterweisung 02_2010</dc:title>
  <dc:subject/>
  <dc:creator>Jürgen Kronshorst</dc:creator>
  <cp:keywords/>
  <dc:description/>
  <cp:lastModifiedBy>Andres Moncayo</cp:lastModifiedBy>
  <cp:revision>4</cp:revision>
  <cp:lastPrinted>2023-03-30T12:05:00Z</cp:lastPrinted>
  <dcterms:created xsi:type="dcterms:W3CDTF">2025-04-10T09:18:00Z</dcterms:created>
  <dcterms:modified xsi:type="dcterms:W3CDTF">2025-04-30T09:32:00Z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TentativeReviewCycleID">
    <vt:i4>611546853</vt:i4>
  </property>
  <property fmtid="{D5CDD505-2E9C-101B-9397-08002B2CF9AE}" pid="4" name="_ReviewCycleID">
    <vt:i4>611546853</vt:i4>
  </property>
  <property fmtid="{D5CDD505-2E9C-101B-9397-08002B2CF9AE}" pid="5" name="_EmailEntryID">
    <vt:lpwstr>00000000FD98DB2319F6474D9B823A195AE9C4AC0700F2B95EEF1C614448BE8D11219884B76F0000004FD3150000F2B95EEF1C614448BE8D11219884B76F0000004FD5F30000</vt:lpwstr>
  </property>
  <property fmtid="{D5CDD505-2E9C-101B-9397-08002B2CF9AE}" pid="6" name="_EmailStoreID0">
    <vt:lpwstr>0000000038A1BB1005E5101AA1BB08002B2A56C20000454D534D44422E444C4C00000000000000001B55FA20AA6611CD9BC800AA002FC45A0C0000005342533031002F6F3D4D454245444F2F6F753D66697273742061646D696E6973747261746976652067726F75702F636E3D526563697069656E74732F636E3D627275656</vt:lpwstr>
  </property>
  <property fmtid="{D5CDD505-2E9C-101B-9397-08002B2CF9AE}" pid="7" name="_EmailStoreID1">
    <vt:lpwstr>E6E00</vt:lpwstr>
  </property>
  <property fmtid="{D5CDD505-2E9C-101B-9397-08002B2CF9AE}" pid="8" name="_ReviewingToolsShownOnce">
    <vt:lpwstr/>
  </property>
  <property fmtid="{D5CDD505-2E9C-101B-9397-08002B2CF9AE}" pid="9" name="ContentTypeId">
    <vt:lpwstr>0x010100144F0A2E325DA94982285E9B7D5E10CC</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