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C718" w14:textId="77777777" w:rsidR="004A5231" w:rsidRPr="004A5231" w:rsidRDefault="004A5231" w:rsidP="004A5231">
      <w:pPr>
        <w:tabs>
          <w:tab w:val="left" w:pos="6075"/>
        </w:tabs>
        <w:jc w:val="both"/>
        <w:rPr>
          <w:rFonts w:cs="Arial"/>
          <w:b/>
          <w:bCs/>
          <w:color w:val="000000" w:themeColor="text1"/>
        </w:rPr>
      </w:pPr>
      <w:r w:rsidRPr="004A5231">
        <w:rPr>
          <w:rFonts w:cs="Arial"/>
          <w:b/>
          <w:bCs/>
          <w:color w:val="000000" w:themeColor="text1"/>
        </w:rPr>
        <w:t>Einleitung</w:t>
      </w:r>
    </w:p>
    <w:p w14:paraId="3A30A6B5" w14:textId="77777777" w:rsidR="004A5231" w:rsidRPr="004A5231" w:rsidRDefault="004A5231" w:rsidP="004A5231">
      <w:pPr>
        <w:tabs>
          <w:tab w:val="left" w:pos="6075"/>
        </w:tabs>
        <w:jc w:val="both"/>
        <w:rPr>
          <w:rFonts w:cs="Arial"/>
          <w:color w:val="000000" w:themeColor="text1"/>
        </w:rPr>
      </w:pPr>
    </w:p>
    <w:p w14:paraId="77783010"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Niederspannungs-Schaltgerätekombinationen, im Folgenden als Schaltgerätekombination oder SGK bezeichnet, stellen eine zentrale Komponente in elektrischen Systemen dar. Die ordnungsgemäße Anordnung von Betriebsmitteln in Deckeln, Türen, Abschlussplatten u. ä., und die ordnungsgemäße Ausführung der Schutzklassen sind von entscheidender Bedeutung.</w:t>
      </w:r>
    </w:p>
    <w:p w14:paraId="3A2301E7" w14:textId="77777777" w:rsidR="004A5231" w:rsidRPr="004A5231" w:rsidRDefault="004A5231" w:rsidP="004A5231">
      <w:pPr>
        <w:tabs>
          <w:tab w:val="left" w:pos="6075"/>
        </w:tabs>
        <w:jc w:val="both"/>
        <w:rPr>
          <w:rFonts w:cs="Arial"/>
          <w:color w:val="000000" w:themeColor="text1"/>
        </w:rPr>
      </w:pPr>
    </w:p>
    <w:p w14:paraId="6C0CBFED" w14:textId="5F086681" w:rsidR="004A5231" w:rsidRPr="004A5231" w:rsidRDefault="004A5231" w:rsidP="004A5231">
      <w:pPr>
        <w:tabs>
          <w:tab w:val="left" w:pos="6075"/>
        </w:tabs>
        <w:jc w:val="both"/>
        <w:rPr>
          <w:rFonts w:cs="Arial"/>
          <w:color w:val="000000" w:themeColor="text1"/>
        </w:rPr>
      </w:pPr>
      <w:r w:rsidRPr="004A5231">
        <w:rPr>
          <w:rFonts w:cs="Arial"/>
          <w:color w:val="000000" w:themeColor="text1"/>
        </w:rPr>
        <w:t>Die nachfolgende Übersicht gibt eine Darstellung der verschiedenen Schutzklassen.</w:t>
      </w:r>
    </w:p>
    <w:p w14:paraId="402BCC1A" w14:textId="77777777" w:rsidR="004A5231" w:rsidRPr="004A5231" w:rsidRDefault="004A5231" w:rsidP="004A5231">
      <w:pPr>
        <w:tabs>
          <w:tab w:val="left" w:pos="6075"/>
        </w:tabs>
        <w:jc w:val="both"/>
        <w:rPr>
          <w:rFonts w:cs="Arial"/>
          <w:color w:val="000000" w:themeColor="text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82"/>
      </w:tblGrid>
      <w:tr w:rsidR="004A5231" w:rsidRPr="004A5231" w14:paraId="57ABDB05" w14:textId="77777777" w:rsidTr="004A5231">
        <w:tc>
          <w:tcPr>
            <w:tcW w:w="9467" w:type="dxa"/>
            <w:gridSpan w:val="2"/>
          </w:tcPr>
          <w:p w14:paraId="6B41D596" w14:textId="77777777" w:rsidR="004A5231" w:rsidRPr="004A5231" w:rsidRDefault="004A5231" w:rsidP="009437C2">
            <w:pPr>
              <w:rPr>
                <w:rFonts w:cs="Arial"/>
                <w:b/>
                <w:bCs/>
                <w:color w:val="000000" w:themeColor="text1"/>
              </w:rPr>
            </w:pPr>
            <w:r w:rsidRPr="004A5231">
              <w:rPr>
                <w:rFonts w:cs="Arial"/>
                <w:b/>
                <w:bCs/>
                <w:color w:val="000000" w:themeColor="text1"/>
              </w:rPr>
              <w:t>Schutzklasse I</w:t>
            </w:r>
          </w:p>
        </w:tc>
      </w:tr>
      <w:tr w:rsidR="004A5231" w:rsidRPr="004A5231" w14:paraId="1E32C441" w14:textId="77777777" w:rsidTr="004A5231">
        <w:trPr>
          <w:trHeight w:val="1049"/>
        </w:trPr>
        <w:tc>
          <w:tcPr>
            <w:tcW w:w="1985" w:type="dxa"/>
            <w:vAlign w:val="center"/>
          </w:tcPr>
          <w:p w14:paraId="76FE2E7F" w14:textId="77777777" w:rsidR="004A5231" w:rsidRPr="004A5231" w:rsidRDefault="004A5231" w:rsidP="004A5231">
            <w:pPr>
              <w:jc w:val="center"/>
              <w:rPr>
                <w:rFonts w:cs="Arial"/>
                <w:color w:val="000000" w:themeColor="text1"/>
              </w:rPr>
            </w:pPr>
            <w:r w:rsidRPr="004A5231">
              <w:rPr>
                <w:rFonts w:cs="Arial"/>
                <w:noProof/>
                <w:color w:val="000000" w:themeColor="text1"/>
              </w:rPr>
              <w:drawing>
                <wp:anchor distT="0" distB="0" distL="114300" distR="114300" simplePos="0" relativeHeight="251662336" behindDoc="0" locked="0" layoutInCell="1" allowOverlap="1" wp14:anchorId="29019F05" wp14:editId="3E3E5277">
                  <wp:simplePos x="0" y="0"/>
                  <wp:positionH relativeFrom="column">
                    <wp:posOffset>-1905</wp:posOffset>
                  </wp:positionH>
                  <wp:positionV relativeFrom="paragraph">
                    <wp:posOffset>40198</wp:posOffset>
                  </wp:positionV>
                  <wp:extent cx="563880" cy="549783"/>
                  <wp:effectExtent l="0" t="0" r="7620" b="3175"/>
                  <wp:wrapNone/>
                  <wp:docPr id="323740650" name="Grafik 1" descr="Ein Bild, das Symbol, Kreis,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40650" name="Grafik 1" descr="Ein Bild, das Symbol, Kreis, Schrift,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549783"/>
                          </a:xfrm>
                          <a:prstGeom prst="rect">
                            <a:avLst/>
                          </a:prstGeom>
                          <a:noFill/>
                        </pic:spPr>
                      </pic:pic>
                    </a:graphicData>
                  </a:graphic>
                </wp:anchor>
              </w:drawing>
            </w:r>
          </w:p>
        </w:tc>
        <w:tc>
          <w:tcPr>
            <w:tcW w:w="7482" w:type="dxa"/>
          </w:tcPr>
          <w:p w14:paraId="104ABC9E" w14:textId="77777777" w:rsidR="004A5231" w:rsidRPr="004A5231" w:rsidRDefault="004A5231" w:rsidP="009437C2">
            <w:pPr>
              <w:rPr>
                <w:rFonts w:cs="Arial"/>
                <w:color w:val="000000" w:themeColor="text1"/>
              </w:rPr>
            </w:pPr>
            <w:r w:rsidRPr="004A5231">
              <w:rPr>
                <w:rFonts w:cs="Arial"/>
                <w:color w:val="000000" w:themeColor="text1"/>
              </w:rPr>
              <w:t>Betriebsmittel/ Schaltgerätekombinationen mit mindestens einer Vorkehrung für den Basisschutz und einer Verbindung mit dem Schutzleiter als Vorkehrung für den Fehlerschutz.</w:t>
            </w:r>
          </w:p>
        </w:tc>
      </w:tr>
      <w:tr w:rsidR="004A5231" w:rsidRPr="004A5231" w14:paraId="3630B6A3" w14:textId="77777777" w:rsidTr="004A5231">
        <w:tc>
          <w:tcPr>
            <w:tcW w:w="9467" w:type="dxa"/>
            <w:gridSpan w:val="2"/>
            <w:vAlign w:val="center"/>
          </w:tcPr>
          <w:p w14:paraId="1C9FB6B3" w14:textId="77777777" w:rsidR="004A5231" w:rsidRPr="004A5231" w:rsidRDefault="004A5231" w:rsidP="004A5231">
            <w:pPr>
              <w:rPr>
                <w:rFonts w:cs="Arial"/>
                <w:b/>
                <w:bCs/>
                <w:color w:val="000000" w:themeColor="text1"/>
              </w:rPr>
            </w:pPr>
            <w:r w:rsidRPr="004A5231">
              <w:rPr>
                <w:rFonts w:cs="Arial"/>
                <w:b/>
                <w:bCs/>
                <w:color w:val="000000" w:themeColor="text1"/>
              </w:rPr>
              <w:t>Schutzklasse II</w:t>
            </w:r>
          </w:p>
        </w:tc>
      </w:tr>
      <w:tr w:rsidR="004A5231" w:rsidRPr="004A5231" w14:paraId="2D02F261" w14:textId="77777777" w:rsidTr="004A5231">
        <w:tc>
          <w:tcPr>
            <w:tcW w:w="1985" w:type="dxa"/>
            <w:vAlign w:val="center"/>
          </w:tcPr>
          <w:p w14:paraId="05DB5B3E" w14:textId="77777777" w:rsidR="004A5231" w:rsidRPr="004A5231" w:rsidRDefault="004A5231" w:rsidP="004A5231">
            <w:pPr>
              <w:jc w:val="center"/>
              <w:rPr>
                <w:rFonts w:cs="Arial"/>
                <w:color w:val="000000" w:themeColor="text1"/>
              </w:rPr>
            </w:pPr>
            <w:r w:rsidRPr="004A5231">
              <w:rPr>
                <w:rFonts w:cs="Arial"/>
                <w:noProof/>
                <w:color w:val="000000" w:themeColor="text1"/>
              </w:rPr>
              <w:drawing>
                <wp:anchor distT="0" distB="0" distL="114300" distR="114300" simplePos="0" relativeHeight="251661312" behindDoc="0" locked="0" layoutInCell="1" allowOverlap="1" wp14:anchorId="77EE7C4A" wp14:editId="132313A7">
                  <wp:simplePos x="0" y="0"/>
                  <wp:positionH relativeFrom="column">
                    <wp:posOffset>-1905</wp:posOffset>
                  </wp:positionH>
                  <wp:positionV relativeFrom="paragraph">
                    <wp:posOffset>98453</wp:posOffset>
                  </wp:positionV>
                  <wp:extent cx="571500" cy="578644"/>
                  <wp:effectExtent l="0" t="0" r="0" b="0"/>
                  <wp:wrapNone/>
                  <wp:docPr id="1787081615" name="Grafik 2" descr="Ein Bild, das Bilderrahmen, Rechteck, Rah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1615" name="Grafik 2" descr="Ein Bild, das Bilderrahmen, Rechteck, Rahme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8644"/>
                          </a:xfrm>
                          <a:prstGeom prst="rect">
                            <a:avLst/>
                          </a:prstGeom>
                          <a:noFill/>
                        </pic:spPr>
                      </pic:pic>
                    </a:graphicData>
                  </a:graphic>
                </wp:anchor>
              </w:drawing>
            </w:r>
          </w:p>
        </w:tc>
        <w:tc>
          <w:tcPr>
            <w:tcW w:w="7482" w:type="dxa"/>
          </w:tcPr>
          <w:p w14:paraId="4B480CB3" w14:textId="77777777" w:rsidR="004A5231" w:rsidRPr="004A5231" w:rsidRDefault="004A5231" w:rsidP="009437C2">
            <w:pPr>
              <w:rPr>
                <w:rFonts w:cs="Arial"/>
                <w:color w:val="000000" w:themeColor="text1"/>
              </w:rPr>
            </w:pPr>
            <w:r w:rsidRPr="004A5231">
              <w:rPr>
                <w:rFonts w:cs="Arial"/>
                <w:color w:val="000000" w:themeColor="text1"/>
              </w:rPr>
              <w:t>Betriebsmittel/ Schaltgerätekombinationen der Schutzklasse II erfordern</w:t>
            </w:r>
          </w:p>
          <w:p w14:paraId="261C0B31" w14:textId="77777777" w:rsidR="004A5231" w:rsidRPr="004A5231" w:rsidRDefault="004A5231" w:rsidP="004A5231">
            <w:pPr>
              <w:pStyle w:val="Listenabsatz"/>
              <w:numPr>
                <w:ilvl w:val="0"/>
                <w:numId w:val="46"/>
              </w:numPr>
              <w:contextualSpacing/>
              <w:jc w:val="both"/>
              <w:rPr>
                <w:rFonts w:cs="Arial"/>
                <w:color w:val="000000" w:themeColor="text1"/>
              </w:rPr>
            </w:pPr>
            <w:r w:rsidRPr="004A5231">
              <w:rPr>
                <w:rFonts w:cs="Arial"/>
                <w:color w:val="000000" w:themeColor="text1"/>
              </w:rPr>
              <w:t>Basisisolierung als Vorkehrung für den Basisschutz und</w:t>
            </w:r>
          </w:p>
          <w:p w14:paraId="1CE61A50" w14:textId="77777777" w:rsidR="004A5231" w:rsidRPr="004A5231" w:rsidRDefault="004A5231" w:rsidP="004A5231">
            <w:pPr>
              <w:pStyle w:val="Listenabsatz"/>
              <w:numPr>
                <w:ilvl w:val="0"/>
                <w:numId w:val="46"/>
              </w:numPr>
              <w:contextualSpacing/>
              <w:jc w:val="both"/>
              <w:rPr>
                <w:rFonts w:cs="Arial"/>
                <w:color w:val="000000" w:themeColor="text1"/>
              </w:rPr>
            </w:pPr>
            <w:r w:rsidRPr="004A5231">
              <w:rPr>
                <w:rFonts w:cs="Arial"/>
                <w:color w:val="000000" w:themeColor="text1"/>
              </w:rPr>
              <w:t>zusätzliche Isolierung als Vorkehrung für den Fehlerschutz,</w:t>
            </w:r>
          </w:p>
          <w:p w14:paraId="428C3BCA" w14:textId="77777777" w:rsidR="004A5231" w:rsidRPr="004A5231" w:rsidRDefault="004A5231" w:rsidP="009437C2">
            <w:pPr>
              <w:rPr>
                <w:rFonts w:cs="Arial"/>
                <w:color w:val="000000" w:themeColor="text1"/>
              </w:rPr>
            </w:pPr>
            <w:r w:rsidRPr="004A5231">
              <w:rPr>
                <w:rFonts w:cs="Arial"/>
                <w:color w:val="000000" w:themeColor="text1"/>
              </w:rPr>
              <w:t>oder es wird</w:t>
            </w:r>
          </w:p>
          <w:p w14:paraId="18DE8E39" w14:textId="77777777" w:rsidR="004A5231" w:rsidRPr="004A5231" w:rsidRDefault="004A5231" w:rsidP="004A5231">
            <w:pPr>
              <w:pStyle w:val="Listenabsatz"/>
              <w:numPr>
                <w:ilvl w:val="0"/>
                <w:numId w:val="47"/>
              </w:numPr>
              <w:contextualSpacing/>
              <w:jc w:val="both"/>
              <w:rPr>
                <w:rFonts w:cs="Arial"/>
                <w:color w:val="000000" w:themeColor="text1"/>
              </w:rPr>
            </w:pPr>
            <w:r w:rsidRPr="004A5231">
              <w:rPr>
                <w:rFonts w:cs="Arial"/>
                <w:color w:val="000000" w:themeColor="text1"/>
              </w:rPr>
              <w:t>Basis- und Fehlerschutz durch verstärkte Isolierung realisiert.</w:t>
            </w:r>
          </w:p>
        </w:tc>
      </w:tr>
      <w:tr w:rsidR="004A5231" w:rsidRPr="004A5231" w14:paraId="169D8AB7" w14:textId="77777777" w:rsidTr="004A5231">
        <w:tc>
          <w:tcPr>
            <w:tcW w:w="9467" w:type="dxa"/>
            <w:gridSpan w:val="2"/>
            <w:shd w:val="clear" w:color="auto" w:fill="auto"/>
            <w:vAlign w:val="center"/>
          </w:tcPr>
          <w:p w14:paraId="65194CA0" w14:textId="60515EDE" w:rsidR="004A5231" w:rsidRPr="004A5231" w:rsidRDefault="004A5231" w:rsidP="004A5231">
            <w:pPr>
              <w:rPr>
                <w:rFonts w:cs="Arial"/>
                <w:b/>
                <w:bCs/>
                <w:color w:val="000000" w:themeColor="text1"/>
              </w:rPr>
            </w:pPr>
            <w:r w:rsidRPr="004A5231">
              <w:rPr>
                <w:rFonts w:cs="Arial"/>
                <w:b/>
                <w:bCs/>
                <w:color w:val="000000" w:themeColor="text1"/>
              </w:rPr>
              <w:t>Schutzklasse III</w:t>
            </w:r>
          </w:p>
        </w:tc>
      </w:tr>
      <w:tr w:rsidR="004A5231" w:rsidRPr="004A5231" w14:paraId="3CBA3BD0" w14:textId="77777777" w:rsidTr="004A5231">
        <w:tc>
          <w:tcPr>
            <w:tcW w:w="1985" w:type="dxa"/>
            <w:shd w:val="clear" w:color="auto" w:fill="auto"/>
            <w:vAlign w:val="center"/>
          </w:tcPr>
          <w:p w14:paraId="34DF5A3C" w14:textId="77777777" w:rsidR="004A5231" w:rsidRPr="004A5231" w:rsidRDefault="004A5231" w:rsidP="004A5231">
            <w:pPr>
              <w:jc w:val="center"/>
              <w:rPr>
                <w:rFonts w:cs="Arial"/>
                <w:color w:val="000000" w:themeColor="text1"/>
              </w:rPr>
            </w:pPr>
            <w:r w:rsidRPr="004A5231">
              <w:rPr>
                <w:rFonts w:cs="Arial"/>
                <w:noProof/>
                <w:color w:val="000000" w:themeColor="text1"/>
              </w:rPr>
              <w:drawing>
                <wp:anchor distT="0" distB="0" distL="114300" distR="114300" simplePos="0" relativeHeight="251663360" behindDoc="0" locked="0" layoutInCell="1" allowOverlap="1" wp14:anchorId="43B5AF61" wp14:editId="2C16018B">
                  <wp:simplePos x="0" y="0"/>
                  <wp:positionH relativeFrom="column">
                    <wp:posOffset>-1905</wp:posOffset>
                  </wp:positionH>
                  <wp:positionV relativeFrom="paragraph">
                    <wp:posOffset>20845</wp:posOffset>
                  </wp:positionV>
                  <wp:extent cx="586740" cy="579406"/>
                  <wp:effectExtent l="0" t="0" r="3810" b="0"/>
                  <wp:wrapNone/>
                  <wp:docPr id="1355974037" name="Grafik 3" descr="Ein Bild, das Reihe, weiß,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74037" name="Grafik 3" descr="Ein Bild, das Reihe, weiß, Symbol, Desig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 cy="579406"/>
                          </a:xfrm>
                          <a:prstGeom prst="rect">
                            <a:avLst/>
                          </a:prstGeom>
                          <a:noFill/>
                        </pic:spPr>
                      </pic:pic>
                    </a:graphicData>
                  </a:graphic>
                </wp:anchor>
              </w:drawing>
            </w:r>
          </w:p>
        </w:tc>
        <w:tc>
          <w:tcPr>
            <w:tcW w:w="7482" w:type="dxa"/>
            <w:shd w:val="clear" w:color="auto" w:fill="auto"/>
          </w:tcPr>
          <w:p w14:paraId="77957BC5" w14:textId="77777777" w:rsidR="004A5231" w:rsidRPr="004A5231" w:rsidRDefault="004A5231" w:rsidP="009437C2">
            <w:pPr>
              <w:rPr>
                <w:rFonts w:cs="Arial"/>
                <w:color w:val="000000" w:themeColor="text1"/>
              </w:rPr>
            </w:pPr>
            <w:r w:rsidRPr="004A5231">
              <w:rPr>
                <w:rFonts w:cs="Arial"/>
                <w:color w:val="000000" w:themeColor="text1"/>
              </w:rPr>
              <w:t>Betriebsmittel mit Begrenzung der Spannung auf Werte von ELV (&lt; AC 50 V oder DC 120V) als Vorkehrung für den Basisschutz und ohne Vorkehrung für den Fehlerschutz (Verbindungen mit Erde sind keine Vorkehrung für den Fehlerschutz, sondern dienen funktionellen Gründen)</w:t>
            </w:r>
          </w:p>
        </w:tc>
      </w:tr>
      <w:tr w:rsidR="004A5231" w:rsidRPr="004A5231" w14:paraId="32D62E25" w14:textId="77777777" w:rsidTr="004A5231">
        <w:trPr>
          <w:trHeight w:val="567"/>
        </w:trPr>
        <w:tc>
          <w:tcPr>
            <w:tcW w:w="9467" w:type="dxa"/>
            <w:gridSpan w:val="2"/>
            <w:shd w:val="clear" w:color="auto" w:fill="auto"/>
            <w:vAlign w:val="center"/>
          </w:tcPr>
          <w:p w14:paraId="4F956F28" w14:textId="77777777" w:rsidR="004A5231" w:rsidRPr="004A5231" w:rsidRDefault="004A5231" w:rsidP="009437C2">
            <w:pPr>
              <w:pStyle w:val="Beschriftung"/>
              <w:rPr>
                <w:rFonts w:cs="Arial"/>
                <w:color w:val="000000" w:themeColor="text1"/>
              </w:rPr>
            </w:pPr>
            <w:r w:rsidRPr="004A5231">
              <w:rPr>
                <w:rFonts w:cs="Arial"/>
                <w:color w:val="000000" w:themeColor="text1"/>
              </w:rPr>
              <w:t xml:space="preserve">Tabelle </w:t>
            </w:r>
            <w:r w:rsidRPr="004A5231">
              <w:rPr>
                <w:rFonts w:cs="Arial"/>
                <w:color w:val="000000" w:themeColor="text1"/>
              </w:rPr>
              <w:fldChar w:fldCharType="begin"/>
            </w:r>
            <w:r w:rsidRPr="004A5231">
              <w:rPr>
                <w:rFonts w:cs="Arial"/>
                <w:color w:val="000000" w:themeColor="text1"/>
              </w:rPr>
              <w:instrText xml:space="preserve"> SEQ Tabelle \* ARABIC </w:instrText>
            </w:r>
            <w:r w:rsidRPr="004A5231">
              <w:rPr>
                <w:rFonts w:cs="Arial"/>
                <w:color w:val="000000" w:themeColor="text1"/>
              </w:rPr>
              <w:fldChar w:fldCharType="separate"/>
            </w:r>
            <w:r w:rsidRPr="004A5231">
              <w:rPr>
                <w:rFonts w:cs="Arial"/>
                <w:noProof/>
                <w:color w:val="000000" w:themeColor="text1"/>
              </w:rPr>
              <w:t>1</w:t>
            </w:r>
            <w:r w:rsidRPr="004A5231">
              <w:rPr>
                <w:rFonts w:cs="Arial"/>
                <w:color w:val="000000" w:themeColor="text1"/>
              </w:rPr>
              <w:fldChar w:fldCharType="end"/>
            </w:r>
            <w:r w:rsidRPr="004A5231">
              <w:rPr>
                <w:rFonts w:cs="Arial"/>
                <w:color w:val="000000" w:themeColor="text1"/>
              </w:rPr>
              <w:t>: Schutzklassen gemäß DIN VDE 0140-1: 2016-11 - Koordinieren der elektrischen Betriebsmittel mit den Schutzvorkehrungen in der elektrischen Anlage</w:t>
            </w:r>
          </w:p>
        </w:tc>
      </w:tr>
    </w:tbl>
    <w:p w14:paraId="5DB50866" w14:textId="77777777" w:rsidR="004A5231" w:rsidRPr="004A5231" w:rsidRDefault="004A5231" w:rsidP="004A5231">
      <w:pPr>
        <w:tabs>
          <w:tab w:val="left" w:pos="6075"/>
        </w:tabs>
        <w:jc w:val="both"/>
        <w:rPr>
          <w:rFonts w:cs="Arial"/>
          <w:color w:val="000000" w:themeColor="text1"/>
        </w:rPr>
      </w:pPr>
    </w:p>
    <w:p w14:paraId="05100B6C" w14:textId="77777777" w:rsidR="004A5231" w:rsidRPr="004A5231" w:rsidRDefault="004A5231" w:rsidP="004A5231">
      <w:pPr>
        <w:tabs>
          <w:tab w:val="left" w:pos="6075"/>
        </w:tabs>
        <w:jc w:val="both"/>
        <w:rPr>
          <w:rFonts w:cs="Arial"/>
          <w:b/>
          <w:bCs/>
          <w:color w:val="000000" w:themeColor="text1"/>
        </w:rPr>
      </w:pPr>
      <w:r w:rsidRPr="004A5231">
        <w:rPr>
          <w:rFonts w:cs="Arial"/>
          <w:b/>
          <w:bCs/>
          <w:color w:val="000000" w:themeColor="text1"/>
        </w:rPr>
        <w:t xml:space="preserve">Normative Anforderungen nach DIN VDE 0660-600-1: 2021-10 und DIN VDE 0113-1:2019-06 im Kontext von Betriebsmitteln in Türen von Schaltgerätekombinationen </w:t>
      </w:r>
    </w:p>
    <w:p w14:paraId="5392E3F5" w14:textId="77777777" w:rsidR="004A5231" w:rsidRPr="004A5231" w:rsidRDefault="004A5231" w:rsidP="004A5231">
      <w:pPr>
        <w:tabs>
          <w:tab w:val="left" w:pos="6075"/>
        </w:tabs>
        <w:jc w:val="both"/>
        <w:rPr>
          <w:rFonts w:cs="Arial"/>
          <w:color w:val="000000" w:themeColor="text1"/>
        </w:rPr>
      </w:pPr>
    </w:p>
    <w:p w14:paraId="454010E9" w14:textId="77777777" w:rsidR="004A5231" w:rsidRDefault="004A5231" w:rsidP="004A5231">
      <w:pPr>
        <w:tabs>
          <w:tab w:val="left" w:pos="6075"/>
        </w:tabs>
        <w:jc w:val="both"/>
        <w:rPr>
          <w:rFonts w:cs="Arial"/>
          <w:b/>
          <w:color w:val="000000" w:themeColor="text1"/>
        </w:rPr>
      </w:pPr>
      <w:r w:rsidRPr="004A5231">
        <w:rPr>
          <w:rFonts w:cs="Arial"/>
          <w:b/>
          <w:color w:val="000000" w:themeColor="text1"/>
        </w:rPr>
        <w:t>Allgemeine Anforderungen an Schutzleiter in Schaltgerätekombination in Schutzklasse I</w:t>
      </w:r>
    </w:p>
    <w:p w14:paraId="6CB42B1A" w14:textId="77777777" w:rsidR="004A5231" w:rsidRPr="004A5231" w:rsidRDefault="004A5231" w:rsidP="004A5231">
      <w:pPr>
        <w:tabs>
          <w:tab w:val="left" w:pos="6075"/>
        </w:tabs>
        <w:jc w:val="both"/>
        <w:rPr>
          <w:rFonts w:cs="Arial"/>
          <w:b/>
          <w:color w:val="000000" w:themeColor="text1"/>
        </w:rPr>
      </w:pPr>
    </w:p>
    <w:p w14:paraId="45D58B7E"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Die DIN VDE 0660-600-1: 2021-10 definiert, dass innerhalb einer SGK der Schutzklasse 1 alle Körper miteinander und mit dem Schutzleiter der Stromversorgung verbunden sind. Diese Verbindungen können durch metallene Schraubverbindungen, geschweißte oder leitende Verbindungen oder durch einen separaten Erdungsleiter hergestellt werden. Bei Teilen mit widerstandsfähiger Oberfläche ist das Durchdringen der Beschichtung für eine durchgehende Erdverbindung erforderlich.</w:t>
      </w:r>
    </w:p>
    <w:p w14:paraId="1BE3559A" w14:textId="77777777" w:rsidR="004A5231" w:rsidRDefault="004A5231" w:rsidP="004A5231">
      <w:pPr>
        <w:tabs>
          <w:tab w:val="left" w:pos="6075"/>
        </w:tabs>
        <w:jc w:val="both"/>
        <w:rPr>
          <w:rFonts w:cs="Arial"/>
          <w:color w:val="000000" w:themeColor="text1"/>
        </w:rPr>
      </w:pPr>
    </w:p>
    <w:p w14:paraId="35C869B1" w14:textId="5DE29FD0" w:rsidR="004A5231" w:rsidRDefault="004A5231" w:rsidP="004A5231">
      <w:pPr>
        <w:tabs>
          <w:tab w:val="left" w:pos="6075"/>
        </w:tabs>
        <w:jc w:val="both"/>
        <w:rPr>
          <w:rFonts w:cs="Arial"/>
          <w:color w:val="000000" w:themeColor="text1"/>
        </w:rPr>
      </w:pPr>
      <w:r w:rsidRPr="004A5231">
        <w:rPr>
          <w:rFonts w:cs="Arial"/>
          <w:color w:val="000000" w:themeColor="text1"/>
        </w:rPr>
        <w:lastRenderedPageBreak/>
        <w:t>Die Durchgängigkeit dieser Verbindungen muss auch dann gewährleistet sein, wenn Teile der SGK für Wartungsarbeiten entfernt werden. Es ist erforderlich nachzuweisen, dass die verschiedenen Körper der SGK effektiv mit dem externen Schutzleiteranschluss verbunden sind. Der Nachweis erfolgt mittels eines Widerstandsmessgeräts, das einen Mindeststrom von 10 A (Wechselstrom oder Gleichstrom) liefert. Der Widerstand zwischen jedem Körper und dem äußeren Schutzleiteranschluss darf 0,1 Ω nicht überschreiten.</w:t>
      </w:r>
    </w:p>
    <w:p w14:paraId="2B6BDA9B" w14:textId="77777777" w:rsidR="004A5231" w:rsidRDefault="004A5231" w:rsidP="004A5231">
      <w:pPr>
        <w:tabs>
          <w:tab w:val="left" w:pos="6075"/>
        </w:tabs>
        <w:jc w:val="both"/>
        <w:rPr>
          <w:rFonts w:cs="Arial"/>
          <w:color w:val="000000" w:themeColor="text1"/>
        </w:rPr>
      </w:pPr>
    </w:p>
    <w:p w14:paraId="0A311D74" w14:textId="54C6A6F0" w:rsidR="004A5231" w:rsidRPr="004A5231" w:rsidRDefault="004A5231" w:rsidP="004A5231">
      <w:pPr>
        <w:tabs>
          <w:tab w:val="left" w:pos="6075"/>
        </w:tabs>
        <w:jc w:val="both"/>
        <w:rPr>
          <w:rFonts w:cs="Arial"/>
          <w:b/>
          <w:color w:val="000000" w:themeColor="text1"/>
        </w:rPr>
      </w:pPr>
      <w:r w:rsidRPr="004A5231">
        <w:rPr>
          <w:rFonts w:cs="Arial"/>
          <w:b/>
          <w:bCs/>
          <w:color w:val="000000" w:themeColor="text1"/>
        </w:rPr>
        <w:t xml:space="preserve">Spezielle Anforderungen an Türen </w:t>
      </w:r>
      <w:r w:rsidRPr="004A5231">
        <w:rPr>
          <w:rFonts w:cs="Arial"/>
          <w:b/>
          <w:color w:val="000000" w:themeColor="text1"/>
        </w:rPr>
        <w:t>von Schaltgerätekombination in Schutzklasse I</w:t>
      </w:r>
    </w:p>
    <w:p w14:paraId="75C25B9A" w14:textId="77777777" w:rsidR="004A5231" w:rsidRPr="004A5231" w:rsidRDefault="004A5231" w:rsidP="004A5231">
      <w:pPr>
        <w:tabs>
          <w:tab w:val="left" w:pos="6075"/>
        </w:tabs>
        <w:jc w:val="both"/>
        <w:rPr>
          <w:rFonts w:cs="Arial"/>
          <w:color w:val="000000" w:themeColor="text1"/>
        </w:rPr>
      </w:pPr>
    </w:p>
    <w:tbl>
      <w:tblPr>
        <w:tblpPr w:leftFromText="141" w:rightFromText="141" w:vertAnchor="text" w:horzAnchor="margin" w:tblpXSpec="right" w:tblpY="-35"/>
        <w:tblW w:w="4410" w:type="dxa"/>
        <w:shd w:val="clear" w:color="auto" w:fill="FFFFFF"/>
        <w:tblCellMar>
          <w:top w:w="15" w:type="dxa"/>
          <w:left w:w="15" w:type="dxa"/>
          <w:bottom w:w="15" w:type="dxa"/>
          <w:right w:w="15" w:type="dxa"/>
        </w:tblCellMar>
        <w:tblLook w:val="04A0" w:firstRow="1" w:lastRow="0" w:firstColumn="1" w:lastColumn="0" w:noHBand="0" w:noVBand="1"/>
      </w:tblPr>
      <w:tblGrid>
        <w:gridCol w:w="2284"/>
        <w:gridCol w:w="2126"/>
      </w:tblGrid>
      <w:tr w:rsidR="004A5231" w:rsidRPr="004A5231" w14:paraId="46360EAB" w14:textId="77777777" w:rsidTr="009437C2">
        <w:trPr>
          <w:trHeight w:val="723"/>
          <w:tblHeader/>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14:paraId="648B77A7" w14:textId="77777777" w:rsidR="004A5231" w:rsidRPr="004A5231" w:rsidRDefault="004A5231" w:rsidP="009437C2">
            <w:pPr>
              <w:spacing w:before="48" w:after="48"/>
              <w:jc w:val="both"/>
              <w:rPr>
                <w:rFonts w:cs="Arial"/>
                <w:b/>
                <w:bCs/>
                <w:color w:val="000000" w:themeColor="text1"/>
                <w:sz w:val="20"/>
              </w:rPr>
            </w:pPr>
            <w:bookmarkStart w:id="0" w:name="_Hlk153451627"/>
            <w:r w:rsidRPr="004A5231">
              <w:rPr>
                <w:rFonts w:cs="Arial"/>
                <w:b/>
                <w:bCs/>
                <w:color w:val="000000" w:themeColor="text1"/>
                <w:sz w:val="20"/>
              </w:rPr>
              <w:t>Bemessungsbetriebsstrom </w:t>
            </w:r>
            <w:proofErr w:type="spellStart"/>
            <w:r w:rsidRPr="004A5231">
              <w:rPr>
                <w:rFonts w:cs="Arial"/>
                <w:b/>
                <w:bCs/>
                <w:i/>
                <w:iCs/>
                <w:color w:val="000000" w:themeColor="text1"/>
                <w:sz w:val="20"/>
              </w:rPr>
              <w:t>I</w:t>
            </w:r>
            <w:r w:rsidRPr="004A5231">
              <w:rPr>
                <w:rFonts w:cs="Arial"/>
                <w:b/>
                <w:bCs/>
                <w:color w:val="000000" w:themeColor="text1"/>
                <w:sz w:val="20"/>
                <w:vertAlign w:val="subscript"/>
              </w:rPr>
              <w:t>e</w:t>
            </w:r>
            <w:proofErr w:type="spellEnd"/>
          </w:p>
          <w:p w14:paraId="557A1F07" w14:textId="77777777" w:rsidR="004A5231" w:rsidRPr="004A5231" w:rsidRDefault="004A5231" w:rsidP="009437C2">
            <w:pPr>
              <w:spacing w:before="48" w:after="48"/>
              <w:jc w:val="both"/>
              <w:rPr>
                <w:rFonts w:cs="Arial"/>
                <w:b/>
                <w:bCs/>
                <w:color w:val="000000" w:themeColor="text1"/>
                <w:sz w:val="20"/>
              </w:rPr>
            </w:pPr>
            <w:r w:rsidRPr="004A5231">
              <w:rPr>
                <w:rFonts w:cs="Arial"/>
                <w:color w:val="000000" w:themeColor="text1"/>
                <w:sz w:val="20"/>
              </w:rPr>
              <w:t>A</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vAlign w:val="center"/>
            <w:hideMark/>
          </w:tcPr>
          <w:p w14:paraId="490535D2" w14:textId="77777777" w:rsidR="004A5231" w:rsidRPr="004A5231" w:rsidRDefault="004A5231" w:rsidP="009437C2">
            <w:pPr>
              <w:spacing w:before="48" w:after="48"/>
              <w:rPr>
                <w:rFonts w:cs="Arial"/>
                <w:b/>
                <w:bCs/>
                <w:color w:val="000000" w:themeColor="text1"/>
                <w:sz w:val="20"/>
              </w:rPr>
            </w:pPr>
            <w:r w:rsidRPr="004A5231">
              <w:rPr>
                <w:rFonts w:cs="Arial"/>
                <w:b/>
                <w:bCs/>
                <w:color w:val="000000" w:themeColor="text1"/>
                <w:sz w:val="20"/>
              </w:rPr>
              <w:t>Mindestquerschnitt für Schutzleiter</w:t>
            </w:r>
          </w:p>
          <w:p w14:paraId="67EE90CE" w14:textId="77777777" w:rsidR="004A5231" w:rsidRPr="004A5231" w:rsidRDefault="004A5231" w:rsidP="009437C2">
            <w:pPr>
              <w:spacing w:before="48" w:after="48"/>
              <w:jc w:val="both"/>
              <w:rPr>
                <w:rFonts w:cs="Arial"/>
                <w:b/>
                <w:bCs/>
                <w:color w:val="000000" w:themeColor="text1"/>
                <w:sz w:val="20"/>
              </w:rPr>
            </w:pPr>
            <w:r w:rsidRPr="004A5231">
              <w:rPr>
                <w:rFonts w:cs="Arial"/>
                <w:color w:val="000000" w:themeColor="text1"/>
                <w:sz w:val="20"/>
              </w:rPr>
              <w:t>mm</w:t>
            </w:r>
            <w:r w:rsidRPr="004A5231">
              <w:rPr>
                <w:rFonts w:cs="Arial"/>
                <w:color w:val="000000" w:themeColor="text1"/>
                <w:sz w:val="20"/>
                <w:vertAlign w:val="superscript"/>
              </w:rPr>
              <w:t>2</w:t>
            </w:r>
          </w:p>
        </w:tc>
      </w:tr>
      <w:tr w:rsidR="004A5231" w:rsidRPr="004A5231" w14:paraId="36729F34" w14:textId="77777777" w:rsidTr="009437C2">
        <w:trPr>
          <w:trHeight w:val="170"/>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22DD9C2D" w14:textId="77777777" w:rsidR="004A5231" w:rsidRPr="004A5231" w:rsidRDefault="004A5231" w:rsidP="009437C2">
            <w:pPr>
              <w:spacing w:before="48" w:after="48"/>
              <w:jc w:val="both"/>
              <w:rPr>
                <w:rFonts w:cs="Arial"/>
                <w:color w:val="000000" w:themeColor="text1"/>
                <w:sz w:val="20"/>
              </w:rPr>
            </w:pPr>
            <w:proofErr w:type="spellStart"/>
            <w:r w:rsidRPr="004A5231">
              <w:rPr>
                <w:rFonts w:cs="Arial"/>
                <w:i/>
                <w:iCs/>
                <w:color w:val="000000" w:themeColor="text1"/>
                <w:sz w:val="20"/>
              </w:rPr>
              <w:t>I</w:t>
            </w:r>
            <w:r w:rsidRPr="004A5231">
              <w:rPr>
                <w:rFonts w:cs="Arial"/>
                <w:color w:val="000000" w:themeColor="text1"/>
                <w:sz w:val="20"/>
                <w:vertAlign w:val="subscript"/>
              </w:rPr>
              <w:t>e</w:t>
            </w:r>
            <w:proofErr w:type="spellEnd"/>
            <w:r w:rsidRPr="004A5231">
              <w:rPr>
                <w:rFonts w:cs="Arial"/>
                <w:color w:val="000000" w:themeColor="text1"/>
                <w:sz w:val="20"/>
              </w:rPr>
              <w:t> ≤ 20</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2ABD2CF6" w14:textId="77777777" w:rsidR="004A5231" w:rsidRPr="004A5231" w:rsidRDefault="004A5231" w:rsidP="009437C2">
            <w:pPr>
              <w:spacing w:before="48" w:after="48"/>
              <w:jc w:val="both"/>
              <w:textAlignment w:val="center"/>
              <w:rPr>
                <w:rFonts w:cs="Arial"/>
                <w:color w:val="000000" w:themeColor="text1"/>
                <w:sz w:val="20"/>
              </w:rPr>
            </w:pPr>
            <w:r w:rsidRPr="004A5231">
              <w:rPr>
                <w:rFonts w:cs="Arial"/>
                <w:i/>
                <w:iCs/>
                <w:color w:val="000000" w:themeColor="text1"/>
                <w:sz w:val="20"/>
              </w:rPr>
              <w:t>S</w:t>
            </w:r>
            <w:r w:rsidRPr="004A5231">
              <w:rPr>
                <w:rFonts w:cs="Arial"/>
                <w:color w:val="000000" w:themeColor="text1"/>
                <w:sz w:val="20"/>
                <w:vertAlign w:val="superscript"/>
              </w:rPr>
              <w:t>a</w:t>
            </w:r>
          </w:p>
        </w:tc>
      </w:tr>
      <w:tr w:rsidR="004A5231" w:rsidRPr="004A5231" w14:paraId="42837D7F" w14:textId="77777777" w:rsidTr="009437C2">
        <w:trPr>
          <w:trHeight w:val="176"/>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66524C74" w14:textId="77777777" w:rsidR="004A5231" w:rsidRPr="004A5231" w:rsidRDefault="004A5231" w:rsidP="009437C2">
            <w:pPr>
              <w:spacing w:before="48" w:after="48"/>
              <w:jc w:val="both"/>
              <w:rPr>
                <w:rFonts w:cs="Arial"/>
                <w:color w:val="000000" w:themeColor="text1"/>
                <w:sz w:val="20"/>
              </w:rPr>
            </w:pPr>
            <w:r w:rsidRPr="004A5231">
              <w:rPr>
                <w:rFonts w:cs="Arial"/>
                <w:color w:val="000000" w:themeColor="text1"/>
                <w:sz w:val="20"/>
              </w:rPr>
              <w:t>20 &lt; </w:t>
            </w:r>
            <w:proofErr w:type="spellStart"/>
            <w:r w:rsidRPr="004A5231">
              <w:rPr>
                <w:rFonts w:cs="Arial"/>
                <w:i/>
                <w:iCs/>
                <w:color w:val="000000" w:themeColor="text1"/>
                <w:sz w:val="20"/>
              </w:rPr>
              <w:t>I</w:t>
            </w:r>
            <w:r w:rsidRPr="004A5231">
              <w:rPr>
                <w:rFonts w:cs="Arial"/>
                <w:color w:val="000000" w:themeColor="text1"/>
                <w:sz w:val="20"/>
                <w:vertAlign w:val="subscript"/>
              </w:rPr>
              <w:t>e</w:t>
            </w:r>
            <w:proofErr w:type="spellEnd"/>
            <w:r w:rsidRPr="004A5231">
              <w:rPr>
                <w:rFonts w:cs="Arial"/>
                <w:color w:val="000000" w:themeColor="text1"/>
                <w:sz w:val="20"/>
              </w:rPr>
              <w:t> ≤ 25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7E4BF1AD" w14:textId="77777777" w:rsidR="004A5231" w:rsidRPr="004A5231" w:rsidRDefault="004A5231" w:rsidP="009437C2">
            <w:pPr>
              <w:spacing w:before="48" w:after="48"/>
              <w:jc w:val="both"/>
              <w:textAlignment w:val="center"/>
              <w:rPr>
                <w:rFonts w:cs="Arial"/>
                <w:color w:val="000000" w:themeColor="text1"/>
                <w:sz w:val="20"/>
              </w:rPr>
            </w:pPr>
            <w:r w:rsidRPr="004A5231">
              <w:rPr>
                <w:rFonts w:cs="Arial"/>
                <w:color w:val="000000" w:themeColor="text1"/>
                <w:sz w:val="20"/>
              </w:rPr>
              <w:t>2,5</w:t>
            </w:r>
          </w:p>
        </w:tc>
      </w:tr>
      <w:tr w:rsidR="004A5231" w:rsidRPr="004A5231" w14:paraId="14CC9913" w14:textId="77777777" w:rsidTr="009437C2">
        <w:trPr>
          <w:trHeight w:val="170"/>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49725085" w14:textId="77777777" w:rsidR="004A5231" w:rsidRPr="004A5231" w:rsidRDefault="004A5231" w:rsidP="009437C2">
            <w:pPr>
              <w:spacing w:before="48" w:after="48"/>
              <w:jc w:val="both"/>
              <w:rPr>
                <w:rFonts w:cs="Arial"/>
                <w:color w:val="000000" w:themeColor="text1"/>
                <w:sz w:val="20"/>
              </w:rPr>
            </w:pPr>
            <w:r w:rsidRPr="004A5231">
              <w:rPr>
                <w:rFonts w:cs="Arial"/>
                <w:color w:val="000000" w:themeColor="text1"/>
                <w:sz w:val="20"/>
              </w:rPr>
              <w:t>25 &lt; </w:t>
            </w:r>
            <w:proofErr w:type="spellStart"/>
            <w:r w:rsidRPr="004A5231">
              <w:rPr>
                <w:rFonts w:cs="Arial"/>
                <w:i/>
                <w:iCs/>
                <w:color w:val="000000" w:themeColor="text1"/>
                <w:sz w:val="20"/>
              </w:rPr>
              <w:t>I</w:t>
            </w:r>
            <w:r w:rsidRPr="004A5231">
              <w:rPr>
                <w:rFonts w:cs="Arial"/>
                <w:color w:val="000000" w:themeColor="text1"/>
                <w:sz w:val="20"/>
                <w:vertAlign w:val="subscript"/>
              </w:rPr>
              <w:t>e</w:t>
            </w:r>
            <w:proofErr w:type="spellEnd"/>
            <w:r w:rsidRPr="004A5231">
              <w:rPr>
                <w:rFonts w:cs="Arial"/>
                <w:color w:val="000000" w:themeColor="text1"/>
                <w:sz w:val="20"/>
              </w:rPr>
              <w:t> ≤    32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4187E0EC" w14:textId="77777777" w:rsidR="004A5231" w:rsidRPr="004A5231" w:rsidRDefault="004A5231" w:rsidP="009437C2">
            <w:pPr>
              <w:spacing w:before="48" w:after="48"/>
              <w:jc w:val="both"/>
              <w:textAlignment w:val="center"/>
              <w:rPr>
                <w:rFonts w:cs="Arial"/>
                <w:color w:val="000000" w:themeColor="text1"/>
                <w:sz w:val="20"/>
              </w:rPr>
            </w:pPr>
            <w:r w:rsidRPr="004A5231">
              <w:rPr>
                <w:rFonts w:cs="Arial"/>
                <w:color w:val="000000" w:themeColor="text1"/>
                <w:sz w:val="20"/>
              </w:rPr>
              <w:t>4</w:t>
            </w:r>
          </w:p>
        </w:tc>
      </w:tr>
      <w:tr w:rsidR="004A5231" w:rsidRPr="004A5231" w14:paraId="28B64D87" w14:textId="77777777" w:rsidTr="009437C2">
        <w:trPr>
          <w:trHeight w:val="176"/>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0819317E" w14:textId="77777777" w:rsidR="004A5231" w:rsidRPr="004A5231" w:rsidRDefault="004A5231" w:rsidP="009437C2">
            <w:pPr>
              <w:spacing w:before="48" w:after="48"/>
              <w:jc w:val="both"/>
              <w:rPr>
                <w:rFonts w:cs="Arial"/>
                <w:color w:val="000000" w:themeColor="text1"/>
                <w:sz w:val="20"/>
              </w:rPr>
            </w:pPr>
            <w:r w:rsidRPr="004A5231">
              <w:rPr>
                <w:rFonts w:cs="Arial"/>
                <w:color w:val="000000" w:themeColor="text1"/>
                <w:sz w:val="20"/>
              </w:rPr>
              <w:t>32 &lt; </w:t>
            </w:r>
            <w:proofErr w:type="spellStart"/>
            <w:r w:rsidRPr="004A5231">
              <w:rPr>
                <w:rFonts w:cs="Arial"/>
                <w:i/>
                <w:iCs/>
                <w:color w:val="000000" w:themeColor="text1"/>
                <w:sz w:val="20"/>
              </w:rPr>
              <w:t>I</w:t>
            </w:r>
            <w:r w:rsidRPr="004A5231">
              <w:rPr>
                <w:rFonts w:cs="Arial"/>
                <w:color w:val="000000" w:themeColor="text1"/>
                <w:sz w:val="20"/>
                <w:vertAlign w:val="subscript"/>
              </w:rPr>
              <w:t>e</w:t>
            </w:r>
            <w:proofErr w:type="spellEnd"/>
            <w:r w:rsidRPr="004A5231">
              <w:rPr>
                <w:rFonts w:cs="Arial"/>
                <w:color w:val="000000" w:themeColor="text1"/>
                <w:sz w:val="20"/>
              </w:rPr>
              <w:t> ≤    63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498C5C1B" w14:textId="77777777" w:rsidR="004A5231" w:rsidRPr="004A5231" w:rsidRDefault="004A5231" w:rsidP="009437C2">
            <w:pPr>
              <w:spacing w:before="48" w:after="48"/>
              <w:jc w:val="both"/>
              <w:textAlignment w:val="center"/>
              <w:rPr>
                <w:rFonts w:cs="Arial"/>
                <w:color w:val="000000" w:themeColor="text1"/>
                <w:sz w:val="20"/>
              </w:rPr>
            </w:pPr>
            <w:r w:rsidRPr="004A5231">
              <w:rPr>
                <w:rFonts w:cs="Arial"/>
                <w:color w:val="000000" w:themeColor="text1"/>
                <w:sz w:val="20"/>
              </w:rPr>
              <w:t>6</w:t>
            </w:r>
          </w:p>
        </w:tc>
      </w:tr>
      <w:tr w:rsidR="004A5231" w:rsidRPr="004A5231" w14:paraId="6FF348B0" w14:textId="77777777" w:rsidTr="009437C2">
        <w:trPr>
          <w:trHeight w:val="176"/>
        </w:trPr>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74C90616" w14:textId="77777777" w:rsidR="004A5231" w:rsidRPr="004A5231" w:rsidRDefault="004A5231" w:rsidP="009437C2">
            <w:pPr>
              <w:spacing w:before="48" w:after="48"/>
              <w:jc w:val="both"/>
              <w:rPr>
                <w:rFonts w:cs="Arial"/>
                <w:color w:val="000000" w:themeColor="text1"/>
                <w:sz w:val="20"/>
              </w:rPr>
            </w:pPr>
            <w:r w:rsidRPr="004A5231">
              <w:rPr>
                <w:rFonts w:cs="Arial"/>
                <w:color w:val="000000" w:themeColor="text1"/>
                <w:sz w:val="20"/>
              </w:rPr>
              <w:t>63 &lt; </w:t>
            </w:r>
            <w:proofErr w:type="spellStart"/>
            <w:r w:rsidRPr="004A5231">
              <w:rPr>
                <w:rFonts w:cs="Arial"/>
                <w:i/>
                <w:iCs/>
                <w:color w:val="000000" w:themeColor="text1"/>
                <w:sz w:val="20"/>
              </w:rPr>
              <w:t>I</w:t>
            </w:r>
            <w:r w:rsidRPr="004A5231">
              <w:rPr>
                <w:rFonts w:cs="Arial"/>
                <w:color w:val="000000" w:themeColor="text1"/>
                <w:sz w:val="20"/>
                <w:vertAlign w:val="subscript"/>
              </w:rPr>
              <w:t>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5EFB7639" w14:textId="77777777" w:rsidR="004A5231" w:rsidRPr="004A5231" w:rsidRDefault="004A5231" w:rsidP="009437C2">
            <w:pPr>
              <w:spacing w:before="48" w:after="48"/>
              <w:jc w:val="both"/>
              <w:textAlignment w:val="center"/>
              <w:rPr>
                <w:rFonts w:cs="Arial"/>
                <w:color w:val="000000" w:themeColor="text1"/>
                <w:sz w:val="20"/>
              </w:rPr>
            </w:pPr>
            <w:r w:rsidRPr="004A5231">
              <w:rPr>
                <w:rFonts w:cs="Arial"/>
                <w:color w:val="000000" w:themeColor="text1"/>
                <w:sz w:val="20"/>
              </w:rPr>
              <w:t>10</w:t>
            </w:r>
          </w:p>
        </w:tc>
      </w:tr>
      <w:tr w:rsidR="004A5231" w:rsidRPr="004A5231" w14:paraId="08F713D5" w14:textId="77777777" w:rsidTr="009437C2">
        <w:trPr>
          <w:trHeight w:val="170"/>
        </w:trPr>
        <w:tc>
          <w:tcPr>
            <w:tcW w:w="4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120" w:type="dxa"/>
            </w:tcMar>
            <w:hideMark/>
          </w:tcPr>
          <w:p w14:paraId="63387BED" w14:textId="77777777" w:rsidR="004A5231" w:rsidRPr="004A5231" w:rsidRDefault="004A5231" w:rsidP="009437C2">
            <w:pPr>
              <w:keepNext/>
              <w:spacing w:before="48" w:after="48"/>
              <w:ind w:right="-100"/>
              <w:rPr>
                <w:rFonts w:cs="Arial"/>
                <w:color w:val="000000" w:themeColor="text1"/>
                <w:sz w:val="20"/>
              </w:rPr>
            </w:pPr>
            <w:r w:rsidRPr="004A5231">
              <w:rPr>
                <w:rFonts w:cs="Arial"/>
                <w:color w:val="000000" w:themeColor="text1"/>
                <w:sz w:val="20"/>
                <w:vertAlign w:val="superscript"/>
              </w:rPr>
              <w:t>a</w:t>
            </w:r>
            <w:r w:rsidRPr="004A5231">
              <w:rPr>
                <w:rFonts w:cs="Arial"/>
                <w:color w:val="000000" w:themeColor="text1"/>
                <w:sz w:val="20"/>
              </w:rPr>
              <w:t>   </w:t>
            </w:r>
            <w:r w:rsidRPr="004A5231">
              <w:rPr>
                <w:rFonts w:cs="Arial"/>
                <w:i/>
                <w:iCs/>
                <w:color w:val="000000" w:themeColor="text1"/>
                <w:sz w:val="20"/>
              </w:rPr>
              <w:t>S</w:t>
            </w:r>
            <w:r w:rsidRPr="004A5231">
              <w:rPr>
                <w:rFonts w:cs="Arial"/>
                <w:color w:val="000000" w:themeColor="text1"/>
                <w:sz w:val="20"/>
              </w:rPr>
              <w:t> ist der Querschnitt des Außenleiters (mm</w:t>
            </w:r>
            <w:r w:rsidRPr="004A5231">
              <w:rPr>
                <w:rFonts w:cs="Arial"/>
                <w:color w:val="000000" w:themeColor="text1"/>
                <w:sz w:val="20"/>
                <w:vertAlign w:val="superscript"/>
              </w:rPr>
              <w:t>2</w:t>
            </w:r>
            <w:r w:rsidRPr="004A5231">
              <w:rPr>
                <w:rFonts w:cs="Arial"/>
                <w:color w:val="000000" w:themeColor="text1"/>
                <w:sz w:val="20"/>
              </w:rPr>
              <w:t>)</w:t>
            </w:r>
          </w:p>
        </w:tc>
      </w:tr>
      <w:tr w:rsidR="004A5231" w:rsidRPr="004A5231" w14:paraId="3CB8F341" w14:textId="77777777" w:rsidTr="009437C2">
        <w:trPr>
          <w:trHeight w:val="510"/>
        </w:trPr>
        <w:tc>
          <w:tcPr>
            <w:tcW w:w="4410" w:type="dxa"/>
            <w:gridSpan w:val="2"/>
            <w:tcBorders>
              <w:top w:val="single" w:sz="4" w:space="0" w:color="auto"/>
            </w:tcBorders>
            <w:shd w:val="clear" w:color="auto" w:fill="FFFFFF"/>
            <w:tcMar>
              <w:top w:w="0" w:type="dxa"/>
              <w:left w:w="120" w:type="dxa"/>
              <w:bottom w:w="0" w:type="dxa"/>
              <w:right w:w="120" w:type="dxa"/>
            </w:tcMar>
            <w:vAlign w:val="center"/>
          </w:tcPr>
          <w:p w14:paraId="09C098F7" w14:textId="77777777" w:rsidR="004A5231" w:rsidRPr="004A5231" w:rsidRDefault="004A5231" w:rsidP="009437C2">
            <w:pPr>
              <w:pStyle w:val="Beschriftung"/>
              <w:rPr>
                <w:rFonts w:cs="Arial"/>
                <w:color w:val="000000" w:themeColor="text1"/>
              </w:rPr>
            </w:pPr>
            <w:r w:rsidRPr="004A5231">
              <w:rPr>
                <w:rFonts w:cs="Arial"/>
                <w:color w:val="000000" w:themeColor="text1"/>
              </w:rPr>
              <w:t xml:space="preserve">Tabelle </w:t>
            </w:r>
            <w:r w:rsidRPr="004A5231">
              <w:rPr>
                <w:rFonts w:cs="Arial"/>
                <w:color w:val="000000" w:themeColor="text1"/>
              </w:rPr>
              <w:fldChar w:fldCharType="begin"/>
            </w:r>
            <w:r w:rsidRPr="004A5231">
              <w:rPr>
                <w:rFonts w:cs="Arial"/>
                <w:color w:val="000000" w:themeColor="text1"/>
              </w:rPr>
              <w:instrText xml:space="preserve"> SEQ Tabelle \* ARABIC </w:instrText>
            </w:r>
            <w:r w:rsidRPr="004A5231">
              <w:rPr>
                <w:rFonts w:cs="Arial"/>
                <w:color w:val="000000" w:themeColor="text1"/>
              </w:rPr>
              <w:fldChar w:fldCharType="separate"/>
            </w:r>
            <w:r w:rsidRPr="004A5231">
              <w:rPr>
                <w:rFonts w:cs="Arial"/>
                <w:noProof/>
                <w:color w:val="000000" w:themeColor="text1"/>
              </w:rPr>
              <w:t>2</w:t>
            </w:r>
            <w:r w:rsidRPr="004A5231">
              <w:rPr>
                <w:rFonts w:cs="Arial"/>
                <w:color w:val="000000" w:themeColor="text1"/>
              </w:rPr>
              <w:fldChar w:fldCharType="end"/>
            </w:r>
            <w:r w:rsidRPr="004A5231">
              <w:rPr>
                <w:rFonts w:cs="Arial"/>
                <w:color w:val="000000" w:themeColor="text1"/>
              </w:rPr>
              <w:t>: Mindestquerschnitte für Schutzleiter aus Kuper</w:t>
            </w:r>
          </w:p>
        </w:tc>
      </w:tr>
    </w:tbl>
    <w:bookmarkEnd w:id="0"/>
    <w:p w14:paraId="5007D495"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Bei Deckeln, Türen, Abschlussplatten u. ä. ohne elektrische Betriebsmittel, außer solche, die Teil eines PELV- oder SELV-Systems sind, reichen übliche Schraubverbindungen und Scharniere aus Metall für die Erdverbindung. Wenn Geräte mit höherer Spannung als PELV- oder SELV an solchen Teilen befestigt sind, sind zusätzliche Maßnahmen erforderlich, wie der Anschluss an einen Schutzleiter mit ausreichendem Querschnitt. Für befestigte Geräte mit einem Bemessungsbetriebsstrom von 16 A oder weniger ist eine gleichwertige und speziell für diesen Zweck konstruierte elektrische Verbindung erforderlich. Diese Verbindung muss nachgewiesen werden und kann beispielsweise durch einen Schleifkontakt oder korrosionsgeschützte Scharniere realisiert werden.</w:t>
      </w:r>
    </w:p>
    <w:p w14:paraId="57733A95" w14:textId="77777777" w:rsidR="004A5231" w:rsidRPr="004A5231" w:rsidRDefault="004A5231" w:rsidP="004A5231">
      <w:pPr>
        <w:jc w:val="both"/>
        <w:rPr>
          <w:rFonts w:cs="Arial"/>
          <w:b/>
          <w:color w:val="000000" w:themeColor="text1"/>
        </w:rPr>
      </w:pPr>
    </w:p>
    <w:p w14:paraId="7A9B59E4" w14:textId="77777777" w:rsidR="004A5231" w:rsidRDefault="004A5231" w:rsidP="004A5231">
      <w:pPr>
        <w:tabs>
          <w:tab w:val="left" w:pos="6075"/>
        </w:tabs>
        <w:jc w:val="both"/>
        <w:rPr>
          <w:rFonts w:cs="Arial"/>
          <w:b/>
          <w:color w:val="000000" w:themeColor="text1"/>
        </w:rPr>
      </w:pPr>
      <w:r w:rsidRPr="004A5231">
        <w:rPr>
          <w:rFonts w:cs="Arial"/>
          <w:b/>
          <w:bCs/>
          <w:color w:val="000000" w:themeColor="text1"/>
        </w:rPr>
        <w:t xml:space="preserve">Spezielle Anforderungen an Türen </w:t>
      </w:r>
      <w:r w:rsidRPr="004A5231">
        <w:rPr>
          <w:rFonts w:cs="Arial"/>
          <w:b/>
          <w:color w:val="000000" w:themeColor="text1"/>
        </w:rPr>
        <w:t>von Schaltgerätekombination in Schutzklasse II</w:t>
      </w:r>
    </w:p>
    <w:p w14:paraId="551B92C5" w14:textId="0C626437" w:rsidR="004A5231" w:rsidRPr="004A5231" w:rsidRDefault="004A5231" w:rsidP="004A5231">
      <w:pPr>
        <w:tabs>
          <w:tab w:val="left" w:pos="6075"/>
        </w:tabs>
        <w:jc w:val="both"/>
        <w:rPr>
          <w:rFonts w:cs="Arial"/>
          <w:b/>
          <w:bCs/>
          <w:color w:val="000000" w:themeColor="text1"/>
        </w:rPr>
      </w:pPr>
      <w:r w:rsidRPr="004A5231">
        <w:rPr>
          <w:rFonts w:cs="Arial"/>
          <w:noProof/>
          <w:color w:val="000000" w:themeColor="text1"/>
        </w:rPr>
        <w:drawing>
          <wp:anchor distT="0" distB="0" distL="114300" distR="114300" simplePos="0" relativeHeight="251659264" behindDoc="0" locked="0" layoutInCell="1" allowOverlap="1" wp14:anchorId="6345FB26" wp14:editId="6E4B0FDA">
            <wp:simplePos x="0" y="0"/>
            <wp:positionH relativeFrom="column">
              <wp:posOffset>2811145</wp:posOffset>
            </wp:positionH>
            <wp:positionV relativeFrom="paragraph">
              <wp:posOffset>26293</wp:posOffset>
            </wp:positionV>
            <wp:extent cx="3285490" cy="1667510"/>
            <wp:effectExtent l="0" t="0" r="0" b="0"/>
            <wp:wrapSquare wrapText="bothSides"/>
            <wp:docPr id="1941778319" name="Grafik 2" descr="Ein Bild, das Screensho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78319" name="Grafik 2" descr="Ein Bild, das Screenshot, Schwarz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5490" cy="1667510"/>
                    </a:xfrm>
                    <a:prstGeom prst="rect">
                      <a:avLst/>
                    </a:prstGeom>
                    <a:noFill/>
                  </pic:spPr>
                </pic:pic>
              </a:graphicData>
            </a:graphic>
            <wp14:sizeRelH relativeFrom="margin">
              <wp14:pctWidth>0</wp14:pctWidth>
            </wp14:sizeRelH>
            <wp14:sizeRelV relativeFrom="margin">
              <wp14:pctHeight>0</wp14:pctHeight>
            </wp14:sizeRelV>
          </wp:anchor>
        </w:drawing>
      </w:r>
    </w:p>
    <w:p w14:paraId="34D47205" w14:textId="26790FB7" w:rsidR="004A5231" w:rsidRDefault="004A5231" w:rsidP="004A5231">
      <w:pPr>
        <w:tabs>
          <w:tab w:val="left" w:pos="6075"/>
        </w:tabs>
        <w:jc w:val="both"/>
        <w:rPr>
          <w:rFonts w:cs="Arial"/>
          <w:color w:val="000000" w:themeColor="text1"/>
        </w:rPr>
      </w:pPr>
      <w:r w:rsidRPr="004A5231">
        <w:rPr>
          <w:rFonts w:cs="Arial"/>
          <w:noProof/>
          <w:color w:val="000000" w:themeColor="text1"/>
        </w:rPr>
        <mc:AlternateContent>
          <mc:Choice Requires="wps">
            <w:drawing>
              <wp:anchor distT="0" distB="0" distL="114300" distR="114300" simplePos="0" relativeHeight="251660288" behindDoc="0" locked="0" layoutInCell="1" allowOverlap="1" wp14:anchorId="15F29904" wp14:editId="0612E839">
                <wp:simplePos x="0" y="0"/>
                <wp:positionH relativeFrom="column">
                  <wp:posOffset>2807335</wp:posOffset>
                </wp:positionH>
                <wp:positionV relativeFrom="paragraph">
                  <wp:posOffset>1522506</wp:posOffset>
                </wp:positionV>
                <wp:extent cx="3215005" cy="217170"/>
                <wp:effectExtent l="0" t="0" r="0" b="0"/>
                <wp:wrapSquare wrapText="bothSides"/>
                <wp:docPr id="918829138" name="Textfeld 1"/>
                <wp:cNvGraphicFramePr/>
                <a:graphic xmlns:a="http://schemas.openxmlformats.org/drawingml/2006/main">
                  <a:graphicData uri="http://schemas.microsoft.com/office/word/2010/wordprocessingShape">
                    <wps:wsp>
                      <wps:cNvSpPr txBox="1"/>
                      <wps:spPr>
                        <a:xfrm>
                          <a:off x="0" y="0"/>
                          <a:ext cx="3215005" cy="217170"/>
                        </a:xfrm>
                        <a:prstGeom prst="rect">
                          <a:avLst/>
                        </a:prstGeom>
                        <a:solidFill>
                          <a:prstClr val="white"/>
                        </a:solidFill>
                        <a:ln>
                          <a:noFill/>
                        </a:ln>
                      </wps:spPr>
                      <wps:txbx>
                        <w:txbxContent>
                          <w:p w14:paraId="1F644131" w14:textId="77777777" w:rsidR="004A5231" w:rsidRPr="00385B07" w:rsidRDefault="004A5231" w:rsidP="004A5231">
                            <w:pPr>
                              <w:pStyle w:val="Beschriftung"/>
                              <w:rPr>
                                <w:noProof/>
                                <w:color w:val="808080" w:themeColor="background1" w:themeShade="80"/>
                              </w:rPr>
                            </w:pPr>
                            <w:r w:rsidRPr="00385B07">
                              <w:rPr>
                                <w:color w:val="808080" w:themeColor="background1" w:themeShade="80"/>
                              </w:rPr>
                              <w:t xml:space="preserve">Abbildung </w:t>
                            </w:r>
                            <w:r w:rsidRPr="00385B07">
                              <w:rPr>
                                <w:color w:val="808080" w:themeColor="background1" w:themeShade="80"/>
                              </w:rPr>
                              <w:fldChar w:fldCharType="begin"/>
                            </w:r>
                            <w:r w:rsidRPr="00385B07">
                              <w:rPr>
                                <w:color w:val="808080" w:themeColor="background1" w:themeShade="80"/>
                              </w:rPr>
                              <w:instrText xml:space="preserve"> SEQ Abbildung \* ARABIC </w:instrText>
                            </w:r>
                            <w:r w:rsidRPr="00385B07">
                              <w:rPr>
                                <w:color w:val="808080" w:themeColor="background1" w:themeShade="80"/>
                              </w:rPr>
                              <w:fldChar w:fldCharType="separate"/>
                            </w:r>
                            <w:r w:rsidRPr="00385B07">
                              <w:rPr>
                                <w:noProof/>
                                <w:color w:val="808080" w:themeColor="background1" w:themeShade="80"/>
                              </w:rPr>
                              <w:t>1</w:t>
                            </w:r>
                            <w:r w:rsidRPr="00385B07">
                              <w:rPr>
                                <w:color w:val="808080" w:themeColor="background1" w:themeShade="80"/>
                              </w:rPr>
                              <w:fldChar w:fldCharType="end"/>
                            </w:r>
                            <w:r w:rsidRPr="00385B07">
                              <w:rPr>
                                <w:color w:val="808080" w:themeColor="background1" w:themeShade="80"/>
                              </w:rPr>
                              <w:t>: Graphische Darstellung des geschützten Raums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29904" id="_x0000_t202" coordsize="21600,21600" o:spt="202" path="m,l,21600r21600,l21600,xe">
                <v:stroke joinstyle="miter"/>
                <v:path gradientshapeok="t" o:connecttype="rect"/>
              </v:shapetype>
              <v:shape id="Textfeld 1" o:spid="_x0000_s1026" type="#_x0000_t202" style="position:absolute;left:0;text-align:left;margin-left:221.05pt;margin-top:119.9pt;width:253.1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" stroked="f">
                <v:textbox inset="0,0,0,0">
                  <w:txbxContent>
                    <w:p w14:paraId="1F644131" w14:textId="77777777" w:rsidR="004A5231" w:rsidRPr="00385B07" w:rsidRDefault="004A5231" w:rsidP="004A5231">
                      <w:pPr>
                        <w:pStyle w:val="Beschriftung"/>
                        <w:rPr>
                          <w:noProof/>
                          <w:color w:val="808080" w:themeColor="background1" w:themeShade="80"/>
                        </w:rPr>
                      </w:pPr>
                      <w:r w:rsidRPr="00385B07">
                        <w:rPr>
                          <w:color w:val="808080" w:themeColor="background1" w:themeShade="80"/>
                        </w:rPr>
                        <w:t xml:space="preserve">Abbildung </w:t>
                      </w:r>
                      <w:r w:rsidRPr="00385B07">
                        <w:rPr>
                          <w:color w:val="808080" w:themeColor="background1" w:themeShade="80"/>
                        </w:rPr>
                        <w:fldChar w:fldCharType="begin"/>
                      </w:r>
                      <w:r w:rsidRPr="00385B07">
                        <w:rPr>
                          <w:color w:val="808080" w:themeColor="background1" w:themeShade="80"/>
                        </w:rPr>
                        <w:instrText xml:space="preserve"> SEQ Abbildung \* ARABIC </w:instrText>
                      </w:r>
                      <w:r w:rsidRPr="00385B07">
                        <w:rPr>
                          <w:color w:val="808080" w:themeColor="background1" w:themeShade="80"/>
                        </w:rPr>
                        <w:fldChar w:fldCharType="separate"/>
                      </w:r>
                      <w:r w:rsidRPr="00385B07">
                        <w:rPr>
                          <w:noProof/>
                          <w:color w:val="808080" w:themeColor="background1" w:themeShade="80"/>
                        </w:rPr>
                        <w:t>1</w:t>
                      </w:r>
                      <w:r w:rsidRPr="00385B07">
                        <w:rPr>
                          <w:color w:val="808080" w:themeColor="background1" w:themeShade="80"/>
                        </w:rPr>
                        <w:fldChar w:fldCharType="end"/>
                      </w:r>
                      <w:r w:rsidRPr="00385B07">
                        <w:rPr>
                          <w:color w:val="808080" w:themeColor="background1" w:themeShade="80"/>
                        </w:rPr>
                        <w:t>: Graphische Darstellung des geschützten Raums</w:t>
                      </w:r>
                    </w:p>
                  </w:txbxContent>
                </v:textbox>
                <w10:wrap type="square"/>
              </v:shape>
            </w:pict>
          </mc:Fallback>
        </mc:AlternateContent>
      </w:r>
      <w:r w:rsidRPr="004A5231">
        <w:rPr>
          <w:rFonts w:cs="Arial"/>
          <w:color w:val="000000" w:themeColor="text1"/>
        </w:rPr>
        <w:t xml:space="preserve">Werden bei SGKs der Schutzklasse II Geräte in Deckeln, Türen oder Abschlussplatten als Bedienteile aus Metall installiert, müssen diese mit einer Isolation versehen werden, die den höchsten Bemessungsisolationsanforderungen und Bemessungsstoßspannungsfestigkeiten aller Stromkreise in der SGK entspricht. </w:t>
      </w:r>
    </w:p>
    <w:p w14:paraId="07613598" w14:textId="464A2BA4" w:rsidR="004A5231" w:rsidRPr="004A5231" w:rsidRDefault="004A5231" w:rsidP="004A5231">
      <w:pPr>
        <w:tabs>
          <w:tab w:val="left" w:pos="6075"/>
        </w:tabs>
        <w:jc w:val="both"/>
        <w:rPr>
          <w:rFonts w:cs="Arial"/>
          <w:color w:val="000000" w:themeColor="text1"/>
        </w:rPr>
      </w:pPr>
    </w:p>
    <w:p w14:paraId="5526FCC3" w14:textId="407E33D2" w:rsidR="004A5231" w:rsidRPr="004A5231" w:rsidRDefault="004A5231" w:rsidP="004A5231">
      <w:pPr>
        <w:tabs>
          <w:tab w:val="left" w:pos="6075"/>
        </w:tabs>
        <w:jc w:val="both"/>
        <w:rPr>
          <w:rFonts w:cs="Arial"/>
          <w:color w:val="000000" w:themeColor="text1"/>
        </w:rPr>
      </w:pPr>
      <w:r w:rsidRPr="004A5231">
        <w:rPr>
          <w:rFonts w:cs="Arial"/>
          <w:color w:val="000000" w:themeColor="text1"/>
        </w:rPr>
        <w:t>Im Falle von Bedienteilen, die hauptsächlich aus Isolierstoff bestehen, gilt der vorgenannte Satz äquivalent für alle darin enthaltenen Metallteile. Zusätzlich muss das Gehäuse oder der geschützte Raum nach dem Anschließen an das Versorgungsnetz alle aktiven Teile, Körper und Teile des Schutzleiterkreises so umschließen, dass sie nicht berührt werden können. Das Gehäuse muss zur Einhaltung des Basisschutzes mindestens dem Schutzgrad IP2XC entsprechen.</w:t>
      </w:r>
    </w:p>
    <w:p w14:paraId="53BBA19A"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lastRenderedPageBreak/>
        <w:t>Elektrische Betriebsmittel in metallischen Türen von SGKs der Schutzklasse II deren Versorgung aus dem geschützten Bereich müssen die Bedingungen der doppelten Isolierung der Schutzklasse II erfüllen</w:t>
      </w:r>
    </w:p>
    <w:p w14:paraId="603365D6" w14:textId="77777777" w:rsidR="004A5231" w:rsidRPr="004A5231" w:rsidRDefault="004A5231" w:rsidP="004A5231">
      <w:pPr>
        <w:tabs>
          <w:tab w:val="left" w:pos="6075"/>
        </w:tabs>
        <w:jc w:val="both"/>
        <w:rPr>
          <w:rFonts w:cs="Arial"/>
          <w:color w:val="000000" w:themeColor="text1"/>
        </w:rPr>
      </w:pPr>
    </w:p>
    <w:p w14:paraId="2ED6BB3A" w14:textId="77777777" w:rsidR="004A5231" w:rsidRPr="004A5231" w:rsidRDefault="004A5231" w:rsidP="004A5231">
      <w:pPr>
        <w:tabs>
          <w:tab w:val="left" w:pos="6075"/>
        </w:tabs>
        <w:jc w:val="both"/>
        <w:rPr>
          <w:rFonts w:cs="Arial"/>
          <w:i/>
          <w:iCs/>
          <w:color w:val="000000" w:themeColor="text1"/>
        </w:rPr>
      </w:pPr>
      <w:r w:rsidRPr="004A5231">
        <w:rPr>
          <w:rFonts w:cs="Arial"/>
          <w:i/>
          <w:iCs/>
          <w:color w:val="000000" w:themeColor="text1"/>
        </w:rPr>
        <w:t>Hinweis: SGKs können trotz eines Gehäuses aus Kunststoff, durch ihren inneren Aufbau, trotzdem in Schutzklasse I ausgeführt sein.</w:t>
      </w:r>
    </w:p>
    <w:p w14:paraId="7ED97CE7" w14:textId="77777777" w:rsidR="004A5231" w:rsidRPr="004A5231" w:rsidRDefault="004A5231" w:rsidP="004A5231">
      <w:pPr>
        <w:tabs>
          <w:tab w:val="left" w:pos="6075"/>
        </w:tabs>
        <w:jc w:val="both"/>
        <w:rPr>
          <w:rFonts w:cs="Arial"/>
          <w:b/>
          <w:bCs/>
          <w:color w:val="000000" w:themeColor="text1"/>
        </w:rPr>
      </w:pPr>
    </w:p>
    <w:p w14:paraId="7899AC24" w14:textId="77777777" w:rsidR="004A5231" w:rsidRDefault="004A5231" w:rsidP="004A5231">
      <w:pPr>
        <w:tabs>
          <w:tab w:val="left" w:pos="6075"/>
        </w:tabs>
        <w:jc w:val="both"/>
        <w:rPr>
          <w:rFonts w:cs="Arial"/>
          <w:b/>
          <w:color w:val="000000" w:themeColor="text1"/>
        </w:rPr>
      </w:pPr>
      <w:r w:rsidRPr="004A5231">
        <w:rPr>
          <w:rFonts w:cs="Arial"/>
          <w:b/>
          <w:bCs/>
          <w:color w:val="000000" w:themeColor="text1"/>
        </w:rPr>
        <w:t xml:space="preserve">Spezielle </w:t>
      </w:r>
      <w:r w:rsidRPr="004A5231">
        <w:rPr>
          <w:rFonts w:cs="Arial"/>
          <w:b/>
          <w:color w:val="000000" w:themeColor="text1"/>
        </w:rPr>
        <w:t xml:space="preserve">Anforderungen an Türen von Schaltgerätekombination als elektrische Ausrüstung von Maschinen </w:t>
      </w:r>
    </w:p>
    <w:p w14:paraId="37F97F13" w14:textId="77777777" w:rsidR="004A5231" w:rsidRPr="004A5231" w:rsidRDefault="004A5231" w:rsidP="004A5231">
      <w:pPr>
        <w:tabs>
          <w:tab w:val="left" w:pos="6075"/>
        </w:tabs>
        <w:jc w:val="both"/>
        <w:rPr>
          <w:rFonts w:cs="Arial"/>
          <w:b/>
          <w:color w:val="000000" w:themeColor="text1"/>
        </w:rPr>
      </w:pPr>
    </w:p>
    <w:p w14:paraId="3A6DD571" w14:textId="77777777" w:rsidR="004A5231" w:rsidRDefault="004A5231" w:rsidP="004A5231">
      <w:pPr>
        <w:tabs>
          <w:tab w:val="left" w:pos="6075"/>
        </w:tabs>
        <w:jc w:val="both"/>
        <w:rPr>
          <w:rFonts w:cs="Arial"/>
          <w:color w:val="000000" w:themeColor="text1"/>
        </w:rPr>
      </w:pPr>
      <w:r w:rsidRPr="004A5231">
        <w:rPr>
          <w:rFonts w:cs="Arial"/>
          <w:color w:val="000000" w:themeColor="text1"/>
        </w:rPr>
        <w:t>Die DIN VDE 0113-1:2019-06 definiert, dass bei elektrischer Ausrüstung, die an Deckeln, Türen oder Abdeckplatten befestigt ist, die Durchgängigkeit des Schutzleitersystems gewährleistet sein muss. Es wird dringend empfohlen, einen Schutzleiter anzuschließen. Falls dies nicht möglich ist, müssen Klammern, Scharniere oder Gleitschienen mit niedrigem Übergangswiderstand verwendet werden. Der Übergangswiderstand ist zwischen der PE-Klemme und den relevanten Punkten, die Teil des Schutzleiterstromkreises sind, mit einem Prüfstrom von mindestens 0,2 A bis ungefähr 10 A zu messen. Der gemessene Widerstand muss bewertet werden, und der erwarteten Größenordnung entsprechen, die sich aus Länge, Querschnitt und Material ergibt.</w:t>
      </w:r>
    </w:p>
    <w:p w14:paraId="3C1CAB06" w14:textId="77777777" w:rsidR="004A5231" w:rsidRPr="004A5231" w:rsidRDefault="004A5231" w:rsidP="004A5231">
      <w:pPr>
        <w:tabs>
          <w:tab w:val="left" w:pos="6075"/>
        </w:tabs>
        <w:jc w:val="both"/>
        <w:rPr>
          <w:rFonts w:cs="Arial"/>
          <w:color w:val="000000" w:themeColor="text1"/>
        </w:rPr>
      </w:pPr>
    </w:p>
    <w:p w14:paraId="22A22D57"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Zusätzlich müssen alle aktiven Teile, auf der Innenseite von Türen gegen Berührung geschützt sein. Dies erfordert für aktive Teile, die möglicherweise beim Zurücksetzen oder Justieren berührt werden können, einen Schutzgrad von mindestens IP2X oder IPXXB. Andere aktive Teile müssen gegen unbeabsichtigtes direktes Berühren in der Schutzart von mindestens IP1X oder IPXXA geschützt sein.</w:t>
      </w:r>
    </w:p>
    <w:p w14:paraId="42B21B8D" w14:textId="77777777" w:rsidR="004A5231" w:rsidRPr="004A5231" w:rsidRDefault="004A5231" w:rsidP="004A5231">
      <w:pPr>
        <w:tabs>
          <w:tab w:val="left" w:pos="6075"/>
        </w:tabs>
        <w:jc w:val="both"/>
        <w:rPr>
          <w:rFonts w:cs="Arial"/>
          <w:color w:val="000000" w:themeColor="text1"/>
        </w:rPr>
      </w:pPr>
    </w:p>
    <w:p w14:paraId="45D7CBDC" w14:textId="77777777" w:rsidR="004A5231" w:rsidRDefault="004A5231" w:rsidP="004A5231">
      <w:pPr>
        <w:tabs>
          <w:tab w:val="left" w:pos="6075"/>
        </w:tabs>
        <w:jc w:val="both"/>
        <w:rPr>
          <w:rFonts w:cs="Arial"/>
          <w:b/>
          <w:bCs/>
          <w:color w:val="000000" w:themeColor="text1"/>
        </w:rPr>
      </w:pPr>
      <w:r w:rsidRPr="004A5231">
        <w:rPr>
          <w:rFonts w:cs="Arial"/>
          <w:b/>
          <w:bCs/>
          <w:color w:val="000000" w:themeColor="text1"/>
        </w:rPr>
        <w:t>Fazit</w:t>
      </w:r>
    </w:p>
    <w:p w14:paraId="2FAE99EE" w14:textId="77777777" w:rsidR="004A5231" w:rsidRPr="004A5231" w:rsidRDefault="004A5231" w:rsidP="004A5231">
      <w:pPr>
        <w:tabs>
          <w:tab w:val="left" w:pos="6075"/>
        </w:tabs>
        <w:jc w:val="both"/>
        <w:rPr>
          <w:rFonts w:cs="Arial"/>
          <w:color w:val="000000" w:themeColor="text1"/>
        </w:rPr>
      </w:pPr>
    </w:p>
    <w:p w14:paraId="02B49662"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 xml:space="preserve">Die Normen DIN VDE 0660-600-1:2021-10 und DIN VDE 0113-1:2019-06 stellen klare Anforderungen an die Ausführung von Betriebsmitteln in Deckeln, Türen, Abschlussplatten und ähnlichem. Die praktische Umsetzung gestaltet sich teilweise herausfordernd, erweist sich jedoch in der Regel als durchführbar. </w:t>
      </w:r>
    </w:p>
    <w:p w14:paraId="64F9F0CF" w14:textId="77777777" w:rsidR="004A5231" w:rsidRPr="004A5231" w:rsidRDefault="004A5231" w:rsidP="004A5231">
      <w:pPr>
        <w:tabs>
          <w:tab w:val="left" w:pos="6075"/>
        </w:tabs>
        <w:jc w:val="both"/>
        <w:rPr>
          <w:rFonts w:cs="Arial"/>
          <w:color w:val="000000" w:themeColor="text1"/>
        </w:rPr>
      </w:pPr>
    </w:p>
    <w:p w14:paraId="639832C8"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Bei SGKs der Schutzklasse I und nicht mit Betriebsmitteln bestückten Deckeln, Türen und Abschlussplatten genügt die Erdverbindung durch herkömmliche Schraubverbindungen und Metallscharniere. Falls Geräte mit Spannungen &gt; AC 50 V oder DC 120V befestigt werden, sind zusätzliche Maßnahmen erforderlich, wie der Anschluss an einen Schutzleiter. Bei Bemessungsbetriebsströmen von 16 A oder weniger, kann eine spezielle nachgewiesene elektrische Verbindung verwendet werden (z.B.: Schleifkontakte oder korrosionsgeschützte Scharniere).</w:t>
      </w:r>
    </w:p>
    <w:p w14:paraId="60E0FD9E" w14:textId="77777777" w:rsidR="004A5231" w:rsidRPr="004A5231" w:rsidRDefault="004A5231" w:rsidP="004A5231">
      <w:pPr>
        <w:tabs>
          <w:tab w:val="left" w:pos="6075"/>
        </w:tabs>
        <w:jc w:val="both"/>
        <w:rPr>
          <w:rFonts w:cs="Arial"/>
          <w:color w:val="000000" w:themeColor="text1"/>
        </w:rPr>
      </w:pPr>
    </w:p>
    <w:p w14:paraId="326E83DF"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 xml:space="preserve">Bei SGKs der Schutzklasse II und Türen aus metallischen Türen erfordert die Ausführung von Betriebsmitteln und deren Versorgung aus dem geschützten Bereich die doppelte Isolierung der Schutzklasse II. </w:t>
      </w:r>
    </w:p>
    <w:p w14:paraId="54C5C3F3"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lastRenderedPageBreak/>
        <w:t xml:space="preserve">Hingegen ist bei SGKs der Schutzklasse II mit Türen aus Kunststoff die Verwendung und der geschützte Raum maßgeblich. Sollten diese Verteiler trotz Einbaugeräten von Laien bedient werden, gelten die vorherigen Anforderungen in äquivalenter Weise. </w:t>
      </w:r>
    </w:p>
    <w:p w14:paraId="41FB151F" w14:textId="77777777" w:rsidR="004A5231" w:rsidRPr="004A5231" w:rsidRDefault="004A5231" w:rsidP="004A5231">
      <w:pPr>
        <w:tabs>
          <w:tab w:val="left" w:pos="6075"/>
        </w:tabs>
        <w:jc w:val="both"/>
        <w:rPr>
          <w:rFonts w:cs="Arial"/>
          <w:color w:val="000000" w:themeColor="text1"/>
        </w:rPr>
      </w:pPr>
      <w:r w:rsidRPr="004A5231">
        <w:rPr>
          <w:rFonts w:cs="Arial"/>
          <w:color w:val="000000" w:themeColor="text1"/>
        </w:rPr>
        <w:t>Für SGKs, die nicht für die Bedienung durch Laien vorgesehen sind, müssen Einbaugeräte, die hauptsächlich aus Isolierstoff bestehen, hinsichtlich ihrer Bemessungsisolationsspannung und Bemessungsstoßspannungsfestigkeiten den Anforderungen aller Stromkreise in der SGK entsprechen. Zusätzlich gilt die Anforderung an einen Schutzgrad von mindestens IP2XC.</w:t>
      </w:r>
    </w:p>
    <w:p w14:paraId="586629EA" w14:textId="77777777" w:rsidR="004A5231" w:rsidRPr="004A5231" w:rsidRDefault="004A5231" w:rsidP="004A5231">
      <w:pPr>
        <w:tabs>
          <w:tab w:val="left" w:pos="6075"/>
        </w:tabs>
        <w:jc w:val="both"/>
        <w:rPr>
          <w:rFonts w:cs="Arial"/>
          <w:color w:val="000000" w:themeColor="text1"/>
        </w:rPr>
      </w:pPr>
    </w:p>
    <w:p w14:paraId="317E92D7" w14:textId="32D9E936" w:rsidR="006C72F5" w:rsidRPr="004A5231" w:rsidRDefault="004A5231" w:rsidP="00D62BC3">
      <w:pPr>
        <w:tabs>
          <w:tab w:val="left" w:pos="6075"/>
        </w:tabs>
        <w:jc w:val="both"/>
        <w:rPr>
          <w:rFonts w:cs="Arial"/>
          <w:color w:val="000000" w:themeColor="text1"/>
        </w:rPr>
      </w:pPr>
      <w:r w:rsidRPr="004A5231">
        <w:rPr>
          <w:rFonts w:cs="Arial"/>
          <w:color w:val="000000" w:themeColor="text1"/>
        </w:rPr>
        <w:t>Die DIN VDE 0113-1:2019-06 betont die Notwendigkeit der Durchgängigkeit des Schutzleitersystems bei elektrischer Ausrüstung in Türen. Ein Schutzleiteranschluss oder alternative Verbindungsmittel sind essenziell, während die Schutzart IP2X oder IPXXB für aktive Teile auf der Innenseite von Türen, die quittiert oder justiert werden, unabdingbar ist. Alle restlichen aktiven Teile auf der Innenseite von Türen sind mindestens in IP1X oder IPXXA auszuführen.</w:t>
      </w:r>
    </w:p>
    <w:sectPr w:rsidR="006C72F5" w:rsidRPr="004A5231" w:rsidSect="00C445A6">
      <w:headerReference w:type="default" r:id="rId15"/>
      <w:footerReference w:type="default" r:id="rId16"/>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BE1F3" w14:textId="77777777" w:rsidR="00904946" w:rsidRDefault="00904946">
      <w:r>
        <w:separator/>
      </w:r>
    </w:p>
  </w:endnote>
  <w:endnote w:type="continuationSeparator" w:id="0">
    <w:p w14:paraId="7C0BCEDD" w14:textId="77777777" w:rsidR="00904946" w:rsidRDefault="0090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71EECBA5" w:rsidR="00413A01" w:rsidRPr="004C1C05" w:rsidRDefault="006C0D69" w:rsidP="00413A01">
          <w:pPr>
            <w:pStyle w:val="Fuzeile"/>
            <w:ind w:right="-83"/>
            <w:rPr>
              <w:sz w:val="16"/>
              <w:szCs w:val="16"/>
            </w:rPr>
          </w:pPr>
          <w:r>
            <w:rPr>
              <w:sz w:val="16"/>
              <w:szCs w:val="16"/>
            </w:rPr>
            <w:t>01.</w:t>
          </w:r>
          <w:r w:rsidR="00D62BC3">
            <w:rPr>
              <w:sz w:val="16"/>
              <w:szCs w:val="16"/>
            </w:rPr>
            <w:t>0</w:t>
          </w:r>
          <w:r w:rsidR="00D40DC2">
            <w:rPr>
              <w:sz w:val="16"/>
              <w:szCs w:val="16"/>
            </w:rPr>
            <w:t>2</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02B2B" w14:textId="77777777" w:rsidR="00904946" w:rsidRDefault="00904946">
      <w:r>
        <w:separator/>
      </w:r>
    </w:p>
  </w:footnote>
  <w:footnote w:type="continuationSeparator" w:id="0">
    <w:p w14:paraId="11D35708" w14:textId="77777777" w:rsidR="00904946" w:rsidRDefault="0090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71ED50AD" w:rsidR="004F0DC2" w:rsidRPr="00E21DC0" w:rsidRDefault="004F0DC2" w:rsidP="004F0DC2">
          <w:pPr>
            <w:jc w:val="center"/>
          </w:pPr>
          <w:r w:rsidRPr="00E21DC0">
            <w:rPr>
              <w:b/>
            </w:rPr>
            <w:t>UW_ET_</w:t>
          </w:r>
          <w:r w:rsidR="00CE7FDB">
            <w:rPr>
              <w:b/>
            </w:rPr>
            <w:t>1</w:t>
          </w:r>
          <w:r w:rsidR="00540723">
            <w:rPr>
              <w:b/>
            </w:rPr>
            <w:t>1</w:t>
          </w:r>
          <w:r w:rsidR="00D40DC2">
            <w:rPr>
              <w:b/>
            </w:rPr>
            <w:t>4</w:t>
          </w:r>
        </w:p>
      </w:tc>
      <w:tc>
        <w:tcPr>
          <w:tcW w:w="5026" w:type="dxa"/>
          <w:vAlign w:val="center"/>
        </w:tcPr>
        <w:p w14:paraId="6369DA90" w14:textId="77777777" w:rsidR="00D40DC2" w:rsidRDefault="00D40DC2" w:rsidP="00B5221D">
          <w:pPr>
            <w:jc w:val="center"/>
            <w:rPr>
              <w:sz w:val="28"/>
              <w:szCs w:val="28"/>
            </w:rPr>
          </w:pPr>
          <w:r w:rsidRPr="00D40DC2">
            <w:rPr>
              <w:sz w:val="28"/>
              <w:szCs w:val="28"/>
            </w:rPr>
            <w:t>Betriebsmittel in Türen von</w:t>
          </w:r>
        </w:p>
        <w:p w14:paraId="63D167E9" w14:textId="13F04E10" w:rsidR="004F0DC2" w:rsidRPr="00B2005A" w:rsidRDefault="00D40DC2" w:rsidP="00B5221D">
          <w:pPr>
            <w:jc w:val="center"/>
            <w:rPr>
              <w:sz w:val="28"/>
              <w:szCs w:val="28"/>
            </w:rPr>
          </w:pPr>
          <w:proofErr w:type="spellStart"/>
          <w:r w:rsidRPr="00D40DC2">
            <w:rPr>
              <w:sz w:val="28"/>
              <w:szCs w:val="28"/>
            </w:rPr>
            <w:t>Schaltger</w:t>
          </w:r>
          <w:r>
            <w:rPr>
              <w:sz w:val="28"/>
              <w:szCs w:val="28"/>
            </w:rPr>
            <w:t>ä</w:t>
          </w:r>
          <w:r w:rsidRPr="00D40DC2">
            <w:rPr>
              <w:sz w:val="28"/>
              <w:szCs w:val="28"/>
            </w:rPr>
            <w:t>tenkombinationen</w:t>
          </w:r>
          <w:proofErr w:type="spellEnd"/>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18AB"/>
    <w:rsid w:val="00E420A0"/>
    <w:rsid w:val="00E44383"/>
    <w:rsid w:val="00E44E5D"/>
    <w:rsid w:val="00E4683C"/>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Props1.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2.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3.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4</Pages>
  <Words>1126</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3</cp:revision>
  <cp:lastPrinted>2023-03-30T12:05:00Z</cp:lastPrinted>
  <dcterms:created xsi:type="dcterms:W3CDTF">2025-01-30T13:33:00Z</dcterms:created>
  <dcterms:modified xsi:type="dcterms:W3CDTF">2025-01-30T13:41:00Z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