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D43A" w14:textId="77777777" w:rsidR="000A7534" w:rsidRDefault="000A7534" w:rsidP="000A7534">
      <w:pPr>
        <w:jc w:val="both"/>
        <w:rPr>
          <w:rFonts w:cs="Arial"/>
          <w:noProof/>
        </w:rPr>
      </w:pPr>
      <w:r w:rsidRPr="000A7534">
        <w:rPr>
          <w:rFonts w:cs="Arial"/>
        </w:rPr>
        <w:t xml:space="preserve">Der Zugang zu einer abgeschlossenen elektrischen Betriebsstätte muss mit dem Warnzeichen W012 gemäß ASR A1.3 gekennzeichnet sein. Empfehlenswert ist auch die Kennzeichnung mit dem Verbotszeichen D-P006. Welche Anforderungen stellen die Regelwerke an die Schließung der </w:t>
      </w:r>
      <w:proofErr w:type="spellStart"/>
      <w:r w:rsidRPr="000A7534">
        <w:rPr>
          <w:rFonts w:cs="Arial"/>
        </w:rPr>
        <w:t>Raumtür</w:t>
      </w:r>
      <w:proofErr w:type="spellEnd"/>
      <w:r w:rsidRPr="000A7534">
        <w:rPr>
          <w:rFonts w:cs="Arial"/>
        </w:rPr>
        <w:t>?</w:t>
      </w:r>
      <w:r w:rsidRPr="000A7534">
        <w:rPr>
          <w:rFonts w:cs="Arial"/>
          <w:noProof/>
        </w:rPr>
        <w:t xml:space="preserve"> </w:t>
      </w:r>
    </w:p>
    <w:p w14:paraId="39D53467" w14:textId="77777777" w:rsidR="000A7534" w:rsidRDefault="000A7534" w:rsidP="000A7534">
      <w:pPr>
        <w:jc w:val="both"/>
        <w:rPr>
          <w:rFonts w:cs="Arial"/>
          <w:noProof/>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02"/>
        <w:gridCol w:w="3083"/>
      </w:tblGrid>
      <w:tr w:rsidR="000A7534" w14:paraId="4D62BDEA" w14:textId="77777777" w:rsidTr="000A7534">
        <w:trPr>
          <w:jc w:val="center"/>
        </w:trPr>
        <w:tc>
          <w:tcPr>
            <w:tcW w:w="2972" w:type="dxa"/>
            <w:vAlign w:val="center"/>
          </w:tcPr>
          <w:p w14:paraId="4179AF8E" w14:textId="388024E6" w:rsidR="000A7534" w:rsidRDefault="000A7534" w:rsidP="000A7534">
            <w:pPr>
              <w:jc w:val="center"/>
              <w:rPr>
                <w:rFonts w:cs="Arial"/>
              </w:rPr>
            </w:pPr>
            <w:r w:rsidRPr="000A7534">
              <w:rPr>
                <w:rFonts w:cs="Arial"/>
                <w:noProof/>
              </w:rPr>
              <w:drawing>
                <wp:inline distT="0" distB="0" distL="0" distR="0" wp14:anchorId="27146DCA" wp14:editId="4E5FD045">
                  <wp:extent cx="1095375" cy="956945"/>
                  <wp:effectExtent l="0" t="0" r="0" b="0"/>
                  <wp:docPr id="5" name="Grafik 5" descr="Ein Bild, das Verkehrsschild, Schild, Drei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Verkehrsschild, Schild, Dreieck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5375" cy="956945"/>
                          </a:xfrm>
                          <a:prstGeom prst="rect">
                            <a:avLst/>
                          </a:prstGeom>
                          <a:noFill/>
                          <a:ln>
                            <a:noFill/>
                          </a:ln>
                        </pic:spPr>
                      </pic:pic>
                    </a:graphicData>
                  </a:graphic>
                </wp:inline>
              </w:drawing>
            </w:r>
          </w:p>
        </w:tc>
        <w:tc>
          <w:tcPr>
            <w:tcW w:w="3402" w:type="dxa"/>
            <w:vAlign w:val="center"/>
          </w:tcPr>
          <w:p w14:paraId="7450A3DE" w14:textId="60A533B1" w:rsidR="000A7534" w:rsidRDefault="000A7534" w:rsidP="000A7534">
            <w:pPr>
              <w:jc w:val="center"/>
              <w:rPr>
                <w:rFonts w:cs="Arial"/>
              </w:rPr>
            </w:pPr>
            <w:r w:rsidRPr="000A7534">
              <w:rPr>
                <w:rFonts w:cs="Arial"/>
                <w:noProof/>
                <w:sz w:val="20"/>
              </w:rPr>
              <w:drawing>
                <wp:inline distT="0" distB="0" distL="0" distR="0" wp14:anchorId="3CBCE63E" wp14:editId="59BCF37F">
                  <wp:extent cx="966470" cy="966470"/>
                  <wp:effectExtent l="0" t="0" r="0" b="0"/>
                  <wp:docPr id="1054281099"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81099"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66470" cy="966470"/>
                          </a:xfrm>
                          <a:prstGeom prst="rect">
                            <a:avLst/>
                          </a:prstGeom>
                          <a:noFill/>
                          <a:ln>
                            <a:noFill/>
                          </a:ln>
                        </pic:spPr>
                      </pic:pic>
                    </a:graphicData>
                  </a:graphic>
                </wp:inline>
              </w:drawing>
            </w:r>
          </w:p>
        </w:tc>
        <w:tc>
          <w:tcPr>
            <w:tcW w:w="3083" w:type="dxa"/>
            <w:vAlign w:val="center"/>
          </w:tcPr>
          <w:p w14:paraId="54AB5EDA" w14:textId="7E94DB6F" w:rsidR="000A7534" w:rsidRDefault="000A7534" w:rsidP="000A7534">
            <w:pPr>
              <w:jc w:val="center"/>
              <w:rPr>
                <w:rFonts w:cs="Arial"/>
              </w:rPr>
            </w:pPr>
            <w:r w:rsidRPr="000A7534">
              <w:rPr>
                <w:rFonts w:cs="Arial"/>
                <w:noProof/>
              </w:rPr>
              <w:drawing>
                <wp:inline distT="0" distB="0" distL="0" distR="0" wp14:anchorId="2FB33FD7" wp14:editId="72A133FB">
                  <wp:extent cx="946800" cy="946800"/>
                  <wp:effectExtent l="0" t="0" r="5715" b="5715"/>
                  <wp:docPr id="44874174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41741" name="Grafik 1" descr="Ein Bild, das Text, Clipar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46800" cy="946800"/>
                          </a:xfrm>
                          <a:prstGeom prst="rect">
                            <a:avLst/>
                          </a:prstGeom>
                          <a:noFill/>
                          <a:ln>
                            <a:noFill/>
                          </a:ln>
                        </pic:spPr>
                      </pic:pic>
                    </a:graphicData>
                  </a:graphic>
                </wp:inline>
              </w:drawing>
            </w:r>
          </w:p>
        </w:tc>
      </w:tr>
      <w:tr w:rsidR="000A7534" w14:paraId="44A69108" w14:textId="77777777" w:rsidTr="000A7534">
        <w:trPr>
          <w:jc w:val="center"/>
        </w:trPr>
        <w:tc>
          <w:tcPr>
            <w:tcW w:w="2972" w:type="dxa"/>
            <w:vAlign w:val="center"/>
          </w:tcPr>
          <w:p w14:paraId="601CA95A" w14:textId="3A23081F" w:rsidR="000A7534" w:rsidRDefault="000A7534" w:rsidP="000A7534">
            <w:pPr>
              <w:jc w:val="center"/>
              <w:rPr>
                <w:rFonts w:cs="Arial"/>
              </w:rPr>
            </w:pPr>
            <w:r w:rsidRPr="000A7534">
              <w:rPr>
                <w:rFonts w:cs="Arial"/>
                <w:sz w:val="16"/>
                <w:szCs w:val="16"/>
              </w:rPr>
              <w:t>Warnzeichen W012</w:t>
            </w:r>
          </w:p>
        </w:tc>
        <w:tc>
          <w:tcPr>
            <w:tcW w:w="3402" w:type="dxa"/>
            <w:vAlign w:val="center"/>
          </w:tcPr>
          <w:p w14:paraId="4699B863" w14:textId="211AE95B" w:rsidR="000A7534" w:rsidRDefault="000A7534" w:rsidP="000A7534">
            <w:pPr>
              <w:jc w:val="center"/>
              <w:rPr>
                <w:rFonts w:cs="Arial"/>
              </w:rPr>
            </w:pPr>
            <w:r w:rsidRPr="000A7534">
              <w:rPr>
                <w:rFonts w:cs="Arial"/>
                <w:sz w:val="16"/>
                <w:szCs w:val="16"/>
              </w:rPr>
              <w:t>Warnzeichnen W012</w:t>
            </w:r>
            <w:r>
              <w:rPr>
                <w:rFonts w:cs="Arial"/>
                <w:sz w:val="16"/>
                <w:szCs w:val="16"/>
              </w:rPr>
              <w:t xml:space="preserve"> </w:t>
            </w:r>
            <w:r w:rsidRPr="000A7534">
              <w:rPr>
                <w:rFonts w:cs="Arial"/>
                <w:sz w:val="16"/>
                <w:szCs w:val="16"/>
              </w:rPr>
              <w:t>Für Räume mit &gt;1kV</w:t>
            </w:r>
          </w:p>
        </w:tc>
        <w:tc>
          <w:tcPr>
            <w:tcW w:w="3083" w:type="dxa"/>
            <w:vAlign w:val="center"/>
          </w:tcPr>
          <w:p w14:paraId="12438DE0" w14:textId="568D45AD" w:rsidR="000A7534" w:rsidRDefault="000A7534" w:rsidP="000A7534">
            <w:pPr>
              <w:jc w:val="center"/>
              <w:rPr>
                <w:rFonts w:cs="Arial"/>
              </w:rPr>
            </w:pPr>
            <w:r w:rsidRPr="000A7534">
              <w:rPr>
                <w:rFonts w:cs="Arial"/>
                <w:sz w:val="16"/>
                <w:szCs w:val="16"/>
              </w:rPr>
              <w:t>Verbotszeichen D-P006</w:t>
            </w:r>
          </w:p>
        </w:tc>
      </w:tr>
    </w:tbl>
    <w:p w14:paraId="695D7852" w14:textId="77777777" w:rsidR="000A7534" w:rsidRPr="000A7534" w:rsidRDefault="000A7534" w:rsidP="000A7534">
      <w:pPr>
        <w:jc w:val="both"/>
        <w:rPr>
          <w:rFonts w:cs="Arial"/>
        </w:rPr>
      </w:pPr>
    </w:p>
    <w:p w14:paraId="28684828" w14:textId="5DCB99FE" w:rsidR="000A7534" w:rsidRDefault="000A7534" w:rsidP="000A7534">
      <w:pPr>
        <w:jc w:val="both"/>
        <w:rPr>
          <w:rFonts w:cs="Arial"/>
        </w:rPr>
      </w:pPr>
      <w:r>
        <w:rPr>
          <w:rFonts w:cs="Arial"/>
        </w:rPr>
        <w:t xml:space="preserve">Eine Abgeschlossene elektrische </w:t>
      </w:r>
      <w:proofErr w:type="spellStart"/>
      <w:r>
        <w:rPr>
          <w:rFonts w:cs="Arial"/>
        </w:rPr>
        <w:t>Betreibsstätte</w:t>
      </w:r>
      <w:proofErr w:type="spellEnd"/>
      <w:r>
        <w:rPr>
          <w:rFonts w:cs="Arial"/>
        </w:rPr>
        <w:t xml:space="preserve"> ist e</w:t>
      </w:r>
      <w:r w:rsidRPr="000A7534">
        <w:rPr>
          <w:rFonts w:cs="Arial"/>
        </w:rPr>
        <w:t>in Raum oder Ort, der ausschließlich zum Betrieb elektrischer Anlagen dient und unter Verschluss gehalten wird</w:t>
      </w:r>
      <w:r>
        <w:rPr>
          <w:rFonts w:cs="Arial"/>
        </w:rPr>
        <w:t>. Es ist</w:t>
      </w:r>
      <w:r w:rsidRPr="000A7534">
        <w:rPr>
          <w:rFonts w:cs="Arial"/>
        </w:rPr>
        <w:t xml:space="preserve"> ein Bereich, der nur von Elektrofachkräften und elektrotechnisch unterwiesenen Personen betreten werden darf. Laien dürfen diesen Bereich nur in Begleitung von Elektrofachkräften oder elektrotechnisch unterwiesenen Personen betreten.</w:t>
      </w:r>
    </w:p>
    <w:p w14:paraId="28CE59AE" w14:textId="77777777" w:rsidR="000A7534" w:rsidRPr="000A7534" w:rsidRDefault="000A7534" w:rsidP="000A7534">
      <w:pPr>
        <w:jc w:val="both"/>
        <w:rPr>
          <w:rFonts w:cs="Arial"/>
        </w:rPr>
      </w:pPr>
    </w:p>
    <w:p w14:paraId="43A4E89E" w14:textId="77777777" w:rsidR="000A7534" w:rsidRDefault="000A7534" w:rsidP="000A7534">
      <w:pPr>
        <w:jc w:val="both"/>
        <w:rPr>
          <w:rFonts w:cs="Arial"/>
        </w:rPr>
      </w:pPr>
      <w:r w:rsidRPr="000A7534">
        <w:rPr>
          <w:rFonts w:cs="Arial"/>
        </w:rPr>
        <w:t xml:space="preserve">Abgeschlossene elektrische Betriebsstätten, müssen verschlossen gehalten werden. Die Schlüssel, inklusive elektronischer oder digitaler Codes, sollen so aufbewahrt werden, dass sie nicht von unbefugten Personen zugänglich sind. Diese Bereiche dürfen nur von beauftragten Personen geöffnet oder betreten werden. </w:t>
      </w:r>
    </w:p>
    <w:p w14:paraId="06C3ADCA" w14:textId="77777777" w:rsidR="000A7534" w:rsidRPr="000A7534" w:rsidRDefault="000A7534" w:rsidP="000A7534">
      <w:pPr>
        <w:jc w:val="both"/>
        <w:rPr>
          <w:rFonts w:cs="Arial"/>
        </w:rPr>
      </w:pPr>
    </w:p>
    <w:p w14:paraId="287CD72E" w14:textId="77777777" w:rsidR="000A7534" w:rsidRPr="000A7534" w:rsidRDefault="000A7534" w:rsidP="000A7534">
      <w:pPr>
        <w:jc w:val="both"/>
        <w:rPr>
          <w:rFonts w:cs="Arial"/>
        </w:rPr>
      </w:pPr>
      <w:r w:rsidRPr="000A7534">
        <w:rPr>
          <w:rFonts w:cs="Arial"/>
        </w:rPr>
        <w:t>Der Zutritt ist Elektrofachkräften und elektrotechnisch unterwiesenen Personen gestattet, während Laien diesen Bereich nur in Begleitung von Elektrofachkräften oder elektrotechnisch unterwiesenen Personen betreten dürfen.</w:t>
      </w:r>
    </w:p>
    <w:p w14:paraId="3D7E252E" w14:textId="77777777" w:rsidR="000A7534" w:rsidRPr="000A7534" w:rsidRDefault="000A7534" w:rsidP="000A7534">
      <w:pPr>
        <w:jc w:val="both"/>
        <w:rPr>
          <w:rFonts w:cs="Arial"/>
        </w:rPr>
      </w:pPr>
    </w:p>
    <w:p w14:paraId="33863A1C" w14:textId="198EF6FB" w:rsidR="000A7534" w:rsidRPr="000A7534" w:rsidRDefault="000A7534" w:rsidP="000A7534">
      <w:pPr>
        <w:jc w:val="both"/>
        <w:rPr>
          <w:rFonts w:cs="Arial"/>
        </w:rPr>
      </w:pPr>
      <w:r>
        <w:rPr>
          <w:rFonts w:cs="Arial"/>
        </w:rPr>
        <w:t xml:space="preserve">Zu den </w:t>
      </w:r>
      <w:proofErr w:type="spellStart"/>
      <w:r>
        <w:rPr>
          <w:rFonts w:cs="Arial"/>
        </w:rPr>
        <w:t>abgeschlossenene</w:t>
      </w:r>
      <w:proofErr w:type="spellEnd"/>
      <w:r>
        <w:rPr>
          <w:rFonts w:cs="Arial"/>
        </w:rPr>
        <w:t xml:space="preserve"> elektrischen Betriebsstätten gehören unter anderem </w:t>
      </w:r>
      <w:r w:rsidRPr="000A7534">
        <w:rPr>
          <w:rFonts w:cs="Arial"/>
        </w:rPr>
        <w:t>z. B. abgeschlossene Schalt- und Verteilungsanlagen, Transformatorzellen, Schaltfelder, Verteilungsanlagen in Blechgehäusen oder in anderen abgeschlossenen Anlagen, Maststationen.</w:t>
      </w:r>
    </w:p>
    <w:p w14:paraId="3F700AC1" w14:textId="77777777" w:rsidR="000A7534" w:rsidRPr="000A7534" w:rsidRDefault="000A7534" w:rsidP="000A7534">
      <w:pPr>
        <w:jc w:val="both"/>
        <w:rPr>
          <w:rFonts w:cs="Arial"/>
        </w:rPr>
      </w:pPr>
    </w:p>
    <w:p w14:paraId="48596C00" w14:textId="77777777" w:rsidR="000A7534" w:rsidRPr="000A7534" w:rsidRDefault="000A7534" w:rsidP="000A7534">
      <w:pPr>
        <w:jc w:val="both"/>
        <w:rPr>
          <w:rFonts w:cs="Arial"/>
          <w:color w:val="000000" w:themeColor="text1"/>
        </w:rPr>
      </w:pPr>
      <w:r w:rsidRPr="000A7534">
        <w:rPr>
          <w:rFonts w:cs="Arial"/>
        </w:rPr>
        <w:t xml:space="preserve">Die elektrische Betriebsstätte ist demnach verschlossen zu halten und der Zugang nur für einen bestimmten, qualifizierten Personenkreis zu gewähren. Auf den Punkt der Schließung, geht die VDE 0100-731:2014-10 „Errichten von Niederspannungsanlagen – Teil 7-731: Anforderungen für Betriebsstätten, Räume und Anlagen besonderer Art – Abgeschlossene elektrische </w:t>
      </w:r>
      <w:r w:rsidRPr="000A7534">
        <w:rPr>
          <w:rFonts w:cs="Arial"/>
          <w:color w:val="000000" w:themeColor="text1"/>
        </w:rPr>
        <w:t>Betriebsstätten“ im Abs. 731.729 wie folgt ein:</w:t>
      </w:r>
    </w:p>
    <w:p w14:paraId="29910655" w14:textId="77777777" w:rsidR="000A7534" w:rsidRPr="000A7534" w:rsidRDefault="000A7534" w:rsidP="000A7534">
      <w:pPr>
        <w:jc w:val="both"/>
        <w:rPr>
          <w:rFonts w:cs="Arial"/>
          <w:color w:val="000000" w:themeColor="text1"/>
        </w:rPr>
      </w:pPr>
    </w:p>
    <w:p w14:paraId="5C189CF9" w14:textId="77777777" w:rsidR="008F5FD4" w:rsidRDefault="008F5FD4" w:rsidP="008F5FD4">
      <w:pPr>
        <w:shd w:val="clear" w:color="auto" w:fill="FFFFFF"/>
        <w:jc w:val="both"/>
        <w:rPr>
          <w:rFonts w:cs="Arial"/>
          <w:i/>
          <w:iCs/>
          <w:color w:val="000000" w:themeColor="text1"/>
        </w:rPr>
      </w:pPr>
      <w:r w:rsidRPr="000A7534">
        <w:rPr>
          <w:rFonts w:cs="Arial"/>
          <w:i/>
          <w:iCs/>
          <w:color w:val="000000" w:themeColor="text1"/>
        </w:rPr>
        <w:t>“Der Zugang zu abgeschlossenen elektrischen Betriebsstätten darf nur durch selbstschließende, verschließbare Türen möglich sein. Zugangstüren müssen:</w:t>
      </w:r>
    </w:p>
    <w:p w14:paraId="374AE821" w14:textId="77777777" w:rsidR="008F5FD4" w:rsidRDefault="008F5FD4" w:rsidP="008F5FD4">
      <w:pPr>
        <w:pStyle w:val="Listenabsatz"/>
        <w:numPr>
          <w:ilvl w:val="0"/>
          <w:numId w:val="30"/>
        </w:numPr>
        <w:shd w:val="clear" w:color="auto" w:fill="FFFFFF"/>
        <w:jc w:val="both"/>
        <w:rPr>
          <w:rFonts w:cs="Arial"/>
          <w:i/>
          <w:iCs/>
          <w:color w:val="000000" w:themeColor="text1"/>
        </w:rPr>
      </w:pPr>
      <w:r w:rsidRPr="000A7534">
        <w:rPr>
          <w:rFonts w:cs="Arial"/>
          <w:i/>
          <w:iCs/>
          <w:color w:val="000000" w:themeColor="text1"/>
        </w:rPr>
        <w:t>nach außen (in Fluchtrichtung) aufschlagen</w:t>
      </w:r>
      <w:r>
        <w:rPr>
          <w:rFonts w:cs="Arial"/>
          <w:i/>
          <w:iCs/>
          <w:color w:val="000000" w:themeColor="text1"/>
        </w:rPr>
        <w:t>;</w:t>
      </w:r>
    </w:p>
    <w:p w14:paraId="4FB81480" w14:textId="77777777" w:rsidR="008F5FD4" w:rsidRDefault="008F5FD4" w:rsidP="008F5FD4">
      <w:pPr>
        <w:pStyle w:val="Listenabsatz"/>
        <w:numPr>
          <w:ilvl w:val="0"/>
          <w:numId w:val="30"/>
        </w:numPr>
        <w:shd w:val="clear" w:color="auto" w:fill="FFFFFF"/>
        <w:jc w:val="both"/>
        <w:rPr>
          <w:rFonts w:cs="Arial"/>
          <w:i/>
          <w:iCs/>
          <w:color w:val="000000" w:themeColor="text1"/>
        </w:rPr>
      </w:pPr>
      <w:r w:rsidRPr="000A7534">
        <w:rPr>
          <w:rFonts w:cs="Arial"/>
          <w:i/>
          <w:iCs/>
          <w:color w:val="000000" w:themeColor="text1"/>
        </w:rPr>
        <w:t>von innen ohne Schlüssel jederzeit zu öffnen sein</w:t>
      </w:r>
      <w:r>
        <w:rPr>
          <w:rFonts w:cs="Arial"/>
          <w:i/>
          <w:iCs/>
          <w:color w:val="000000" w:themeColor="text1"/>
        </w:rPr>
        <w:t>;</w:t>
      </w:r>
    </w:p>
    <w:p w14:paraId="63F75C86" w14:textId="77777777" w:rsidR="008F5FD4" w:rsidRPr="00915ED7" w:rsidRDefault="008F5FD4" w:rsidP="008F5FD4">
      <w:pPr>
        <w:pStyle w:val="Listenabsatz"/>
        <w:numPr>
          <w:ilvl w:val="0"/>
          <w:numId w:val="30"/>
        </w:numPr>
        <w:shd w:val="clear" w:color="auto" w:fill="FFFFFF"/>
        <w:jc w:val="both"/>
        <w:rPr>
          <w:rFonts w:cs="Arial"/>
          <w:i/>
          <w:iCs/>
          <w:color w:val="000000" w:themeColor="text1"/>
        </w:rPr>
      </w:pPr>
      <w:r w:rsidRPr="000A7534">
        <w:rPr>
          <w:rFonts w:cs="Arial"/>
          <w:i/>
          <w:iCs/>
          <w:color w:val="000000" w:themeColor="text1"/>
        </w:rPr>
        <w:t xml:space="preserve">ein Sicherheitsschloss </w:t>
      </w:r>
      <w:proofErr w:type="gramStart"/>
      <w:r w:rsidRPr="000A7534">
        <w:rPr>
          <w:rFonts w:cs="Arial"/>
          <w:i/>
          <w:iCs/>
          <w:color w:val="000000" w:themeColor="text1"/>
        </w:rPr>
        <w:t>enthalten</w:t>
      </w:r>
      <w:proofErr w:type="gramEnd"/>
      <w:r w:rsidRPr="000A7534">
        <w:rPr>
          <w:rFonts w:cs="Arial"/>
          <w:i/>
          <w:iCs/>
          <w:color w:val="000000" w:themeColor="text1"/>
        </w:rPr>
        <w:t>.“</w:t>
      </w:r>
    </w:p>
    <w:p w14:paraId="55A545F6" w14:textId="77777777" w:rsidR="000A7534" w:rsidRPr="000A7534" w:rsidRDefault="000A7534" w:rsidP="000A7534">
      <w:pPr>
        <w:jc w:val="both"/>
        <w:rPr>
          <w:rFonts w:cs="Arial"/>
        </w:rPr>
      </w:pPr>
    </w:p>
    <w:p w14:paraId="1AC8ED84" w14:textId="777A9441" w:rsidR="000A7534" w:rsidRPr="000A7534" w:rsidRDefault="000A7534" w:rsidP="000A7534">
      <w:pPr>
        <w:jc w:val="both"/>
        <w:rPr>
          <w:rFonts w:cs="Arial"/>
        </w:rPr>
      </w:pPr>
      <w:r w:rsidRPr="000A7534">
        <w:rPr>
          <w:rFonts w:cs="Arial"/>
        </w:rPr>
        <w:lastRenderedPageBreak/>
        <w:t xml:space="preserve">Es muss demnach möglich sein eine abgeschlossene Tür in einer größeren abgeschlossenen elektrischen Betriebstätte von innen ohne Schlüssel in Fluchtrichtung zu öffnen. </w:t>
      </w:r>
    </w:p>
    <w:p w14:paraId="294C99AD" w14:textId="77777777" w:rsidR="000A7534" w:rsidRPr="000A7534" w:rsidRDefault="000A7534" w:rsidP="000A7534">
      <w:pPr>
        <w:jc w:val="both"/>
        <w:rPr>
          <w:rFonts w:cs="Arial"/>
        </w:rPr>
      </w:pPr>
    </w:p>
    <w:p w14:paraId="7AB04894" w14:textId="77777777" w:rsidR="000A7534" w:rsidRPr="000A7534" w:rsidRDefault="000A7534" w:rsidP="000A7534">
      <w:pPr>
        <w:jc w:val="both"/>
        <w:rPr>
          <w:rFonts w:cs="Arial"/>
          <w:sz w:val="16"/>
          <w:szCs w:val="16"/>
        </w:rPr>
      </w:pPr>
      <w:r w:rsidRPr="000A7534">
        <w:rPr>
          <w:rFonts w:cs="Arial"/>
        </w:rPr>
        <w:t>Fast identisch fordert die VDE 0101-1:2023-02 „Starkstromanlagen mit Nennwechselspannungen über 1 kV AC und 1,5 kV DC“ unter anderem folgende Eigenschaften im Abs. 7.5.5 für Türen:</w:t>
      </w:r>
    </w:p>
    <w:p w14:paraId="57DD4196" w14:textId="77777777" w:rsidR="000A7534" w:rsidRPr="000A7534" w:rsidRDefault="000A7534" w:rsidP="000A7534">
      <w:pPr>
        <w:jc w:val="both"/>
        <w:rPr>
          <w:rFonts w:cs="Arial"/>
          <w:color w:val="000000" w:themeColor="text1"/>
        </w:rPr>
      </w:pPr>
    </w:p>
    <w:p w14:paraId="0C4F8235" w14:textId="34968B68" w:rsidR="000A7534" w:rsidRPr="000A7534" w:rsidRDefault="000A7534" w:rsidP="000A7534">
      <w:pPr>
        <w:shd w:val="clear" w:color="auto" w:fill="FFFFFF"/>
        <w:jc w:val="both"/>
        <w:rPr>
          <w:rFonts w:cs="Arial"/>
          <w:i/>
          <w:iCs/>
          <w:color w:val="000000" w:themeColor="text1"/>
        </w:rPr>
      </w:pPr>
      <w:r w:rsidRPr="000A7534">
        <w:rPr>
          <w:rFonts w:cs="Arial"/>
          <w:i/>
          <w:iCs/>
          <w:color w:val="000000" w:themeColor="text1"/>
        </w:rPr>
        <w:t xml:space="preserve">„Notausgangstüren müssen von innen ohne Schlüssel zu öffnen sein, indem eine Klinke oder ein anderes einfaches Hilfsmittel verwendet wird, selbst wenn die Türen von außen abgeschlossen sind. Diese Anforderung muss bei kleinen Anlagen nicht erfüllt werden, wenn die Tür während der Bedienung oder Instandhaltung </w:t>
      </w:r>
      <w:proofErr w:type="gramStart"/>
      <w:r w:rsidRPr="000A7534">
        <w:rPr>
          <w:rFonts w:cs="Arial"/>
          <w:i/>
          <w:iCs/>
          <w:color w:val="000000" w:themeColor="text1"/>
        </w:rPr>
        <w:t>offen bleibt</w:t>
      </w:r>
      <w:proofErr w:type="gramEnd"/>
      <w:r w:rsidRPr="000A7534">
        <w:rPr>
          <w:rFonts w:cs="Arial"/>
          <w:i/>
          <w:iCs/>
          <w:color w:val="000000" w:themeColor="text1"/>
        </w:rPr>
        <w:t>.“</w:t>
      </w:r>
    </w:p>
    <w:p w14:paraId="445A994F" w14:textId="77777777" w:rsidR="000A7534" w:rsidRPr="000A7534" w:rsidRDefault="000A7534" w:rsidP="000A7534">
      <w:pPr>
        <w:shd w:val="clear" w:color="auto" w:fill="FFFFFF"/>
        <w:jc w:val="both"/>
        <w:rPr>
          <w:rFonts w:cs="Arial"/>
          <w:color w:val="000000" w:themeColor="text1"/>
        </w:rPr>
      </w:pPr>
    </w:p>
    <w:p w14:paraId="62B83341" w14:textId="77777777" w:rsidR="000A7534" w:rsidRPr="000A7534" w:rsidRDefault="000A7534" w:rsidP="000A7534">
      <w:pPr>
        <w:shd w:val="clear" w:color="auto" w:fill="FFFFFF"/>
        <w:jc w:val="both"/>
        <w:rPr>
          <w:rFonts w:cs="Arial"/>
          <w:color w:val="000000" w:themeColor="text1"/>
        </w:rPr>
      </w:pPr>
      <w:r w:rsidRPr="000A7534">
        <w:rPr>
          <w:rFonts w:cs="Arial"/>
          <w:color w:val="000000" w:themeColor="text1"/>
        </w:rPr>
        <w:t>Auch baurechtliche Forderungen können hierbei eine Rolle spielen, sofern im jeweiligen Bundesland eine entsprechende Verordnung vorhanden ist, welche dies fordert. Die „Verordnung über den Bau von Betriebsräumen für elektrische Anlagen (</w:t>
      </w:r>
      <w:proofErr w:type="spellStart"/>
      <w:r w:rsidRPr="000A7534">
        <w:rPr>
          <w:rFonts w:cs="Arial"/>
          <w:color w:val="000000" w:themeColor="text1"/>
        </w:rPr>
        <w:t>EltBauVO</w:t>
      </w:r>
      <w:proofErr w:type="spellEnd"/>
      <w:r w:rsidRPr="000A7534">
        <w:rPr>
          <w:rFonts w:cs="Arial"/>
          <w:color w:val="000000" w:themeColor="text1"/>
        </w:rPr>
        <w:t>)“ stellt z. B. im § 4 allgemeine Anforderungen an elektrische Betriebsräume:</w:t>
      </w:r>
    </w:p>
    <w:p w14:paraId="4F93305C" w14:textId="6AA7EEBE" w:rsidR="000A7534" w:rsidRPr="000A7534" w:rsidRDefault="000A7534" w:rsidP="000A7534">
      <w:pPr>
        <w:shd w:val="clear" w:color="auto" w:fill="FFFFFF"/>
        <w:jc w:val="both"/>
        <w:rPr>
          <w:rFonts w:cs="Arial"/>
          <w:color w:val="000000" w:themeColor="text1"/>
        </w:rPr>
      </w:pPr>
    </w:p>
    <w:p w14:paraId="5CB31AE7" w14:textId="051021A0" w:rsidR="000A7534" w:rsidRPr="000A7534" w:rsidRDefault="00B423DC" w:rsidP="000A7534">
      <w:pPr>
        <w:shd w:val="clear" w:color="auto" w:fill="FFFFFF"/>
        <w:jc w:val="both"/>
        <w:rPr>
          <w:rFonts w:cs="Arial"/>
          <w:i/>
          <w:iCs/>
          <w:color w:val="000000" w:themeColor="text1"/>
        </w:rPr>
      </w:pPr>
      <w:r w:rsidRPr="00B423DC">
        <w:rPr>
          <w:rFonts w:cs="Arial"/>
          <w:noProof/>
        </w:rPr>
        <w:drawing>
          <wp:anchor distT="0" distB="0" distL="114300" distR="114300" simplePos="0" relativeHeight="251658240" behindDoc="0" locked="0" layoutInCell="1" allowOverlap="1" wp14:anchorId="4301FB15" wp14:editId="5EDB50FA">
            <wp:simplePos x="0" y="0"/>
            <wp:positionH relativeFrom="margin">
              <wp:posOffset>3530600</wp:posOffset>
            </wp:positionH>
            <wp:positionV relativeFrom="margin">
              <wp:posOffset>2989580</wp:posOffset>
            </wp:positionV>
            <wp:extent cx="2512060" cy="2819400"/>
            <wp:effectExtent l="0" t="0" r="2540" b="0"/>
            <wp:wrapSquare wrapText="bothSides"/>
            <wp:docPr id="8" name="Grafik 7" descr="Ein Bild, das Feuerlöscher, Wand, rot, Im Haus enthält.&#10;&#10;Automatisch generierte Beschreibung">
              <a:extLst xmlns:a="http://schemas.openxmlformats.org/drawingml/2006/main">
                <a:ext uri="{FF2B5EF4-FFF2-40B4-BE49-F238E27FC236}">
                  <a16:creationId xmlns:a16="http://schemas.microsoft.com/office/drawing/2014/main" id="{5ACE32D2-3E5E-B0C3-AAA8-0D0629FBFB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Feuerlöscher, Wand, rot, Im Haus enthält.&#10;&#10;Automatisch generierte Beschreibung">
                      <a:extLst>
                        <a:ext uri="{FF2B5EF4-FFF2-40B4-BE49-F238E27FC236}">
                          <a16:creationId xmlns:a16="http://schemas.microsoft.com/office/drawing/2014/main" id="{5ACE32D2-3E5E-B0C3-AAA8-0D0629FBFB7A}"/>
                        </a:ext>
                      </a:extLst>
                    </pic:cNvPr>
                    <pic:cNvPicPr>
                      <a:picLocks noChangeAspect="1"/>
                    </pic:cNvPicPr>
                  </pic:nvPicPr>
                  <pic:blipFill rotWithShape="1">
                    <a:blip r:embed="rId14"/>
                    <a:srcRect t="12665"/>
                    <a:stretch/>
                  </pic:blipFill>
                  <pic:spPr>
                    <a:xfrm>
                      <a:off x="0" y="0"/>
                      <a:ext cx="2512060" cy="2819400"/>
                    </a:xfrm>
                    <a:prstGeom prst="rect">
                      <a:avLst/>
                    </a:prstGeom>
                  </pic:spPr>
                </pic:pic>
              </a:graphicData>
            </a:graphic>
            <wp14:sizeRelH relativeFrom="margin">
              <wp14:pctWidth>0</wp14:pctWidth>
            </wp14:sizeRelH>
            <wp14:sizeRelV relativeFrom="margin">
              <wp14:pctHeight>0</wp14:pctHeight>
            </wp14:sizeRelV>
          </wp:anchor>
        </w:drawing>
      </w:r>
      <w:r w:rsidR="000A7534" w:rsidRPr="000A7534">
        <w:rPr>
          <w:rFonts w:cs="Arial"/>
          <w:i/>
          <w:iCs/>
          <w:color w:val="000000" w:themeColor="text1"/>
        </w:rPr>
        <w:t>„Elektrische Betriebsräume müssen so angeordnet sein, dass sie im Gefahrenfall von einem allgemein zugänglichen Raum oder vom Freien leicht und sicher erreichbar sind und jederzeit ungehindert verlassen werden können; (…)“</w:t>
      </w:r>
    </w:p>
    <w:p w14:paraId="6159E897" w14:textId="1400FDAA" w:rsidR="000A7534" w:rsidRPr="000A7534" w:rsidRDefault="000A7534" w:rsidP="000A7534">
      <w:pPr>
        <w:shd w:val="clear" w:color="auto" w:fill="FFFFFF"/>
        <w:jc w:val="both"/>
        <w:rPr>
          <w:rFonts w:cs="Arial"/>
          <w:color w:val="000000" w:themeColor="text1"/>
        </w:rPr>
      </w:pPr>
    </w:p>
    <w:p w14:paraId="513CCD09" w14:textId="7126E331" w:rsidR="000A7534" w:rsidRPr="000A7534" w:rsidRDefault="000A7534" w:rsidP="000A7534">
      <w:pPr>
        <w:shd w:val="clear" w:color="auto" w:fill="FFFFFF"/>
        <w:jc w:val="both"/>
        <w:rPr>
          <w:rFonts w:cs="Arial"/>
          <w:b/>
          <w:bCs/>
          <w:color w:val="000000" w:themeColor="text1"/>
        </w:rPr>
      </w:pPr>
      <w:r w:rsidRPr="000A7534">
        <w:rPr>
          <w:rFonts w:cs="Arial"/>
          <w:b/>
          <w:bCs/>
          <w:color w:val="000000" w:themeColor="text1"/>
        </w:rPr>
        <w:t>Fazit:</w:t>
      </w:r>
    </w:p>
    <w:p w14:paraId="2909E98B" w14:textId="16E8BA5A" w:rsidR="000A7534" w:rsidRPr="000A7534" w:rsidRDefault="000A7534" w:rsidP="000A7534">
      <w:pPr>
        <w:shd w:val="clear" w:color="auto" w:fill="FFFFFF"/>
        <w:jc w:val="both"/>
        <w:rPr>
          <w:rFonts w:cs="Arial"/>
          <w:color w:val="000000" w:themeColor="text1"/>
        </w:rPr>
      </w:pPr>
      <w:r w:rsidRPr="000A7534">
        <w:rPr>
          <w:rFonts w:cs="Arial"/>
          <w:color w:val="000000" w:themeColor="text1"/>
        </w:rPr>
        <w:t>Es sollten grundsätzlich alle Zutrittstüren zu Nieder- und Hochspannungsanlagen von innen ohne Schlüssel oder sonstige Hilfsmittel in Fluchtrichtung zu öffnen sein. Dies könnte entfallen, wenn Türen aufgrund der Größe der elektrischen Betriebsstätte während der Bedienung oder Instandsetzung geöffnet bleibt.</w:t>
      </w:r>
      <w:r w:rsidR="00B423DC">
        <w:rPr>
          <w:rFonts w:cs="Arial"/>
          <w:color w:val="000000" w:themeColor="text1"/>
        </w:rPr>
        <w:t xml:space="preserve"> </w:t>
      </w:r>
      <w:r w:rsidRPr="000A7534">
        <w:rPr>
          <w:rFonts w:cs="Arial"/>
          <w:color w:val="000000" w:themeColor="text1"/>
        </w:rPr>
        <w:t>Baurechtliche Forderungen sind in Abhängigkeit der Vorgaben der Bundesländer zu berücksichtigen.</w:t>
      </w:r>
    </w:p>
    <w:p w14:paraId="7C51550E" w14:textId="64DDBAD9" w:rsidR="000A7534" w:rsidRPr="000A7534" w:rsidRDefault="000A7534" w:rsidP="000A7534">
      <w:pPr>
        <w:shd w:val="clear" w:color="auto" w:fill="FFFFFF"/>
        <w:jc w:val="both"/>
        <w:rPr>
          <w:rFonts w:cs="Arial"/>
          <w:color w:val="000000" w:themeColor="text1"/>
        </w:rPr>
      </w:pPr>
    </w:p>
    <w:p w14:paraId="317E92D7" w14:textId="581959C2" w:rsidR="006C72F5" w:rsidRPr="00B423DC" w:rsidRDefault="000A7534" w:rsidP="00B423DC">
      <w:pPr>
        <w:shd w:val="clear" w:color="auto" w:fill="FFFFFF"/>
        <w:jc w:val="right"/>
        <w:rPr>
          <w:rFonts w:cs="Arial"/>
          <w:sz w:val="16"/>
          <w:szCs w:val="16"/>
        </w:rPr>
      </w:pPr>
      <w:r w:rsidRPr="000A7534">
        <w:rPr>
          <w:rFonts w:cs="Arial"/>
          <w:sz w:val="16"/>
          <w:szCs w:val="16"/>
        </w:rPr>
        <w:t xml:space="preserve"> </w:t>
      </w:r>
      <w:r w:rsidR="00B423DC">
        <w:rPr>
          <w:rFonts w:cs="Arial"/>
          <w:sz w:val="16"/>
          <w:szCs w:val="16"/>
        </w:rPr>
        <w:t>Quelle: R. O. E. GmbH</w:t>
      </w:r>
    </w:p>
    <w:sectPr w:rsidR="006C72F5" w:rsidRPr="00B423DC" w:rsidSect="000257CF">
      <w:headerReference w:type="even" r:id="rId15"/>
      <w:headerReference w:type="default" r:id="rId16"/>
      <w:footerReference w:type="even" r:id="rId17"/>
      <w:footerReference w:type="default" r:id="rId18"/>
      <w:headerReference w:type="first" r:id="rId19"/>
      <w:footerReference w:type="first" r:id="rId20"/>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615C" w14:textId="77777777" w:rsidR="000257CF" w:rsidRDefault="000257CF">
      <w:r>
        <w:separator/>
      </w:r>
    </w:p>
  </w:endnote>
  <w:endnote w:type="continuationSeparator" w:id="0">
    <w:p w14:paraId="3DF751DA" w14:textId="77777777" w:rsidR="000257CF" w:rsidRDefault="0002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502B" w14:textId="77777777" w:rsidR="00B423DC" w:rsidRDefault="00B423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06B71A5E" w:rsidR="00413A01" w:rsidRPr="004C1C05" w:rsidRDefault="006C0D69" w:rsidP="00413A01">
          <w:pPr>
            <w:pStyle w:val="Fuzeile"/>
            <w:ind w:right="-83"/>
            <w:rPr>
              <w:sz w:val="16"/>
              <w:szCs w:val="16"/>
            </w:rPr>
          </w:pPr>
          <w:r>
            <w:rPr>
              <w:sz w:val="16"/>
              <w:szCs w:val="16"/>
            </w:rPr>
            <w:t>01.</w:t>
          </w:r>
          <w:r w:rsidR="00AB6F4F">
            <w:rPr>
              <w:sz w:val="16"/>
              <w:szCs w:val="16"/>
            </w:rPr>
            <w:t>0</w:t>
          </w:r>
          <w:r w:rsidR="000A7534">
            <w:rPr>
              <w:sz w:val="16"/>
              <w:szCs w:val="16"/>
            </w:rPr>
            <w:t>4</w:t>
          </w:r>
          <w:r w:rsidR="00413A01">
            <w:rPr>
              <w:sz w:val="16"/>
              <w:szCs w:val="16"/>
            </w:rPr>
            <w:t>.202</w:t>
          </w:r>
          <w:r w:rsidR="00AB6F4F">
            <w:rPr>
              <w:sz w:val="16"/>
              <w:szCs w:val="16"/>
            </w:rPr>
            <w:t>4</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27DB" w14:textId="77777777" w:rsidR="00B423DC" w:rsidRDefault="00B423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0A99" w14:textId="77777777" w:rsidR="000257CF" w:rsidRDefault="000257CF">
      <w:r>
        <w:separator/>
      </w:r>
    </w:p>
  </w:footnote>
  <w:footnote w:type="continuationSeparator" w:id="0">
    <w:p w14:paraId="70F7FEA5" w14:textId="77777777" w:rsidR="000257CF" w:rsidRDefault="0002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7F95" w14:textId="77777777" w:rsidR="00B423DC" w:rsidRDefault="00B423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FB088C4" w:rsidR="004F0DC2" w:rsidRPr="00E21DC0" w:rsidRDefault="004F0DC2" w:rsidP="004F0DC2">
          <w:pPr>
            <w:jc w:val="center"/>
          </w:pPr>
          <w:r w:rsidRPr="00E21DC0">
            <w:rPr>
              <w:b/>
            </w:rPr>
            <w:t>UW_ET_</w:t>
          </w:r>
          <w:r w:rsidR="00CE7FDB">
            <w:rPr>
              <w:b/>
            </w:rPr>
            <w:t>10</w:t>
          </w:r>
          <w:r w:rsidR="000A7534">
            <w:rPr>
              <w:b/>
            </w:rPr>
            <w:t>4</w:t>
          </w:r>
        </w:p>
      </w:tc>
      <w:tc>
        <w:tcPr>
          <w:tcW w:w="5026" w:type="dxa"/>
          <w:vAlign w:val="center"/>
        </w:tcPr>
        <w:p w14:paraId="63D167E9" w14:textId="12E04273" w:rsidR="004F0DC2" w:rsidRPr="00B2005A" w:rsidRDefault="000A7534" w:rsidP="00B5221D">
          <w:pPr>
            <w:jc w:val="center"/>
            <w:rPr>
              <w:sz w:val="28"/>
              <w:szCs w:val="28"/>
            </w:rPr>
          </w:pPr>
          <w:r w:rsidRPr="000A7534">
            <w:rPr>
              <w:sz w:val="28"/>
              <w:szCs w:val="28"/>
            </w:rPr>
            <w:t>Panikschlösser für abgeschlossene elektrische Betriebsstätten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E98C" w14:textId="77777777" w:rsidR="00B423DC" w:rsidRDefault="00B423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B73"/>
    <w:multiLevelType w:val="hybridMultilevel"/>
    <w:tmpl w:val="A9187FDE"/>
    <w:lvl w:ilvl="0" w:tplc="21DA20F2">
      <w:start w:val="1"/>
      <w:numFmt w:val="bullet"/>
      <w:lvlText w:val=""/>
      <w:lvlJc w:val="left"/>
      <w:pPr>
        <w:ind w:left="786" w:hanging="360"/>
      </w:pPr>
      <w:rPr>
        <w:rFonts w:ascii="Wingdings" w:hAnsi="Wingdings" w:hint="default"/>
        <w:color w:val="00001F"/>
      </w:rPr>
    </w:lvl>
    <w:lvl w:ilvl="1" w:tplc="286E6F92" w:tentative="1">
      <w:start w:val="1"/>
      <w:numFmt w:val="bullet"/>
      <w:lvlText w:val="o"/>
      <w:lvlJc w:val="left"/>
      <w:pPr>
        <w:ind w:left="1506" w:hanging="360"/>
      </w:pPr>
      <w:rPr>
        <w:rFonts w:ascii="Courier New" w:hAnsi="Courier New" w:cs="Courier New" w:hint="default"/>
      </w:rPr>
    </w:lvl>
    <w:lvl w:ilvl="2" w:tplc="B2D89F42" w:tentative="1">
      <w:start w:val="1"/>
      <w:numFmt w:val="bullet"/>
      <w:lvlText w:val=""/>
      <w:lvlJc w:val="left"/>
      <w:pPr>
        <w:ind w:left="2226" w:hanging="360"/>
      </w:pPr>
      <w:rPr>
        <w:rFonts w:ascii="Wingdings" w:hAnsi="Wingdings" w:hint="default"/>
      </w:rPr>
    </w:lvl>
    <w:lvl w:ilvl="3" w:tplc="2F948746" w:tentative="1">
      <w:start w:val="1"/>
      <w:numFmt w:val="bullet"/>
      <w:lvlText w:val=""/>
      <w:lvlJc w:val="left"/>
      <w:pPr>
        <w:ind w:left="2946" w:hanging="360"/>
      </w:pPr>
      <w:rPr>
        <w:rFonts w:ascii="Symbol" w:hAnsi="Symbol" w:hint="default"/>
      </w:rPr>
    </w:lvl>
    <w:lvl w:ilvl="4" w:tplc="1D2225AA" w:tentative="1">
      <w:start w:val="1"/>
      <w:numFmt w:val="bullet"/>
      <w:lvlText w:val="o"/>
      <w:lvlJc w:val="left"/>
      <w:pPr>
        <w:ind w:left="3666" w:hanging="360"/>
      </w:pPr>
      <w:rPr>
        <w:rFonts w:ascii="Courier New" w:hAnsi="Courier New" w:cs="Courier New" w:hint="default"/>
      </w:rPr>
    </w:lvl>
    <w:lvl w:ilvl="5" w:tplc="6F94F28A" w:tentative="1">
      <w:start w:val="1"/>
      <w:numFmt w:val="bullet"/>
      <w:lvlText w:val=""/>
      <w:lvlJc w:val="left"/>
      <w:pPr>
        <w:ind w:left="4386" w:hanging="360"/>
      </w:pPr>
      <w:rPr>
        <w:rFonts w:ascii="Wingdings" w:hAnsi="Wingdings" w:hint="default"/>
      </w:rPr>
    </w:lvl>
    <w:lvl w:ilvl="6" w:tplc="25D0283C" w:tentative="1">
      <w:start w:val="1"/>
      <w:numFmt w:val="bullet"/>
      <w:lvlText w:val=""/>
      <w:lvlJc w:val="left"/>
      <w:pPr>
        <w:ind w:left="5106" w:hanging="360"/>
      </w:pPr>
      <w:rPr>
        <w:rFonts w:ascii="Symbol" w:hAnsi="Symbol" w:hint="default"/>
      </w:rPr>
    </w:lvl>
    <w:lvl w:ilvl="7" w:tplc="0AF815F2" w:tentative="1">
      <w:start w:val="1"/>
      <w:numFmt w:val="bullet"/>
      <w:lvlText w:val="o"/>
      <w:lvlJc w:val="left"/>
      <w:pPr>
        <w:ind w:left="5826" w:hanging="360"/>
      </w:pPr>
      <w:rPr>
        <w:rFonts w:ascii="Courier New" w:hAnsi="Courier New" w:cs="Courier New" w:hint="default"/>
      </w:rPr>
    </w:lvl>
    <w:lvl w:ilvl="8" w:tplc="2DCEB0FC" w:tentative="1">
      <w:start w:val="1"/>
      <w:numFmt w:val="bullet"/>
      <w:lvlText w:val=""/>
      <w:lvlJc w:val="left"/>
      <w:pPr>
        <w:ind w:left="6546" w:hanging="360"/>
      </w:pPr>
      <w:rPr>
        <w:rFonts w:ascii="Wingdings" w:hAnsi="Wingdings" w:hint="default"/>
      </w:rPr>
    </w:lvl>
  </w:abstractNum>
  <w:abstractNum w:abstractNumId="2" w15:restartNumberingAfterBreak="0">
    <w:nsid w:val="04B53C55"/>
    <w:multiLevelType w:val="hybridMultilevel"/>
    <w:tmpl w:val="8D4E5D1A"/>
    <w:lvl w:ilvl="0" w:tplc="B0821798">
      <w:numFmt w:val="bullet"/>
      <w:lvlText w:val="•"/>
      <w:lvlJc w:val="left"/>
      <w:pPr>
        <w:ind w:left="1080" w:hanging="360"/>
      </w:pPr>
      <w:rPr>
        <w:rFonts w:ascii="Arial" w:eastAsia="Times New Roman" w:hAnsi="Arial" w:cs="Arial" w:hint="default"/>
        <w:color w:val="00001F"/>
      </w:rPr>
    </w:lvl>
    <w:lvl w:ilvl="1" w:tplc="73C4C60A" w:tentative="1">
      <w:start w:val="1"/>
      <w:numFmt w:val="bullet"/>
      <w:lvlText w:val="o"/>
      <w:lvlJc w:val="left"/>
      <w:pPr>
        <w:ind w:left="1800" w:hanging="360"/>
      </w:pPr>
      <w:rPr>
        <w:rFonts w:ascii="Courier New" w:hAnsi="Courier New" w:cs="Courier New" w:hint="default"/>
      </w:rPr>
    </w:lvl>
    <w:lvl w:ilvl="2" w:tplc="EBAA8B72" w:tentative="1">
      <w:start w:val="1"/>
      <w:numFmt w:val="bullet"/>
      <w:lvlText w:val=""/>
      <w:lvlJc w:val="left"/>
      <w:pPr>
        <w:ind w:left="2520" w:hanging="360"/>
      </w:pPr>
      <w:rPr>
        <w:rFonts w:ascii="Wingdings" w:hAnsi="Wingdings" w:hint="default"/>
      </w:rPr>
    </w:lvl>
    <w:lvl w:ilvl="3" w:tplc="39781A16" w:tentative="1">
      <w:start w:val="1"/>
      <w:numFmt w:val="bullet"/>
      <w:lvlText w:val=""/>
      <w:lvlJc w:val="left"/>
      <w:pPr>
        <w:ind w:left="3240" w:hanging="360"/>
      </w:pPr>
      <w:rPr>
        <w:rFonts w:ascii="Symbol" w:hAnsi="Symbol" w:hint="default"/>
      </w:rPr>
    </w:lvl>
    <w:lvl w:ilvl="4" w:tplc="10945A36" w:tentative="1">
      <w:start w:val="1"/>
      <w:numFmt w:val="bullet"/>
      <w:lvlText w:val="o"/>
      <w:lvlJc w:val="left"/>
      <w:pPr>
        <w:ind w:left="3960" w:hanging="360"/>
      </w:pPr>
      <w:rPr>
        <w:rFonts w:ascii="Courier New" w:hAnsi="Courier New" w:cs="Courier New" w:hint="default"/>
      </w:rPr>
    </w:lvl>
    <w:lvl w:ilvl="5" w:tplc="4E126816" w:tentative="1">
      <w:start w:val="1"/>
      <w:numFmt w:val="bullet"/>
      <w:lvlText w:val=""/>
      <w:lvlJc w:val="left"/>
      <w:pPr>
        <w:ind w:left="4680" w:hanging="360"/>
      </w:pPr>
      <w:rPr>
        <w:rFonts w:ascii="Wingdings" w:hAnsi="Wingdings" w:hint="default"/>
      </w:rPr>
    </w:lvl>
    <w:lvl w:ilvl="6" w:tplc="7DC2E502" w:tentative="1">
      <w:start w:val="1"/>
      <w:numFmt w:val="bullet"/>
      <w:lvlText w:val=""/>
      <w:lvlJc w:val="left"/>
      <w:pPr>
        <w:ind w:left="5400" w:hanging="360"/>
      </w:pPr>
      <w:rPr>
        <w:rFonts w:ascii="Symbol" w:hAnsi="Symbol" w:hint="default"/>
      </w:rPr>
    </w:lvl>
    <w:lvl w:ilvl="7" w:tplc="0FCC7048" w:tentative="1">
      <w:start w:val="1"/>
      <w:numFmt w:val="bullet"/>
      <w:lvlText w:val="o"/>
      <w:lvlJc w:val="left"/>
      <w:pPr>
        <w:ind w:left="6120" w:hanging="360"/>
      </w:pPr>
      <w:rPr>
        <w:rFonts w:ascii="Courier New" w:hAnsi="Courier New" w:cs="Courier New" w:hint="default"/>
      </w:rPr>
    </w:lvl>
    <w:lvl w:ilvl="8" w:tplc="D6CCD780" w:tentative="1">
      <w:start w:val="1"/>
      <w:numFmt w:val="bullet"/>
      <w:lvlText w:val=""/>
      <w:lvlJc w:val="left"/>
      <w:pPr>
        <w:ind w:left="6840" w:hanging="360"/>
      </w:pPr>
      <w:rPr>
        <w:rFonts w:ascii="Wingdings" w:hAnsi="Wingdings" w:hint="default"/>
      </w:rPr>
    </w:lvl>
  </w:abstractNum>
  <w:abstractNum w:abstractNumId="3"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4"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5" w15:restartNumberingAfterBreak="0">
    <w:nsid w:val="194C232F"/>
    <w:multiLevelType w:val="hybridMultilevel"/>
    <w:tmpl w:val="DF9A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8E42F3"/>
    <w:multiLevelType w:val="hybridMultilevel"/>
    <w:tmpl w:val="7D6E52B4"/>
    <w:lvl w:ilvl="0" w:tplc="F702965E">
      <w:numFmt w:val="bullet"/>
      <w:lvlText w:val="-"/>
      <w:lvlJc w:val="left"/>
      <w:pPr>
        <w:ind w:left="1068" w:hanging="360"/>
      </w:pPr>
      <w:rPr>
        <w:rFonts w:ascii="Arial" w:eastAsia="Times New Roman" w:hAnsi="Arial" w:cs="Arial" w:hint="default"/>
        <w:color w:val="000000" w:themeColor="text1"/>
      </w:rPr>
    </w:lvl>
    <w:lvl w:ilvl="1" w:tplc="269C914E" w:tentative="1">
      <w:start w:val="1"/>
      <w:numFmt w:val="bullet"/>
      <w:lvlText w:val="o"/>
      <w:lvlJc w:val="left"/>
      <w:pPr>
        <w:ind w:left="1788" w:hanging="360"/>
      </w:pPr>
      <w:rPr>
        <w:rFonts w:ascii="Courier New" w:hAnsi="Courier New" w:cs="Courier New" w:hint="default"/>
      </w:rPr>
    </w:lvl>
    <w:lvl w:ilvl="2" w:tplc="EB3AACF0" w:tentative="1">
      <w:start w:val="1"/>
      <w:numFmt w:val="bullet"/>
      <w:lvlText w:val=""/>
      <w:lvlJc w:val="left"/>
      <w:pPr>
        <w:ind w:left="2508" w:hanging="360"/>
      </w:pPr>
      <w:rPr>
        <w:rFonts w:ascii="Wingdings" w:hAnsi="Wingdings" w:hint="default"/>
      </w:rPr>
    </w:lvl>
    <w:lvl w:ilvl="3" w:tplc="0C625622" w:tentative="1">
      <w:start w:val="1"/>
      <w:numFmt w:val="bullet"/>
      <w:lvlText w:val=""/>
      <w:lvlJc w:val="left"/>
      <w:pPr>
        <w:ind w:left="3228" w:hanging="360"/>
      </w:pPr>
      <w:rPr>
        <w:rFonts w:ascii="Symbol" w:hAnsi="Symbol" w:hint="default"/>
      </w:rPr>
    </w:lvl>
    <w:lvl w:ilvl="4" w:tplc="A9800B52" w:tentative="1">
      <w:start w:val="1"/>
      <w:numFmt w:val="bullet"/>
      <w:lvlText w:val="o"/>
      <w:lvlJc w:val="left"/>
      <w:pPr>
        <w:ind w:left="3948" w:hanging="360"/>
      </w:pPr>
      <w:rPr>
        <w:rFonts w:ascii="Courier New" w:hAnsi="Courier New" w:cs="Courier New" w:hint="default"/>
      </w:rPr>
    </w:lvl>
    <w:lvl w:ilvl="5" w:tplc="9C561246" w:tentative="1">
      <w:start w:val="1"/>
      <w:numFmt w:val="bullet"/>
      <w:lvlText w:val=""/>
      <w:lvlJc w:val="left"/>
      <w:pPr>
        <w:ind w:left="4668" w:hanging="360"/>
      </w:pPr>
      <w:rPr>
        <w:rFonts w:ascii="Wingdings" w:hAnsi="Wingdings" w:hint="default"/>
      </w:rPr>
    </w:lvl>
    <w:lvl w:ilvl="6" w:tplc="7F30E19A" w:tentative="1">
      <w:start w:val="1"/>
      <w:numFmt w:val="bullet"/>
      <w:lvlText w:val=""/>
      <w:lvlJc w:val="left"/>
      <w:pPr>
        <w:ind w:left="5388" w:hanging="360"/>
      </w:pPr>
      <w:rPr>
        <w:rFonts w:ascii="Symbol" w:hAnsi="Symbol" w:hint="default"/>
      </w:rPr>
    </w:lvl>
    <w:lvl w:ilvl="7" w:tplc="71A68AD0" w:tentative="1">
      <w:start w:val="1"/>
      <w:numFmt w:val="bullet"/>
      <w:lvlText w:val="o"/>
      <w:lvlJc w:val="left"/>
      <w:pPr>
        <w:ind w:left="6108" w:hanging="360"/>
      </w:pPr>
      <w:rPr>
        <w:rFonts w:ascii="Courier New" w:hAnsi="Courier New" w:cs="Courier New" w:hint="default"/>
      </w:rPr>
    </w:lvl>
    <w:lvl w:ilvl="8" w:tplc="C366AEC4" w:tentative="1">
      <w:start w:val="1"/>
      <w:numFmt w:val="bullet"/>
      <w:lvlText w:val=""/>
      <w:lvlJc w:val="left"/>
      <w:pPr>
        <w:ind w:left="6828" w:hanging="360"/>
      </w:pPr>
      <w:rPr>
        <w:rFonts w:ascii="Wingdings" w:hAnsi="Wingdings" w:hint="default"/>
      </w:rPr>
    </w:lvl>
  </w:abstractNum>
  <w:abstractNum w:abstractNumId="8"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13" w15:restartNumberingAfterBreak="0">
    <w:nsid w:val="2ED315DF"/>
    <w:multiLevelType w:val="hybridMultilevel"/>
    <w:tmpl w:val="429A7C46"/>
    <w:lvl w:ilvl="0" w:tplc="924019D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F32BCA"/>
    <w:multiLevelType w:val="hybridMultilevel"/>
    <w:tmpl w:val="C81EDCC2"/>
    <w:lvl w:ilvl="0" w:tplc="FB7C7242">
      <w:start w:val="1"/>
      <w:numFmt w:val="bullet"/>
      <w:lvlText w:val=""/>
      <w:lvlJc w:val="left"/>
      <w:pPr>
        <w:ind w:left="720" w:hanging="360"/>
      </w:pPr>
      <w:rPr>
        <w:rFonts w:ascii="Symbol" w:hAnsi="Symbol" w:hint="default"/>
      </w:rPr>
    </w:lvl>
    <w:lvl w:ilvl="1" w:tplc="E83A7E6A">
      <w:start w:val="1"/>
      <w:numFmt w:val="bullet"/>
      <w:lvlText w:val="o"/>
      <w:lvlJc w:val="left"/>
      <w:pPr>
        <w:ind w:left="1440" w:hanging="360"/>
      </w:pPr>
      <w:rPr>
        <w:rFonts w:ascii="Courier New" w:hAnsi="Courier New" w:cs="Courier New" w:hint="default"/>
      </w:rPr>
    </w:lvl>
    <w:lvl w:ilvl="2" w:tplc="0884217A" w:tentative="1">
      <w:start w:val="1"/>
      <w:numFmt w:val="bullet"/>
      <w:lvlText w:val=""/>
      <w:lvlJc w:val="left"/>
      <w:pPr>
        <w:ind w:left="2160" w:hanging="360"/>
      </w:pPr>
      <w:rPr>
        <w:rFonts w:ascii="Wingdings" w:hAnsi="Wingdings" w:hint="default"/>
      </w:rPr>
    </w:lvl>
    <w:lvl w:ilvl="3" w:tplc="CAFCD0D6" w:tentative="1">
      <w:start w:val="1"/>
      <w:numFmt w:val="bullet"/>
      <w:lvlText w:val=""/>
      <w:lvlJc w:val="left"/>
      <w:pPr>
        <w:ind w:left="2880" w:hanging="360"/>
      </w:pPr>
      <w:rPr>
        <w:rFonts w:ascii="Symbol" w:hAnsi="Symbol" w:hint="default"/>
      </w:rPr>
    </w:lvl>
    <w:lvl w:ilvl="4" w:tplc="332808A6" w:tentative="1">
      <w:start w:val="1"/>
      <w:numFmt w:val="bullet"/>
      <w:lvlText w:val="o"/>
      <w:lvlJc w:val="left"/>
      <w:pPr>
        <w:ind w:left="3600" w:hanging="360"/>
      </w:pPr>
      <w:rPr>
        <w:rFonts w:ascii="Courier New" w:hAnsi="Courier New" w:cs="Courier New" w:hint="default"/>
      </w:rPr>
    </w:lvl>
    <w:lvl w:ilvl="5" w:tplc="470E7972" w:tentative="1">
      <w:start w:val="1"/>
      <w:numFmt w:val="bullet"/>
      <w:lvlText w:val=""/>
      <w:lvlJc w:val="left"/>
      <w:pPr>
        <w:ind w:left="4320" w:hanging="360"/>
      </w:pPr>
      <w:rPr>
        <w:rFonts w:ascii="Wingdings" w:hAnsi="Wingdings" w:hint="default"/>
      </w:rPr>
    </w:lvl>
    <w:lvl w:ilvl="6" w:tplc="7568ABC8" w:tentative="1">
      <w:start w:val="1"/>
      <w:numFmt w:val="bullet"/>
      <w:lvlText w:val=""/>
      <w:lvlJc w:val="left"/>
      <w:pPr>
        <w:ind w:left="5040" w:hanging="360"/>
      </w:pPr>
      <w:rPr>
        <w:rFonts w:ascii="Symbol" w:hAnsi="Symbol" w:hint="default"/>
      </w:rPr>
    </w:lvl>
    <w:lvl w:ilvl="7" w:tplc="C00AC298" w:tentative="1">
      <w:start w:val="1"/>
      <w:numFmt w:val="bullet"/>
      <w:lvlText w:val="o"/>
      <w:lvlJc w:val="left"/>
      <w:pPr>
        <w:ind w:left="5760" w:hanging="360"/>
      </w:pPr>
      <w:rPr>
        <w:rFonts w:ascii="Courier New" w:hAnsi="Courier New" w:cs="Courier New" w:hint="default"/>
      </w:rPr>
    </w:lvl>
    <w:lvl w:ilvl="8" w:tplc="B2B8D76A" w:tentative="1">
      <w:start w:val="1"/>
      <w:numFmt w:val="bullet"/>
      <w:lvlText w:val=""/>
      <w:lvlJc w:val="left"/>
      <w:pPr>
        <w:ind w:left="6480" w:hanging="360"/>
      </w:pPr>
      <w:rPr>
        <w:rFonts w:ascii="Wingdings" w:hAnsi="Wingdings" w:hint="default"/>
      </w:rPr>
    </w:lvl>
  </w:abstractNum>
  <w:abstractNum w:abstractNumId="19" w15:restartNumberingAfterBreak="0">
    <w:nsid w:val="524E473F"/>
    <w:multiLevelType w:val="hybridMultilevel"/>
    <w:tmpl w:val="D8C482F8"/>
    <w:lvl w:ilvl="0" w:tplc="BE0C6EE4">
      <w:start w:val="1"/>
      <w:numFmt w:val="bullet"/>
      <w:lvlText w:val=""/>
      <w:lvlJc w:val="left"/>
      <w:pPr>
        <w:ind w:left="786" w:hanging="360"/>
      </w:pPr>
      <w:rPr>
        <w:rFonts w:ascii="Wingdings" w:hAnsi="Wingdings" w:hint="default"/>
        <w:color w:val="00001F"/>
      </w:rPr>
    </w:lvl>
    <w:lvl w:ilvl="1" w:tplc="821E481A" w:tentative="1">
      <w:start w:val="1"/>
      <w:numFmt w:val="bullet"/>
      <w:lvlText w:val="o"/>
      <w:lvlJc w:val="left"/>
      <w:pPr>
        <w:ind w:left="1506" w:hanging="360"/>
      </w:pPr>
      <w:rPr>
        <w:rFonts w:ascii="Courier New" w:hAnsi="Courier New" w:cs="Courier New" w:hint="default"/>
      </w:rPr>
    </w:lvl>
    <w:lvl w:ilvl="2" w:tplc="8166C53E" w:tentative="1">
      <w:start w:val="1"/>
      <w:numFmt w:val="bullet"/>
      <w:lvlText w:val=""/>
      <w:lvlJc w:val="left"/>
      <w:pPr>
        <w:ind w:left="2226" w:hanging="360"/>
      </w:pPr>
      <w:rPr>
        <w:rFonts w:ascii="Wingdings" w:hAnsi="Wingdings" w:hint="default"/>
      </w:rPr>
    </w:lvl>
    <w:lvl w:ilvl="3" w:tplc="4E882768" w:tentative="1">
      <w:start w:val="1"/>
      <w:numFmt w:val="bullet"/>
      <w:lvlText w:val=""/>
      <w:lvlJc w:val="left"/>
      <w:pPr>
        <w:ind w:left="2946" w:hanging="360"/>
      </w:pPr>
      <w:rPr>
        <w:rFonts w:ascii="Symbol" w:hAnsi="Symbol" w:hint="default"/>
      </w:rPr>
    </w:lvl>
    <w:lvl w:ilvl="4" w:tplc="197A9BBA" w:tentative="1">
      <w:start w:val="1"/>
      <w:numFmt w:val="bullet"/>
      <w:lvlText w:val="o"/>
      <w:lvlJc w:val="left"/>
      <w:pPr>
        <w:ind w:left="3666" w:hanging="360"/>
      </w:pPr>
      <w:rPr>
        <w:rFonts w:ascii="Courier New" w:hAnsi="Courier New" w:cs="Courier New" w:hint="default"/>
      </w:rPr>
    </w:lvl>
    <w:lvl w:ilvl="5" w:tplc="D556FE50" w:tentative="1">
      <w:start w:val="1"/>
      <w:numFmt w:val="bullet"/>
      <w:lvlText w:val=""/>
      <w:lvlJc w:val="left"/>
      <w:pPr>
        <w:ind w:left="4386" w:hanging="360"/>
      </w:pPr>
      <w:rPr>
        <w:rFonts w:ascii="Wingdings" w:hAnsi="Wingdings" w:hint="default"/>
      </w:rPr>
    </w:lvl>
    <w:lvl w:ilvl="6" w:tplc="F14468A8" w:tentative="1">
      <w:start w:val="1"/>
      <w:numFmt w:val="bullet"/>
      <w:lvlText w:val=""/>
      <w:lvlJc w:val="left"/>
      <w:pPr>
        <w:ind w:left="5106" w:hanging="360"/>
      </w:pPr>
      <w:rPr>
        <w:rFonts w:ascii="Symbol" w:hAnsi="Symbol" w:hint="default"/>
      </w:rPr>
    </w:lvl>
    <w:lvl w:ilvl="7" w:tplc="5224A088" w:tentative="1">
      <w:start w:val="1"/>
      <w:numFmt w:val="bullet"/>
      <w:lvlText w:val="o"/>
      <w:lvlJc w:val="left"/>
      <w:pPr>
        <w:ind w:left="5826" w:hanging="360"/>
      </w:pPr>
      <w:rPr>
        <w:rFonts w:ascii="Courier New" w:hAnsi="Courier New" w:cs="Courier New" w:hint="default"/>
      </w:rPr>
    </w:lvl>
    <w:lvl w:ilvl="8" w:tplc="E8127E0A" w:tentative="1">
      <w:start w:val="1"/>
      <w:numFmt w:val="bullet"/>
      <w:lvlText w:val=""/>
      <w:lvlJc w:val="left"/>
      <w:pPr>
        <w:ind w:left="6546" w:hanging="360"/>
      </w:pPr>
      <w:rPr>
        <w:rFonts w:ascii="Wingdings" w:hAnsi="Wingdings" w:hint="default"/>
      </w:rPr>
    </w:lvl>
  </w:abstractNum>
  <w:abstractNum w:abstractNumId="20"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2"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25"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26"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FD14EDF"/>
    <w:multiLevelType w:val="hybridMultilevel"/>
    <w:tmpl w:val="22824C14"/>
    <w:lvl w:ilvl="0" w:tplc="0EF299FE">
      <w:start w:val="1"/>
      <w:numFmt w:val="bullet"/>
      <w:lvlText w:val="o"/>
      <w:lvlJc w:val="left"/>
      <w:pPr>
        <w:ind w:left="1068" w:hanging="360"/>
      </w:pPr>
      <w:rPr>
        <w:rFonts w:ascii="Courier New" w:hAnsi="Courier New" w:cs="Courier New" w:hint="default"/>
      </w:rPr>
    </w:lvl>
    <w:lvl w:ilvl="1" w:tplc="3CF85808" w:tentative="1">
      <w:start w:val="1"/>
      <w:numFmt w:val="bullet"/>
      <w:lvlText w:val="o"/>
      <w:lvlJc w:val="left"/>
      <w:pPr>
        <w:ind w:left="1788" w:hanging="360"/>
      </w:pPr>
      <w:rPr>
        <w:rFonts w:ascii="Courier New" w:hAnsi="Courier New" w:cs="Courier New" w:hint="default"/>
      </w:rPr>
    </w:lvl>
    <w:lvl w:ilvl="2" w:tplc="7D40A31C" w:tentative="1">
      <w:start w:val="1"/>
      <w:numFmt w:val="bullet"/>
      <w:lvlText w:val=""/>
      <w:lvlJc w:val="left"/>
      <w:pPr>
        <w:ind w:left="2508" w:hanging="360"/>
      </w:pPr>
      <w:rPr>
        <w:rFonts w:ascii="Wingdings" w:hAnsi="Wingdings" w:hint="default"/>
      </w:rPr>
    </w:lvl>
    <w:lvl w:ilvl="3" w:tplc="04661A10" w:tentative="1">
      <w:start w:val="1"/>
      <w:numFmt w:val="bullet"/>
      <w:lvlText w:val=""/>
      <w:lvlJc w:val="left"/>
      <w:pPr>
        <w:ind w:left="3228" w:hanging="360"/>
      </w:pPr>
      <w:rPr>
        <w:rFonts w:ascii="Symbol" w:hAnsi="Symbol" w:hint="default"/>
      </w:rPr>
    </w:lvl>
    <w:lvl w:ilvl="4" w:tplc="4D86A1C6" w:tentative="1">
      <w:start w:val="1"/>
      <w:numFmt w:val="bullet"/>
      <w:lvlText w:val="o"/>
      <w:lvlJc w:val="left"/>
      <w:pPr>
        <w:ind w:left="3948" w:hanging="360"/>
      </w:pPr>
      <w:rPr>
        <w:rFonts w:ascii="Courier New" w:hAnsi="Courier New" w:cs="Courier New" w:hint="default"/>
      </w:rPr>
    </w:lvl>
    <w:lvl w:ilvl="5" w:tplc="919CB9FE" w:tentative="1">
      <w:start w:val="1"/>
      <w:numFmt w:val="bullet"/>
      <w:lvlText w:val=""/>
      <w:lvlJc w:val="left"/>
      <w:pPr>
        <w:ind w:left="4668" w:hanging="360"/>
      </w:pPr>
      <w:rPr>
        <w:rFonts w:ascii="Wingdings" w:hAnsi="Wingdings" w:hint="default"/>
      </w:rPr>
    </w:lvl>
    <w:lvl w:ilvl="6" w:tplc="B88C40A0" w:tentative="1">
      <w:start w:val="1"/>
      <w:numFmt w:val="bullet"/>
      <w:lvlText w:val=""/>
      <w:lvlJc w:val="left"/>
      <w:pPr>
        <w:ind w:left="5388" w:hanging="360"/>
      </w:pPr>
      <w:rPr>
        <w:rFonts w:ascii="Symbol" w:hAnsi="Symbol" w:hint="default"/>
      </w:rPr>
    </w:lvl>
    <w:lvl w:ilvl="7" w:tplc="A5564028" w:tentative="1">
      <w:start w:val="1"/>
      <w:numFmt w:val="bullet"/>
      <w:lvlText w:val="o"/>
      <w:lvlJc w:val="left"/>
      <w:pPr>
        <w:ind w:left="6108" w:hanging="360"/>
      </w:pPr>
      <w:rPr>
        <w:rFonts w:ascii="Courier New" w:hAnsi="Courier New" w:cs="Courier New" w:hint="default"/>
      </w:rPr>
    </w:lvl>
    <w:lvl w:ilvl="8" w:tplc="AB2EAB58" w:tentative="1">
      <w:start w:val="1"/>
      <w:numFmt w:val="bullet"/>
      <w:lvlText w:val=""/>
      <w:lvlJc w:val="left"/>
      <w:pPr>
        <w:ind w:left="6828" w:hanging="360"/>
      </w:pPr>
      <w:rPr>
        <w:rFonts w:ascii="Wingdings" w:hAnsi="Wingdings" w:hint="default"/>
      </w:rPr>
    </w:lvl>
  </w:abstractNum>
  <w:num w:numId="1" w16cid:durableId="1015809858">
    <w:abstractNumId w:val="0"/>
  </w:num>
  <w:num w:numId="2" w16cid:durableId="1386223540">
    <w:abstractNumId w:val="10"/>
  </w:num>
  <w:num w:numId="3" w16cid:durableId="1696270670">
    <w:abstractNumId w:val="15"/>
  </w:num>
  <w:num w:numId="4" w16cid:durableId="398405917">
    <w:abstractNumId w:val="20"/>
  </w:num>
  <w:num w:numId="5" w16cid:durableId="1115758492">
    <w:abstractNumId w:val="6"/>
  </w:num>
  <w:num w:numId="6" w16cid:durableId="767040991">
    <w:abstractNumId w:val="17"/>
  </w:num>
  <w:num w:numId="7" w16cid:durableId="265188367">
    <w:abstractNumId w:val="26"/>
  </w:num>
  <w:num w:numId="8" w16cid:durableId="1114789958">
    <w:abstractNumId w:val="28"/>
  </w:num>
  <w:num w:numId="9" w16cid:durableId="1522278410">
    <w:abstractNumId w:val="23"/>
  </w:num>
  <w:num w:numId="10" w16cid:durableId="2002613182">
    <w:abstractNumId w:val="16"/>
  </w:num>
  <w:num w:numId="11" w16cid:durableId="1073701921">
    <w:abstractNumId w:val="11"/>
  </w:num>
  <w:num w:numId="12" w16cid:durableId="1301959806">
    <w:abstractNumId w:val="8"/>
  </w:num>
  <w:num w:numId="13" w16cid:durableId="1529026474">
    <w:abstractNumId w:val="3"/>
  </w:num>
  <w:num w:numId="14" w16cid:durableId="1328747873">
    <w:abstractNumId w:val="22"/>
  </w:num>
  <w:num w:numId="15" w16cid:durableId="1461416829">
    <w:abstractNumId w:val="25"/>
  </w:num>
  <w:num w:numId="16" w16cid:durableId="1533763629">
    <w:abstractNumId w:val="24"/>
  </w:num>
  <w:num w:numId="17" w16cid:durableId="1437289636">
    <w:abstractNumId w:val="27"/>
  </w:num>
  <w:num w:numId="18" w16cid:durableId="1271158035">
    <w:abstractNumId w:val="9"/>
  </w:num>
  <w:num w:numId="19" w16cid:durableId="148639241">
    <w:abstractNumId w:val="14"/>
  </w:num>
  <w:num w:numId="20" w16cid:durableId="1972903694">
    <w:abstractNumId w:val="4"/>
  </w:num>
  <w:num w:numId="21" w16cid:durableId="152526903">
    <w:abstractNumId w:val="21"/>
  </w:num>
  <w:num w:numId="22" w16cid:durableId="251670470">
    <w:abstractNumId w:val="12"/>
  </w:num>
  <w:num w:numId="23" w16cid:durableId="767116358">
    <w:abstractNumId w:val="2"/>
  </w:num>
  <w:num w:numId="24" w16cid:durableId="138349294">
    <w:abstractNumId w:val="19"/>
  </w:num>
  <w:num w:numId="25" w16cid:durableId="1946421038">
    <w:abstractNumId w:val="1"/>
  </w:num>
  <w:num w:numId="26" w16cid:durableId="1347752055">
    <w:abstractNumId w:val="5"/>
  </w:num>
  <w:num w:numId="27" w16cid:durableId="1442915418">
    <w:abstractNumId w:val="18"/>
  </w:num>
  <w:num w:numId="28" w16cid:durableId="1350570259">
    <w:abstractNumId w:val="7"/>
  </w:num>
  <w:num w:numId="29" w16cid:durableId="777990771">
    <w:abstractNumId w:val="29"/>
  </w:num>
  <w:num w:numId="30" w16cid:durableId="177439877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539"/>
    <w:rsid w:val="00007D14"/>
    <w:rsid w:val="00007E03"/>
    <w:rsid w:val="00007FF6"/>
    <w:rsid w:val="00013D7A"/>
    <w:rsid w:val="00014CCE"/>
    <w:rsid w:val="00015930"/>
    <w:rsid w:val="0001596B"/>
    <w:rsid w:val="000257CF"/>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77AAE"/>
    <w:rsid w:val="00081AF1"/>
    <w:rsid w:val="000839C9"/>
    <w:rsid w:val="000857C9"/>
    <w:rsid w:val="000915AB"/>
    <w:rsid w:val="000931DA"/>
    <w:rsid w:val="00093697"/>
    <w:rsid w:val="00097200"/>
    <w:rsid w:val="000A2BDE"/>
    <w:rsid w:val="000A4040"/>
    <w:rsid w:val="000A6088"/>
    <w:rsid w:val="000A7534"/>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378EE"/>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2D98"/>
    <w:rsid w:val="003D4C3F"/>
    <w:rsid w:val="003E60A4"/>
    <w:rsid w:val="003E749D"/>
    <w:rsid w:val="003E7856"/>
    <w:rsid w:val="003F13C7"/>
    <w:rsid w:val="003F216A"/>
    <w:rsid w:val="004000C5"/>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0D5D"/>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63D6"/>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270A4"/>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4716"/>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5FD4"/>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2F8E"/>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6F4F"/>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23DC"/>
    <w:rsid w:val="00B441D4"/>
    <w:rsid w:val="00B45152"/>
    <w:rsid w:val="00B458FB"/>
    <w:rsid w:val="00B460AB"/>
    <w:rsid w:val="00B47B18"/>
    <w:rsid w:val="00B504BE"/>
    <w:rsid w:val="00B5221D"/>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0532"/>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4000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 w:type="character" w:customStyle="1" w:styleId="berschrift3Zchn">
    <w:name w:val="Überschrift 3 Zchn"/>
    <w:basedOn w:val="Absatz-Standardschriftart"/>
    <w:link w:val="berschrift3"/>
    <w:semiHidden/>
    <w:rsid w:val="004000C5"/>
    <w:rPr>
      <w:rFonts w:asciiTheme="majorHAnsi" w:eastAsiaTheme="majorEastAsia" w:hAnsiTheme="majorHAnsi" w:cstheme="majorBidi"/>
      <w:color w:val="1F4D78" w:themeColor="accent1" w:themeShade="7F"/>
      <w:sz w:val="24"/>
      <w:szCs w:val="24"/>
    </w:rPr>
  </w:style>
  <w:style w:type="character" w:customStyle="1" w:styleId="n1017c">
    <w:name w:val="n1017c"/>
    <w:basedOn w:val="Absatz-Standardschriftart"/>
    <w:rsid w:val="000A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360938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4984048">
      <w:bodyDiv w:val="1"/>
      <w:marLeft w:val="0"/>
      <w:marRight w:val="0"/>
      <w:marTop w:val="0"/>
      <w:marBottom w:val="0"/>
      <w:divBdr>
        <w:top w:val="none" w:sz="0" w:space="0" w:color="auto"/>
        <w:left w:val="none" w:sz="0" w:space="0" w:color="auto"/>
        <w:bottom w:val="none" w:sz="0" w:space="0" w:color="auto"/>
        <w:right w:val="none" w:sz="0" w:space="0" w:color="auto"/>
      </w:divBdr>
      <w:divsChild>
        <w:div w:id="2121607395">
          <w:marLeft w:val="1152"/>
          <w:marRight w:val="0"/>
          <w:marTop w:val="125"/>
          <w:marBottom w:val="0"/>
          <w:divBdr>
            <w:top w:val="none" w:sz="0" w:space="0" w:color="auto"/>
            <w:left w:val="none" w:sz="0" w:space="0" w:color="auto"/>
            <w:bottom w:val="none" w:sz="0" w:space="0" w:color="auto"/>
            <w:right w:val="none" w:sz="0" w:space="0" w:color="auto"/>
          </w:divBdr>
        </w:div>
        <w:div w:id="823082942">
          <w:marLeft w:val="1152"/>
          <w:marRight w:val="0"/>
          <w:marTop w:val="125"/>
          <w:marBottom w:val="0"/>
          <w:divBdr>
            <w:top w:val="none" w:sz="0" w:space="0" w:color="auto"/>
            <w:left w:val="none" w:sz="0" w:space="0" w:color="auto"/>
            <w:bottom w:val="none" w:sz="0" w:space="0" w:color="auto"/>
            <w:right w:val="none" w:sz="0" w:space="0" w:color="auto"/>
          </w:divBdr>
        </w:div>
        <w:div w:id="926571119">
          <w:marLeft w:val="1152"/>
          <w:marRight w:val="0"/>
          <w:marTop w:val="125"/>
          <w:marBottom w:val="0"/>
          <w:divBdr>
            <w:top w:val="none" w:sz="0" w:space="0" w:color="auto"/>
            <w:left w:val="none" w:sz="0" w:space="0" w:color="auto"/>
            <w:bottom w:val="none" w:sz="0" w:space="0" w:color="auto"/>
            <w:right w:val="none" w:sz="0" w:space="0" w:color="auto"/>
          </w:divBdr>
        </w:div>
        <w:div w:id="918909036">
          <w:marLeft w:val="1642"/>
          <w:marRight w:val="0"/>
          <w:marTop w:val="114"/>
          <w:marBottom w:val="0"/>
          <w:divBdr>
            <w:top w:val="none" w:sz="0" w:space="0" w:color="auto"/>
            <w:left w:val="none" w:sz="0" w:space="0" w:color="auto"/>
            <w:bottom w:val="none" w:sz="0" w:space="0" w:color="auto"/>
            <w:right w:val="none" w:sz="0" w:space="0" w:color="auto"/>
          </w:divBdr>
        </w:div>
        <w:div w:id="1781996762">
          <w:marLeft w:val="1152"/>
          <w:marRight w:val="0"/>
          <w:marTop w:val="125"/>
          <w:marBottom w:val="0"/>
          <w:divBdr>
            <w:top w:val="none" w:sz="0" w:space="0" w:color="auto"/>
            <w:left w:val="none" w:sz="0" w:space="0" w:color="auto"/>
            <w:bottom w:val="none" w:sz="0" w:space="0" w:color="auto"/>
            <w:right w:val="none" w:sz="0" w:space="0" w:color="auto"/>
          </w:divBdr>
        </w:div>
      </w:divsChild>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7" ma:contentTypeDescription="Ein neues Dokument erstellen." ma:contentTypeScope="" ma:versionID="faae176d6942f29ef1583bf8bcea59af">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d5bafb4a319ceb54fc0939fcb0956cdd"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E489BBA5-5081-4E4B-9BCF-97838A6C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2023-03-30T12:05:00Z</cp:lastPrinted>
  <dcterms:created xsi:type="dcterms:W3CDTF">2024-03-26T15:05:00Z</dcterms:created>
  <dcterms:modified xsi:type="dcterms:W3CDTF">2024-03-26T15:09:00Z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