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9EF0" w14:textId="77777777" w:rsidR="004000C5" w:rsidRPr="004000C5" w:rsidRDefault="004000C5" w:rsidP="004000C5">
      <w:pPr>
        <w:jc w:val="both"/>
        <w:rPr>
          <w:b/>
          <w:color w:val="000000" w:themeColor="text1"/>
        </w:rPr>
      </w:pPr>
      <w:bookmarkStart w:id="0" w:name="_Hlk131512062"/>
      <w:r w:rsidRPr="004000C5">
        <w:rPr>
          <w:b/>
          <w:color w:val="000000" w:themeColor="text1"/>
        </w:rPr>
        <w:t xml:space="preserve">Was ist ein Adapter gemäß Regelwerk </w:t>
      </w:r>
    </w:p>
    <w:p w14:paraId="632A3035" w14:textId="72679345" w:rsidR="004000C5" w:rsidRPr="004000C5" w:rsidRDefault="004000C5" w:rsidP="004000C5">
      <w:pPr>
        <w:jc w:val="both"/>
        <w:rPr>
          <w:color w:val="000000" w:themeColor="text1"/>
        </w:rPr>
      </w:pPr>
      <w:r w:rsidRPr="004000C5">
        <w:rPr>
          <w:color w:val="000000" w:themeColor="text1"/>
        </w:rPr>
        <w:t xml:space="preserve">In der </w:t>
      </w:r>
      <w:r w:rsidRPr="004000C5">
        <w:rPr>
          <w:i/>
          <w:iCs/>
          <w:color w:val="000000" w:themeColor="text1"/>
        </w:rPr>
        <w:t>VDE 0620-2-1:2021-02</w:t>
      </w:r>
      <w:r w:rsidRPr="004000C5">
        <w:rPr>
          <w:rStyle w:val="Funotenzeichen"/>
          <w:i/>
          <w:iCs/>
          <w:color w:val="000000" w:themeColor="text1"/>
        </w:rPr>
        <w:footnoteReference w:id="1"/>
      </w:r>
      <w:r w:rsidRPr="004000C5">
        <w:rPr>
          <w:color w:val="000000" w:themeColor="text1"/>
        </w:rPr>
        <w:t xml:space="preserve"> wird ein Adapter im </w:t>
      </w:r>
      <w:r w:rsidRPr="004000C5">
        <w:rPr>
          <w:i/>
          <w:iCs/>
          <w:color w:val="000000" w:themeColor="text1"/>
        </w:rPr>
        <w:t>Abs. 3.26.2</w:t>
      </w:r>
      <w:r w:rsidRPr="004000C5">
        <w:rPr>
          <w:color w:val="000000" w:themeColor="text1"/>
        </w:rPr>
        <w:t xml:space="preserve"> als </w:t>
      </w:r>
      <w:r w:rsidRPr="004000C5">
        <w:rPr>
          <w:i/>
          <w:iCs/>
          <w:color w:val="000000" w:themeColor="text1"/>
        </w:rPr>
        <w:t>Zwischenstecker ohne zwischengeschaltete Zusatzfunktionen</w:t>
      </w:r>
      <w:r w:rsidRPr="004000C5">
        <w:rPr>
          <w:color w:val="000000" w:themeColor="text1"/>
        </w:rPr>
        <w:t xml:space="preserve"> beschrieben</w:t>
      </w:r>
      <w:r>
        <w:rPr>
          <w:color w:val="000000" w:themeColor="text1"/>
        </w:rPr>
        <w:t>, der</w:t>
      </w:r>
      <w:r w:rsidRPr="004000C5">
        <w:rPr>
          <w:i/>
          <w:iCs/>
          <w:color w:val="000000" w:themeColor="text1"/>
        </w:rPr>
        <w:t xml:space="preserve"> aus einem Steckerteil und einem daran </w:t>
      </w:r>
      <w:proofErr w:type="spellStart"/>
      <w:r w:rsidRPr="004000C5">
        <w:rPr>
          <w:i/>
          <w:iCs/>
          <w:color w:val="000000" w:themeColor="text1"/>
        </w:rPr>
        <w:t>angeformten</w:t>
      </w:r>
      <w:proofErr w:type="spellEnd"/>
      <w:r w:rsidRPr="004000C5">
        <w:rPr>
          <w:i/>
          <w:iCs/>
          <w:color w:val="000000" w:themeColor="text1"/>
        </w:rPr>
        <w:t xml:space="preserve"> Steckdosenteil ohne Zusatzfunktion zwischen Stecker und Steckdosenteil </w:t>
      </w:r>
      <w:r w:rsidRPr="004000C5">
        <w:rPr>
          <w:color w:val="000000" w:themeColor="text1"/>
        </w:rPr>
        <w:t>besteht.</w:t>
      </w:r>
    </w:p>
    <w:p w14:paraId="648844FB" w14:textId="77777777" w:rsidR="004000C5" w:rsidRPr="004000C5" w:rsidRDefault="004000C5" w:rsidP="004000C5">
      <w:pPr>
        <w:jc w:val="both"/>
        <w:rPr>
          <w:color w:val="000000" w:themeColor="text1"/>
        </w:rPr>
      </w:pPr>
    </w:p>
    <w:p w14:paraId="5ACB4851" w14:textId="77777777" w:rsidR="004000C5" w:rsidRPr="004000C5" w:rsidRDefault="004000C5" w:rsidP="004000C5">
      <w:pPr>
        <w:jc w:val="both"/>
        <w:rPr>
          <w:color w:val="000000" w:themeColor="text1"/>
        </w:rPr>
      </w:pPr>
      <w:r w:rsidRPr="004000C5">
        <w:rPr>
          <w:color w:val="000000" w:themeColor="text1"/>
        </w:rPr>
        <w:t xml:space="preserve">Adapter werden immer dann verwendet, wenn vor Ort mehrere Verbraucher gemeinsam an eine Steckdose angesteckt werden sollen und somit die Anzahl der Steckplätze erhöht werden muss. </w:t>
      </w:r>
      <w:r w:rsidRPr="004000C5">
        <w:rPr>
          <w:b/>
          <w:bCs/>
          <w:color w:val="000000" w:themeColor="text1"/>
        </w:rPr>
        <w:t>Adapter</w:t>
      </w:r>
      <w:r w:rsidRPr="004000C5">
        <w:rPr>
          <w:color w:val="000000" w:themeColor="text1"/>
        </w:rPr>
        <w:t xml:space="preserve"> </w:t>
      </w:r>
      <w:r w:rsidRPr="004000C5">
        <w:rPr>
          <w:b/>
          <w:bCs/>
          <w:color w:val="000000" w:themeColor="text1"/>
        </w:rPr>
        <w:t>sind</w:t>
      </w:r>
      <w:r w:rsidRPr="004000C5">
        <w:rPr>
          <w:color w:val="000000" w:themeColor="text1"/>
        </w:rPr>
        <w:t xml:space="preserve"> nur </w:t>
      </w:r>
      <w:r w:rsidRPr="004000C5">
        <w:rPr>
          <w:b/>
          <w:bCs/>
          <w:color w:val="000000" w:themeColor="text1"/>
        </w:rPr>
        <w:t>Hilfsmittel</w:t>
      </w:r>
      <w:r w:rsidRPr="004000C5">
        <w:rPr>
          <w:color w:val="000000" w:themeColor="text1"/>
        </w:rPr>
        <w:t xml:space="preserve">, um </w:t>
      </w:r>
      <w:r w:rsidRPr="004000C5">
        <w:rPr>
          <w:b/>
          <w:color w:val="000000" w:themeColor="text1"/>
        </w:rPr>
        <w:t>für eine zeitlich begrenzte Benutzungsdauer</w:t>
      </w:r>
      <w:r w:rsidRPr="004000C5">
        <w:rPr>
          <w:color w:val="000000" w:themeColor="text1"/>
        </w:rPr>
        <w:t xml:space="preserve"> fehlende Steckplätze zur Verfügung zu stellen. Bei dauerhaftem Bedarf an Mehr</w:t>
      </w:r>
      <w:r w:rsidRPr="004000C5">
        <w:rPr>
          <w:color w:val="000000" w:themeColor="text1"/>
        </w:rPr>
        <w:noBreakHyphen/>
        <w:t xml:space="preserve">Steckdosen sollte immer die ortsfeste Elektroinstallation erweitert werden. </w:t>
      </w:r>
    </w:p>
    <w:p w14:paraId="43227DD6" w14:textId="77777777" w:rsidR="004000C5" w:rsidRPr="004000C5" w:rsidRDefault="004000C5" w:rsidP="004000C5">
      <w:pPr>
        <w:jc w:val="both"/>
        <w:rPr>
          <w:color w:val="000000" w:themeColor="text1"/>
        </w:rPr>
      </w:pPr>
    </w:p>
    <w:p w14:paraId="1D424200" w14:textId="77777777" w:rsidR="004000C5" w:rsidRPr="004000C5" w:rsidRDefault="004000C5" w:rsidP="004000C5">
      <w:pPr>
        <w:jc w:val="both"/>
        <w:rPr>
          <w:b/>
          <w:color w:val="000000" w:themeColor="text1"/>
        </w:rPr>
      </w:pPr>
      <w:r w:rsidRPr="004000C5">
        <w:rPr>
          <w:b/>
          <w:color w:val="000000" w:themeColor="text1"/>
        </w:rPr>
        <w:t>Allgemeine Anforderungen</w:t>
      </w:r>
    </w:p>
    <w:p w14:paraId="11EAC9E0" w14:textId="77777777" w:rsidR="004000C5" w:rsidRPr="004000C5" w:rsidRDefault="004000C5" w:rsidP="004000C5">
      <w:pPr>
        <w:jc w:val="both"/>
        <w:rPr>
          <w:color w:val="000000" w:themeColor="text1"/>
        </w:rPr>
      </w:pPr>
      <w:r w:rsidRPr="004000C5">
        <w:rPr>
          <w:color w:val="000000" w:themeColor="text1"/>
        </w:rPr>
        <w:t xml:space="preserve">Adapter müssen so gebaut sein, dass sie im bestimmungsgemäßen Gebrauch zuverlässig sind und keine Gefahr für den Anwender oder die Umgebung darstellen. Um die vernünftigerweise vorhersehbare Fehlanwendung möglichst auszuschließen, sind die unter anderem nachfolgend genannten Anforderungen zu berücksichtigen:         </w:t>
      </w:r>
    </w:p>
    <w:p w14:paraId="774F61F9"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Adapter müssen konstruktiv sicherstellen, dass der Anwender die Wandsteckdose (Auf- und Unterputz) mechanisch nicht überlastet. Der Adapter soll daher nicht weiter wie unbedingt notwendig aus der Wandsteckdose in den Raum hineinragen, um den entstehenden zusätzlichen Hebelarm so kurz wie möglich zu halten.</w:t>
      </w:r>
    </w:p>
    <w:p w14:paraId="3B6E983A"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Es muss konstruktiv sichergestellt sein, dass ein unzulässiges „Übereinander Stecken“ mehrerer Adapter (Christbaumbildung) nicht möglich ist.</w:t>
      </w:r>
    </w:p>
    <w:p w14:paraId="1CD2ABD5"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Adapter dürfen über nur eine Schutzkontaktsteckdose verfügen.</w:t>
      </w:r>
    </w:p>
    <w:p w14:paraId="5916DE26" w14:textId="77777777" w:rsidR="004000C5" w:rsidRPr="004000C5" w:rsidRDefault="004000C5" w:rsidP="004000C5">
      <w:pPr>
        <w:numPr>
          <w:ilvl w:val="0"/>
          <w:numId w:val="29"/>
        </w:numPr>
        <w:ind w:left="993"/>
        <w:jc w:val="both"/>
        <w:rPr>
          <w:color w:val="000000" w:themeColor="text1"/>
        </w:rPr>
      </w:pPr>
      <w:r w:rsidRPr="004000C5">
        <w:rPr>
          <w:color w:val="000000" w:themeColor="text1"/>
          <w:u w:val="single"/>
        </w:rPr>
        <w:t>Begründung</w:t>
      </w:r>
      <w:r w:rsidRPr="004000C5">
        <w:rPr>
          <w:color w:val="000000" w:themeColor="text1"/>
        </w:rPr>
        <w:t xml:space="preserve">: Dieses verhindert eine übermäßige mechanische Belastung der Wandsteckdose, weil ein </w:t>
      </w:r>
      <w:proofErr w:type="gramStart"/>
      <w:r w:rsidRPr="004000C5">
        <w:rPr>
          <w:color w:val="000000" w:themeColor="text1"/>
        </w:rPr>
        <w:t>mehrfaches</w:t>
      </w:r>
      <w:proofErr w:type="gramEnd"/>
      <w:r w:rsidRPr="004000C5">
        <w:rPr>
          <w:color w:val="000000" w:themeColor="text1"/>
        </w:rPr>
        <w:t xml:space="preserve"> aufeinander stecken von weiteren Adaptern zur Steckplatzerweiterung („Christbaumbildung“) ausgeschlossen ist.</w:t>
      </w:r>
    </w:p>
    <w:p w14:paraId="5D55347D"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Die Anzahl der Steckplätze soll begrenzt werden auf</w:t>
      </w:r>
    </w:p>
    <w:p w14:paraId="28CB93B3" w14:textId="77777777" w:rsidR="004000C5" w:rsidRPr="004000C5" w:rsidRDefault="004000C5" w:rsidP="004000C5">
      <w:pPr>
        <w:numPr>
          <w:ilvl w:val="0"/>
          <w:numId w:val="28"/>
        </w:numPr>
        <w:ind w:left="567" w:hanging="283"/>
        <w:jc w:val="both"/>
        <w:rPr>
          <w:color w:val="000000" w:themeColor="text1"/>
        </w:rPr>
      </w:pPr>
      <w:r w:rsidRPr="004000C5">
        <w:rPr>
          <w:color w:val="000000" w:themeColor="text1"/>
        </w:rPr>
        <w:t xml:space="preserve">Eine Schutzkontaktsteckdose und maximal zwei Euro-Steckplätze oder </w:t>
      </w:r>
    </w:p>
    <w:p w14:paraId="24EE1046" w14:textId="77777777" w:rsidR="004000C5" w:rsidRPr="004000C5" w:rsidRDefault="004000C5" w:rsidP="004000C5">
      <w:pPr>
        <w:numPr>
          <w:ilvl w:val="0"/>
          <w:numId w:val="28"/>
        </w:numPr>
        <w:ind w:left="567" w:hanging="283"/>
        <w:jc w:val="both"/>
        <w:rPr>
          <w:color w:val="000000" w:themeColor="text1"/>
        </w:rPr>
      </w:pPr>
      <w:r w:rsidRPr="004000C5">
        <w:rPr>
          <w:color w:val="000000" w:themeColor="text1"/>
        </w:rPr>
        <w:t xml:space="preserve">maximal vier Euro-Steckplätze </w:t>
      </w:r>
    </w:p>
    <w:p w14:paraId="5BF30387" w14:textId="77777777" w:rsidR="004000C5" w:rsidRPr="004000C5" w:rsidRDefault="004000C5" w:rsidP="004000C5">
      <w:pPr>
        <w:numPr>
          <w:ilvl w:val="0"/>
          <w:numId w:val="29"/>
        </w:numPr>
        <w:ind w:left="993"/>
        <w:jc w:val="both"/>
        <w:rPr>
          <w:color w:val="000000" w:themeColor="text1"/>
        </w:rPr>
      </w:pPr>
      <w:r w:rsidRPr="004000C5">
        <w:rPr>
          <w:color w:val="000000" w:themeColor="text1"/>
          <w:u w:val="single"/>
        </w:rPr>
        <w:t>Begründung</w:t>
      </w:r>
      <w:r w:rsidRPr="004000C5">
        <w:rPr>
          <w:color w:val="000000" w:themeColor="text1"/>
        </w:rPr>
        <w:t>: Hierdurch wird eine übermäßige mechanische Belastung der Wandsteckdose durch Begrenzung der Steckplätze verhindert.</w:t>
      </w:r>
    </w:p>
    <w:p w14:paraId="38040534" w14:textId="77777777" w:rsidR="004000C5" w:rsidRPr="004000C5" w:rsidRDefault="004000C5" w:rsidP="004000C5">
      <w:pPr>
        <w:jc w:val="both"/>
        <w:rPr>
          <w:color w:val="000000" w:themeColor="text1"/>
        </w:rPr>
      </w:pPr>
    </w:p>
    <w:p w14:paraId="0D48773B" w14:textId="77777777" w:rsidR="004000C5" w:rsidRPr="004000C5" w:rsidRDefault="004000C5" w:rsidP="004000C5">
      <w:pPr>
        <w:ind w:left="68"/>
        <w:jc w:val="both"/>
        <w:rPr>
          <w:b/>
          <w:color w:val="000000" w:themeColor="text1"/>
        </w:rPr>
      </w:pPr>
      <w:r w:rsidRPr="004000C5">
        <w:rPr>
          <w:b/>
          <w:color w:val="000000" w:themeColor="text1"/>
        </w:rPr>
        <w:t>Aufschriften und Bedienungshinweise</w:t>
      </w:r>
    </w:p>
    <w:p w14:paraId="3012D605"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Wesentliche Merkmale von deren Kenntnis und Beachtung eine bestimmungsgemäße und gefahrlose Verwendung abhängt, sind (möglichst auf dem Steckadapter) anzugeben.</w:t>
      </w:r>
    </w:p>
    <w:p w14:paraId="5DA95183"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Soweit zutreffend, müssen Aufschriften der Adapter gemäß Abs. 8 der VDE 0620-2-1:2021-02 ausgeführt werden.</w:t>
      </w:r>
    </w:p>
    <w:p w14:paraId="43A8E44F"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 xml:space="preserve">Aufschriften und Bedienungshinweise sind in Anlehnung an die DIN EN 82079-1 (VDE 0039-1 „Erstellung von Anleitungen“) auszuführen. Dabei können Aufschriften, die auf </w:t>
      </w:r>
      <w:r w:rsidRPr="004000C5">
        <w:rPr>
          <w:color w:val="000000" w:themeColor="text1"/>
        </w:rPr>
        <w:lastRenderedPageBreak/>
        <w:t>Grund der geringen Beschriftungsfläche des Produktes oder aus Gründen der schlechten Lesbarkeit wegen Farbgleichheit von Produkt und Schrift auf Begleitmaterial ausgeführt werden.</w:t>
      </w:r>
    </w:p>
    <w:p w14:paraId="414B7CBF" w14:textId="77777777" w:rsidR="004000C5" w:rsidRPr="004000C5" w:rsidRDefault="004000C5" w:rsidP="004000C5">
      <w:pPr>
        <w:jc w:val="both"/>
        <w:rPr>
          <w:color w:val="000000" w:themeColor="text1"/>
        </w:rPr>
      </w:pPr>
    </w:p>
    <w:p w14:paraId="23547A99" w14:textId="77777777" w:rsidR="004000C5" w:rsidRPr="004000C5" w:rsidRDefault="004000C5" w:rsidP="004000C5">
      <w:pPr>
        <w:jc w:val="both"/>
        <w:rPr>
          <w:b/>
          <w:color w:val="000000" w:themeColor="text1"/>
        </w:rPr>
      </w:pPr>
      <w:r w:rsidRPr="004000C5">
        <w:rPr>
          <w:b/>
          <w:color w:val="000000" w:themeColor="text1"/>
        </w:rPr>
        <w:t>Beispiele für Bedienungs- und Sicherheitshinweise:</w:t>
      </w:r>
    </w:p>
    <w:p w14:paraId="7AF00D34"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Keine Adapter übereinander stecken.</w:t>
      </w:r>
    </w:p>
    <w:p w14:paraId="66378AFC"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Falls nicht genügend Steckplätze: Steckdosenleisten mit ausreichend Steckplätzen verwenden.</w:t>
      </w:r>
    </w:p>
    <w:p w14:paraId="7BDBD290"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Möglichst keine Netzteile/ maximal zwei normale Netzteile einstecken.</w:t>
      </w:r>
    </w:p>
    <w:p w14:paraId="3B29E988"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Warnung vor unzulässiger mechanischer Beanspruchung der Wandsteckdose.</w:t>
      </w:r>
    </w:p>
    <w:p w14:paraId="51F0CC9D" w14:textId="77777777" w:rsidR="004000C5" w:rsidRPr="004000C5" w:rsidRDefault="004000C5" w:rsidP="004000C5">
      <w:pPr>
        <w:numPr>
          <w:ilvl w:val="0"/>
          <w:numId w:val="27"/>
        </w:numPr>
        <w:ind w:left="284" w:hanging="284"/>
        <w:jc w:val="both"/>
        <w:rPr>
          <w:color w:val="000000" w:themeColor="text1"/>
        </w:rPr>
      </w:pPr>
      <w:r w:rsidRPr="004000C5">
        <w:rPr>
          <w:color w:val="000000" w:themeColor="text1"/>
        </w:rPr>
        <w:t>Nicht in Verbindung mit Zwischensteckern betreiben.</w:t>
      </w:r>
    </w:p>
    <w:p w14:paraId="06E5BFB6" w14:textId="77777777" w:rsidR="004000C5" w:rsidRPr="004000C5" w:rsidRDefault="004000C5" w:rsidP="004000C5">
      <w:pPr>
        <w:jc w:val="both"/>
        <w:rPr>
          <w:color w:val="000000" w:themeColor="text1"/>
        </w:rPr>
      </w:pPr>
    </w:p>
    <w:tbl>
      <w:tblPr>
        <w:tblStyle w:val="Tabellenraster"/>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87"/>
      </w:tblGrid>
      <w:tr w:rsidR="004000C5" w:rsidRPr="004000C5" w14:paraId="200A75EF" w14:textId="77777777" w:rsidTr="004000C5">
        <w:tc>
          <w:tcPr>
            <w:tcW w:w="4717" w:type="dxa"/>
            <w:tcBorders>
              <w:top w:val="single" w:sz="4" w:space="0" w:color="auto"/>
              <w:left w:val="single" w:sz="4" w:space="0" w:color="auto"/>
              <w:bottom w:val="single" w:sz="4" w:space="0" w:color="auto"/>
              <w:right w:val="single" w:sz="4" w:space="0" w:color="auto"/>
            </w:tcBorders>
          </w:tcPr>
          <w:p w14:paraId="36F85075" w14:textId="77777777" w:rsidR="004000C5" w:rsidRPr="004000C5" w:rsidRDefault="004000C5" w:rsidP="009A115E">
            <w:pPr>
              <w:rPr>
                <w:color w:val="000000" w:themeColor="text1"/>
              </w:rPr>
            </w:pPr>
            <w:r w:rsidRPr="004000C5">
              <w:rPr>
                <w:b/>
                <w:color w:val="000000" w:themeColor="text1"/>
              </w:rPr>
              <w:t>Beispiele für normkonforme Adapter</w:t>
            </w:r>
          </w:p>
        </w:tc>
        <w:tc>
          <w:tcPr>
            <w:tcW w:w="4922" w:type="dxa"/>
            <w:tcBorders>
              <w:top w:val="single" w:sz="4" w:space="0" w:color="auto"/>
              <w:left w:val="single" w:sz="4" w:space="0" w:color="auto"/>
              <w:bottom w:val="single" w:sz="4" w:space="0" w:color="auto"/>
              <w:right w:val="single" w:sz="4" w:space="0" w:color="auto"/>
            </w:tcBorders>
          </w:tcPr>
          <w:p w14:paraId="6F3359D7" w14:textId="77777777" w:rsidR="004000C5" w:rsidRPr="004000C5" w:rsidRDefault="004000C5" w:rsidP="009A115E">
            <w:pPr>
              <w:rPr>
                <w:color w:val="000000" w:themeColor="text1"/>
              </w:rPr>
            </w:pPr>
            <w:r w:rsidRPr="004000C5">
              <w:rPr>
                <w:b/>
                <w:color w:val="000000" w:themeColor="text1"/>
              </w:rPr>
              <w:t>Beispiele für Adapter die zu einer sicherheitstechnischen Gefährdung des Anwenders   führen können</w:t>
            </w:r>
          </w:p>
        </w:tc>
      </w:tr>
      <w:tr w:rsidR="004000C5" w:rsidRPr="004000C5" w14:paraId="4A2960C5" w14:textId="77777777" w:rsidTr="004000C5">
        <w:tc>
          <w:tcPr>
            <w:tcW w:w="4717" w:type="dxa"/>
            <w:tcBorders>
              <w:top w:val="single" w:sz="4" w:space="0" w:color="auto"/>
              <w:left w:val="single" w:sz="4" w:space="0" w:color="auto"/>
              <w:bottom w:val="single" w:sz="4" w:space="0" w:color="auto"/>
              <w:right w:val="single" w:sz="4" w:space="0" w:color="auto"/>
            </w:tcBorders>
            <w:vAlign w:val="center"/>
          </w:tcPr>
          <w:p w14:paraId="4C5B09CC" w14:textId="77777777" w:rsidR="004000C5" w:rsidRPr="004000C5" w:rsidRDefault="004000C5" w:rsidP="009A115E">
            <w:pPr>
              <w:jc w:val="center"/>
              <w:rPr>
                <w:color w:val="000000" w:themeColor="text1"/>
              </w:rPr>
            </w:pPr>
            <w:r w:rsidRPr="004000C5">
              <w:rPr>
                <w:noProof/>
                <w:color w:val="000000" w:themeColor="text1"/>
              </w:rPr>
              <w:drawing>
                <wp:inline distT="0" distB="0" distL="0" distR="0" wp14:anchorId="204CEDB9" wp14:editId="42488FCC">
                  <wp:extent cx="2880360" cy="4261104"/>
                  <wp:effectExtent l="0" t="0" r="0" b="6350"/>
                  <wp:docPr id="80229594" name="Grafik 1" descr="Ein Bild, das Text, Diagramm, Plan, technisch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29594" name="Grafik 1" descr="Ein Bild, das Text, Diagramm, Plan, technische Zeichnung enthält.&#10;&#10;Automatisch generierte Beschreibung"/>
                          <pic:cNvPicPr/>
                        </pic:nvPicPr>
                        <pic:blipFill>
                          <a:blip r:embed="rId11"/>
                          <a:stretch>
                            <a:fillRect/>
                          </a:stretch>
                        </pic:blipFill>
                        <pic:spPr>
                          <a:xfrm>
                            <a:off x="0" y="0"/>
                            <a:ext cx="2880360" cy="4261104"/>
                          </a:xfrm>
                          <a:prstGeom prst="rect">
                            <a:avLst/>
                          </a:prstGeom>
                        </pic:spPr>
                      </pic:pic>
                    </a:graphicData>
                  </a:graphic>
                </wp:inline>
              </w:drawing>
            </w:r>
          </w:p>
        </w:tc>
        <w:tc>
          <w:tcPr>
            <w:tcW w:w="4922" w:type="dxa"/>
            <w:tcBorders>
              <w:top w:val="single" w:sz="4" w:space="0" w:color="auto"/>
              <w:left w:val="single" w:sz="4" w:space="0" w:color="auto"/>
              <w:bottom w:val="single" w:sz="4" w:space="0" w:color="auto"/>
              <w:right w:val="single" w:sz="4" w:space="0" w:color="auto"/>
            </w:tcBorders>
            <w:vAlign w:val="center"/>
          </w:tcPr>
          <w:p w14:paraId="5B93A4E2" w14:textId="77777777" w:rsidR="004000C5" w:rsidRPr="004000C5" w:rsidRDefault="004000C5" w:rsidP="009A115E">
            <w:pPr>
              <w:jc w:val="center"/>
              <w:rPr>
                <w:color w:val="000000" w:themeColor="text1"/>
              </w:rPr>
            </w:pPr>
            <w:r w:rsidRPr="004000C5">
              <w:rPr>
                <w:noProof/>
                <w:color w:val="000000" w:themeColor="text1"/>
              </w:rPr>
              <w:drawing>
                <wp:inline distT="0" distB="0" distL="0" distR="0" wp14:anchorId="74C16AC9" wp14:editId="3B2A8D84">
                  <wp:extent cx="2898648" cy="4261104"/>
                  <wp:effectExtent l="0" t="0" r="0" b="6350"/>
                  <wp:docPr id="321323873" name="Grafik 1" descr="Ein Bild, das Text, Diagramm, Screenshot, parall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323873" name="Grafik 1" descr="Ein Bild, das Text, Diagramm, Screenshot, parallel enthält.&#10;&#10;Automatisch generierte Beschreibung"/>
                          <pic:cNvPicPr/>
                        </pic:nvPicPr>
                        <pic:blipFill>
                          <a:blip r:embed="rId12"/>
                          <a:stretch>
                            <a:fillRect/>
                          </a:stretch>
                        </pic:blipFill>
                        <pic:spPr>
                          <a:xfrm>
                            <a:off x="0" y="0"/>
                            <a:ext cx="2898648" cy="4261104"/>
                          </a:xfrm>
                          <a:prstGeom prst="rect">
                            <a:avLst/>
                          </a:prstGeom>
                        </pic:spPr>
                      </pic:pic>
                    </a:graphicData>
                  </a:graphic>
                </wp:inline>
              </w:drawing>
            </w:r>
          </w:p>
        </w:tc>
      </w:tr>
      <w:tr w:rsidR="004000C5" w14:paraId="2B9817B4" w14:textId="77777777" w:rsidTr="004000C5">
        <w:tc>
          <w:tcPr>
            <w:tcW w:w="9639" w:type="dxa"/>
            <w:gridSpan w:val="2"/>
            <w:tcBorders>
              <w:top w:val="single" w:sz="4" w:space="0" w:color="auto"/>
            </w:tcBorders>
            <w:vAlign w:val="center"/>
          </w:tcPr>
          <w:p w14:paraId="30724A45" w14:textId="74883655" w:rsidR="004000C5" w:rsidRPr="004000C5" w:rsidRDefault="004000C5" w:rsidP="004000C5">
            <w:pPr>
              <w:rPr>
                <w:i/>
                <w:iCs/>
                <w:sz w:val="20"/>
              </w:rPr>
            </w:pPr>
            <w:r w:rsidRPr="004000C5">
              <w:rPr>
                <w:i/>
                <w:iCs/>
                <w:sz w:val="20"/>
              </w:rPr>
              <w:t>Quelle: Allgemeine Sicherheitskriterien für Adapter Leitfaden für Hersteller, Inverkehrbringer und Marktaufsicht; Stand: Dezember 2007</w:t>
            </w:r>
          </w:p>
        </w:tc>
      </w:tr>
      <w:bookmarkEnd w:id="0"/>
    </w:tbl>
    <w:p w14:paraId="317E92D7" w14:textId="45C42FAC" w:rsidR="006C72F5" w:rsidRPr="00AB6F4F" w:rsidRDefault="006C72F5" w:rsidP="00F50532">
      <w:pPr>
        <w:contextualSpacing/>
        <w:rPr>
          <w:color w:val="000000" w:themeColor="text1"/>
        </w:rPr>
      </w:pPr>
    </w:p>
    <w:sectPr w:rsidR="006C72F5" w:rsidRPr="00AB6F4F" w:rsidSect="006270A4">
      <w:headerReference w:type="default" r:id="rId13"/>
      <w:footerReference w:type="default" r:id="rId14"/>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1CC2" w14:textId="77777777" w:rsidR="006270A4" w:rsidRDefault="006270A4">
      <w:r>
        <w:separator/>
      </w:r>
    </w:p>
  </w:endnote>
  <w:endnote w:type="continuationSeparator" w:id="0">
    <w:p w14:paraId="66342B8B" w14:textId="77777777" w:rsidR="006270A4" w:rsidRDefault="0062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1A664579"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1916F7C7" w:rsidR="00413A01" w:rsidRPr="004C1C05" w:rsidRDefault="006C0D69" w:rsidP="00413A01">
          <w:pPr>
            <w:pStyle w:val="Fuzeile"/>
            <w:ind w:right="-83"/>
            <w:rPr>
              <w:sz w:val="16"/>
              <w:szCs w:val="16"/>
            </w:rPr>
          </w:pPr>
          <w:r>
            <w:rPr>
              <w:sz w:val="16"/>
              <w:szCs w:val="16"/>
            </w:rPr>
            <w:t>01.</w:t>
          </w:r>
          <w:r w:rsidR="00AB6F4F">
            <w:rPr>
              <w:sz w:val="16"/>
              <w:szCs w:val="16"/>
            </w:rPr>
            <w:t>0</w:t>
          </w:r>
          <w:r w:rsidR="004000C5">
            <w:rPr>
              <w:sz w:val="16"/>
              <w:szCs w:val="16"/>
            </w:rPr>
            <w:t>3</w:t>
          </w:r>
          <w:r w:rsidR="00413A01">
            <w:rPr>
              <w:sz w:val="16"/>
              <w:szCs w:val="16"/>
            </w:rPr>
            <w:t>.202</w:t>
          </w:r>
          <w:r w:rsidR="00AB6F4F">
            <w:rPr>
              <w:sz w:val="16"/>
              <w:szCs w:val="16"/>
            </w:rPr>
            <w:t>4</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F69D" w14:textId="77777777" w:rsidR="006270A4" w:rsidRDefault="006270A4">
      <w:r>
        <w:separator/>
      </w:r>
    </w:p>
  </w:footnote>
  <w:footnote w:type="continuationSeparator" w:id="0">
    <w:p w14:paraId="47D4A1F3" w14:textId="77777777" w:rsidR="006270A4" w:rsidRDefault="006270A4">
      <w:r>
        <w:continuationSeparator/>
      </w:r>
    </w:p>
  </w:footnote>
  <w:footnote w:id="1">
    <w:p w14:paraId="6A83DB64" w14:textId="74483ACD" w:rsidR="004000C5" w:rsidRPr="004000C5" w:rsidRDefault="004000C5" w:rsidP="004000C5">
      <w:pPr>
        <w:pStyle w:val="Funotentext"/>
        <w:rPr>
          <w:i/>
          <w:iCs/>
          <w:color w:val="000000" w:themeColor="text1"/>
        </w:rPr>
      </w:pPr>
      <w:r w:rsidRPr="004000C5">
        <w:rPr>
          <w:rStyle w:val="Funotenzeichen"/>
          <w:i/>
          <w:iCs/>
        </w:rPr>
        <w:footnoteRef/>
      </w:r>
      <w:r w:rsidRPr="004000C5">
        <w:rPr>
          <w:i/>
          <w:iCs/>
        </w:rPr>
        <w:t xml:space="preserve"> Quelle: </w:t>
      </w:r>
      <w:r w:rsidRPr="004000C5">
        <w:rPr>
          <w:i/>
          <w:iCs/>
          <w:color w:val="000000" w:themeColor="text1"/>
        </w:rPr>
        <w:t>VDE 0620-2-1:2021-0</w:t>
      </w:r>
      <w:r>
        <w:rPr>
          <w:i/>
          <w:iCs/>
          <w:color w:val="000000" w:themeColor="text1"/>
        </w:rPr>
        <w:t xml:space="preserve">2, </w:t>
      </w:r>
      <w:r w:rsidRPr="004000C5">
        <w:rPr>
          <w:i/>
          <w:iCs/>
          <w:color w:val="000000" w:themeColor="text1"/>
        </w:rPr>
        <w:t>Stecker und Steckdosen für den Hausgebrauch und ähnliche Anwendungen</w:t>
      </w:r>
      <w:r>
        <w:rPr>
          <w:i/>
          <w:iCs/>
          <w:color w:val="000000" w:themeColor="text1"/>
        </w:rPr>
        <w:t xml:space="preserve"> </w:t>
      </w:r>
      <w:r w:rsidRPr="004000C5">
        <w:rPr>
          <w:i/>
          <w:iCs/>
          <w:color w:val="000000" w:themeColor="text1"/>
        </w:rPr>
        <w:t>Teil 2-1: Allgemeine Anforderungen an Stecker und Kupplungsdosen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6212FE51"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59F8917C" w:rsidR="004F0DC2" w:rsidRPr="00E21DC0" w:rsidRDefault="004F0DC2" w:rsidP="004F0DC2">
          <w:pPr>
            <w:jc w:val="center"/>
          </w:pPr>
          <w:r w:rsidRPr="00E21DC0">
            <w:rPr>
              <w:b/>
            </w:rPr>
            <w:t>UW_ET_</w:t>
          </w:r>
          <w:r w:rsidR="00CE7FDB">
            <w:rPr>
              <w:b/>
            </w:rPr>
            <w:t>10</w:t>
          </w:r>
          <w:r w:rsidR="004000C5">
            <w:rPr>
              <w:b/>
            </w:rPr>
            <w:t>3</w:t>
          </w:r>
        </w:p>
      </w:tc>
      <w:tc>
        <w:tcPr>
          <w:tcW w:w="5026" w:type="dxa"/>
          <w:vAlign w:val="center"/>
        </w:tcPr>
        <w:p w14:paraId="63D167E9" w14:textId="3A125379" w:rsidR="004F0DC2" w:rsidRPr="00B2005A" w:rsidRDefault="004000C5" w:rsidP="00B5221D">
          <w:pPr>
            <w:jc w:val="center"/>
            <w:rPr>
              <w:sz w:val="28"/>
              <w:szCs w:val="28"/>
            </w:rPr>
          </w:pPr>
          <w:r w:rsidRPr="004000C5">
            <w:rPr>
              <w:sz w:val="28"/>
              <w:szCs w:val="28"/>
            </w:rPr>
            <w:t>Adapter</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4B73"/>
    <w:multiLevelType w:val="hybridMultilevel"/>
    <w:tmpl w:val="A9187FDE"/>
    <w:lvl w:ilvl="0" w:tplc="21DA20F2">
      <w:start w:val="1"/>
      <w:numFmt w:val="bullet"/>
      <w:lvlText w:val=""/>
      <w:lvlJc w:val="left"/>
      <w:pPr>
        <w:ind w:left="786" w:hanging="360"/>
      </w:pPr>
      <w:rPr>
        <w:rFonts w:ascii="Wingdings" w:hAnsi="Wingdings" w:hint="default"/>
        <w:color w:val="00001F"/>
      </w:rPr>
    </w:lvl>
    <w:lvl w:ilvl="1" w:tplc="286E6F92" w:tentative="1">
      <w:start w:val="1"/>
      <w:numFmt w:val="bullet"/>
      <w:lvlText w:val="o"/>
      <w:lvlJc w:val="left"/>
      <w:pPr>
        <w:ind w:left="1506" w:hanging="360"/>
      </w:pPr>
      <w:rPr>
        <w:rFonts w:ascii="Courier New" w:hAnsi="Courier New" w:cs="Courier New" w:hint="default"/>
      </w:rPr>
    </w:lvl>
    <w:lvl w:ilvl="2" w:tplc="B2D89F42" w:tentative="1">
      <w:start w:val="1"/>
      <w:numFmt w:val="bullet"/>
      <w:lvlText w:val=""/>
      <w:lvlJc w:val="left"/>
      <w:pPr>
        <w:ind w:left="2226" w:hanging="360"/>
      </w:pPr>
      <w:rPr>
        <w:rFonts w:ascii="Wingdings" w:hAnsi="Wingdings" w:hint="default"/>
      </w:rPr>
    </w:lvl>
    <w:lvl w:ilvl="3" w:tplc="2F948746" w:tentative="1">
      <w:start w:val="1"/>
      <w:numFmt w:val="bullet"/>
      <w:lvlText w:val=""/>
      <w:lvlJc w:val="left"/>
      <w:pPr>
        <w:ind w:left="2946" w:hanging="360"/>
      </w:pPr>
      <w:rPr>
        <w:rFonts w:ascii="Symbol" w:hAnsi="Symbol" w:hint="default"/>
      </w:rPr>
    </w:lvl>
    <w:lvl w:ilvl="4" w:tplc="1D2225AA" w:tentative="1">
      <w:start w:val="1"/>
      <w:numFmt w:val="bullet"/>
      <w:lvlText w:val="o"/>
      <w:lvlJc w:val="left"/>
      <w:pPr>
        <w:ind w:left="3666" w:hanging="360"/>
      </w:pPr>
      <w:rPr>
        <w:rFonts w:ascii="Courier New" w:hAnsi="Courier New" w:cs="Courier New" w:hint="default"/>
      </w:rPr>
    </w:lvl>
    <w:lvl w:ilvl="5" w:tplc="6F94F28A" w:tentative="1">
      <w:start w:val="1"/>
      <w:numFmt w:val="bullet"/>
      <w:lvlText w:val=""/>
      <w:lvlJc w:val="left"/>
      <w:pPr>
        <w:ind w:left="4386" w:hanging="360"/>
      </w:pPr>
      <w:rPr>
        <w:rFonts w:ascii="Wingdings" w:hAnsi="Wingdings" w:hint="default"/>
      </w:rPr>
    </w:lvl>
    <w:lvl w:ilvl="6" w:tplc="25D0283C" w:tentative="1">
      <w:start w:val="1"/>
      <w:numFmt w:val="bullet"/>
      <w:lvlText w:val=""/>
      <w:lvlJc w:val="left"/>
      <w:pPr>
        <w:ind w:left="5106" w:hanging="360"/>
      </w:pPr>
      <w:rPr>
        <w:rFonts w:ascii="Symbol" w:hAnsi="Symbol" w:hint="default"/>
      </w:rPr>
    </w:lvl>
    <w:lvl w:ilvl="7" w:tplc="0AF815F2" w:tentative="1">
      <w:start w:val="1"/>
      <w:numFmt w:val="bullet"/>
      <w:lvlText w:val="o"/>
      <w:lvlJc w:val="left"/>
      <w:pPr>
        <w:ind w:left="5826" w:hanging="360"/>
      </w:pPr>
      <w:rPr>
        <w:rFonts w:ascii="Courier New" w:hAnsi="Courier New" w:cs="Courier New" w:hint="default"/>
      </w:rPr>
    </w:lvl>
    <w:lvl w:ilvl="8" w:tplc="2DCEB0FC" w:tentative="1">
      <w:start w:val="1"/>
      <w:numFmt w:val="bullet"/>
      <w:lvlText w:val=""/>
      <w:lvlJc w:val="left"/>
      <w:pPr>
        <w:ind w:left="6546" w:hanging="360"/>
      </w:pPr>
      <w:rPr>
        <w:rFonts w:ascii="Wingdings" w:hAnsi="Wingdings" w:hint="default"/>
      </w:rPr>
    </w:lvl>
  </w:abstractNum>
  <w:abstractNum w:abstractNumId="2" w15:restartNumberingAfterBreak="0">
    <w:nsid w:val="04B53C55"/>
    <w:multiLevelType w:val="hybridMultilevel"/>
    <w:tmpl w:val="8D4E5D1A"/>
    <w:lvl w:ilvl="0" w:tplc="B0821798">
      <w:numFmt w:val="bullet"/>
      <w:lvlText w:val="•"/>
      <w:lvlJc w:val="left"/>
      <w:pPr>
        <w:ind w:left="1080" w:hanging="360"/>
      </w:pPr>
      <w:rPr>
        <w:rFonts w:ascii="Arial" w:eastAsia="Times New Roman" w:hAnsi="Arial" w:cs="Arial" w:hint="default"/>
        <w:color w:val="00001F"/>
      </w:rPr>
    </w:lvl>
    <w:lvl w:ilvl="1" w:tplc="73C4C60A" w:tentative="1">
      <w:start w:val="1"/>
      <w:numFmt w:val="bullet"/>
      <w:lvlText w:val="o"/>
      <w:lvlJc w:val="left"/>
      <w:pPr>
        <w:ind w:left="1800" w:hanging="360"/>
      </w:pPr>
      <w:rPr>
        <w:rFonts w:ascii="Courier New" w:hAnsi="Courier New" w:cs="Courier New" w:hint="default"/>
      </w:rPr>
    </w:lvl>
    <w:lvl w:ilvl="2" w:tplc="EBAA8B72" w:tentative="1">
      <w:start w:val="1"/>
      <w:numFmt w:val="bullet"/>
      <w:lvlText w:val=""/>
      <w:lvlJc w:val="left"/>
      <w:pPr>
        <w:ind w:left="2520" w:hanging="360"/>
      </w:pPr>
      <w:rPr>
        <w:rFonts w:ascii="Wingdings" w:hAnsi="Wingdings" w:hint="default"/>
      </w:rPr>
    </w:lvl>
    <w:lvl w:ilvl="3" w:tplc="39781A16" w:tentative="1">
      <w:start w:val="1"/>
      <w:numFmt w:val="bullet"/>
      <w:lvlText w:val=""/>
      <w:lvlJc w:val="left"/>
      <w:pPr>
        <w:ind w:left="3240" w:hanging="360"/>
      </w:pPr>
      <w:rPr>
        <w:rFonts w:ascii="Symbol" w:hAnsi="Symbol" w:hint="default"/>
      </w:rPr>
    </w:lvl>
    <w:lvl w:ilvl="4" w:tplc="10945A36" w:tentative="1">
      <w:start w:val="1"/>
      <w:numFmt w:val="bullet"/>
      <w:lvlText w:val="o"/>
      <w:lvlJc w:val="left"/>
      <w:pPr>
        <w:ind w:left="3960" w:hanging="360"/>
      </w:pPr>
      <w:rPr>
        <w:rFonts w:ascii="Courier New" w:hAnsi="Courier New" w:cs="Courier New" w:hint="default"/>
      </w:rPr>
    </w:lvl>
    <w:lvl w:ilvl="5" w:tplc="4E126816" w:tentative="1">
      <w:start w:val="1"/>
      <w:numFmt w:val="bullet"/>
      <w:lvlText w:val=""/>
      <w:lvlJc w:val="left"/>
      <w:pPr>
        <w:ind w:left="4680" w:hanging="360"/>
      </w:pPr>
      <w:rPr>
        <w:rFonts w:ascii="Wingdings" w:hAnsi="Wingdings" w:hint="default"/>
      </w:rPr>
    </w:lvl>
    <w:lvl w:ilvl="6" w:tplc="7DC2E502" w:tentative="1">
      <w:start w:val="1"/>
      <w:numFmt w:val="bullet"/>
      <w:lvlText w:val=""/>
      <w:lvlJc w:val="left"/>
      <w:pPr>
        <w:ind w:left="5400" w:hanging="360"/>
      </w:pPr>
      <w:rPr>
        <w:rFonts w:ascii="Symbol" w:hAnsi="Symbol" w:hint="default"/>
      </w:rPr>
    </w:lvl>
    <w:lvl w:ilvl="7" w:tplc="0FCC7048" w:tentative="1">
      <w:start w:val="1"/>
      <w:numFmt w:val="bullet"/>
      <w:lvlText w:val="o"/>
      <w:lvlJc w:val="left"/>
      <w:pPr>
        <w:ind w:left="6120" w:hanging="360"/>
      </w:pPr>
      <w:rPr>
        <w:rFonts w:ascii="Courier New" w:hAnsi="Courier New" w:cs="Courier New" w:hint="default"/>
      </w:rPr>
    </w:lvl>
    <w:lvl w:ilvl="8" w:tplc="D6CCD780" w:tentative="1">
      <w:start w:val="1"/>
      <w:numFmt w:val="bullet"/>
      <w:lvlText w:val=""/>
      <w:lvlJc w:val="left"/>
      <w:pPr>
        <w:ind w:left="6840" w:hanging="360"/>
      </w:pPr>
      <w:rPr>
        <w:rFonts w:ascii="Wingdings" w:hAnsi="Wingdings" w:hint="default"/>
      </w:rPr>
    </w:lvl>
  </w:abstractNum>
  <w:abstractNum w:abstractNumId="3"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4" w15:restartNumberingAfterBreak="0">
    <w:nsid w:val="18F64326"/>
    <w:multiLevelType w:val="hybridMultilevel"/>
    <w:tmpl w:val="E8CC62B8"/>
    <w:lvl w:ilvl="0" w:tplc="239C6434">
      <w:start w:val="26"/>
      <w:numFmt w:val="bullet"/>
      <w:lvlText w:val="-"/>
      <w:lvlJc w:val="left"/>
      <w:pPr>
        <w:ind w:left="1065" w:hanging="360"/>
      </w:pPr>
      <w:rPr>
        <w:rFonts w:ascii="Arial" w:eastAsia="Calibri" w:hAnsi="Arial" w:cs="Arial" w:hint="default"/>
      </w:rPr>
    </w:lvl>
    <w:lvl w:ilvl="1" w:tplc="7A103684" w:tentative="1">
      <w:start w:val="1"/>
      <w:numFmt w:val="bullet"/>
      <w:lvlText w:val="o"/>
      <w:lvlJc w:val="left"/>
      <w:pPr>
        <w:ind w:left="1785" w:hanging="360"/>
      </w:pPr>
      <w:rPr>
        <w:rFonts w:ascii="Courier New" w:hAnsi="Courier New" w:cs="Courier New" w:hint="default"/>
      </w:rPr>
    </w:lvl>
    <w:lvl w:ilvl="2" w:tplc="AFC214BE" w:tentative="1">
      <w:start w:val="1"/>
      <w:numFmt w:val="bullet"/>
      <w:lvlText w:val=""/>
      <w:lvlJc w:val="left"/>
      <w:pPr>
        <w:ind w:left="2505" w:hanging="360"/>
      </w:pPr>
      <w:rPr>
        <w:rFonts w:ascii="Wingdings" w:hAnsi="Wingdings" w:hint="default"/>
      </w:rPr>
    </w:lvl>
    <w:lvl w:ilvl="3" w:tplc="05ACD452" w:tentative="1">
      <w:start w:val="1"/>
      <w:numFmt w:val="bullet"/>
      <w:lvlText w:val=""/>
      <w:lvlJc w:val="left"/>
      <w:pPr>
        <w:ind w:left="3225" w:hanging="360"/>
      </w:pPr>
      <w:rPr>
        <w:rFonts w:ascii="Symbol" w:hAnsi="Symbol" w:hint="default"/>
      </w:rPr>
    </w:lvl>
    <w:lvl w:ilvl="4" w:tplc="FC96C9BA" w:tentative="1">
      <w:start w:val="1"/>
      <w:numFmt w:val="bullet"/>
      <w:lvlText w:val="o"/>
      <w:lvlJc w:val="left"/>
      <w:pPr>
        <w:ind w:left="3945" w:hanging="360"/>
      </w:pPr>
      <w:rPr>
        <w:rFonts w:ascii="Courier New" w:hAnsi="Courier New" w:cs="Courier New" w:hint="default"/>
      </w:rPr>
    </w:lvl>
    <w:lvl w:ilvl="5" w:tplc="677A2ED2" w:tentative="1">
      <w:start w:val="1"/>
      <w:numFmt w:val="bullet"/>
      <w:lvlText w:val=""/>
      <w:lvlJc w:val="left"/>
      <w:pPr>
        <w:ind w:left="4665" w:hanging="360"/>
      </w:pPr>
      <w:rPr>
        <w:rFonts w:ascii="Wingdings" w:hAnsi="Wingdings" w:hint="default"/>
      </w:rPr>
    </w:lvl>
    <w:lvl w:ilvl="6" w:tplc="B44C7E1E" w:tentative="1">
      <w:start w:val="1"/>
      <w:numFmt w:val="bullet"/>
      <w:lvlText w:val=""/>
      <w:lvlJc w:val="left"/>
      <w:pPr>
        <w:ind w:left="5385" w:hanging="360"/>
      </w:pPr>
      <w:rPr>
        <w:rFonts w:ascii="Symbol" w:hAnsi="Symbol" w:hint="default"/>
      </w:rPr>
    </w:lvl>
    <w:lvl w:ilvl="7" w:tplc="DA70ADFA" w:tentative="1">
      <w:start w:val="1"/>
      <w:numFmt w:val="bullet"/>
      <w:lvlText w:val="o"/>
      <w:lvlJc w:val="left"/>
      <w:pPr>
        <w:ind w:left="6105" w:hanging="360"/>
      </w:pPr>
      <w:rPr>
        <w:rFonts w:ascii="Courier New" w:hAnsi="Courier New" w:cs="Courier New" w:hint="default"/>
      </w:rPr>
    </w:lvl>
    <w:lvl w:ilvl="8" w:tplc="C25CDBA8" w:tentative="1">
      <w:start w:val="1"/>
      <w:numFmt w:val="bullet"/>
      <w:lvlText w:val=""/>
      <w:lvlJc w:val="left"/>
      <w:pPr>
        <w:ind w:left="6825" w:hanging="360"/>
      </w:pPr>
      <w:rPr>
        <w:rFonts w:ascii="Wingdings" w:hAnsi="Wingdings" w:hint="default"/>
      </w:rPr>
    </w:lvl>
  </w:abstractNum>
  <w:abstractNum w:abstractNumId="5" w15:restartNumberingAfterBreak="0">
    <w:nsid w:val="194C232F"/>
    <w:multiLevelType w:val="hybridMultilevel"/>
    <w:tmpl w:val="DF9A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8E42F3"/>
    <w:multiLevelType w:val="hybridMultilevel"/>
    <w:tmpl w:val="7D6E52B4"/>
    <w:lvl w:ilvl="0" w:tplc="F702965E">
      <w:numFmt w:val="bullet"/>
      <w:lvlText w:val="-"/>
      <w:lvlJc w:val="left"/>
      <w:pPr>
        <w:ind w:left="1068" w:hanging="360"/>
      </w:pPr>
      <w:rPr>
        <w:rFonts w:ascii="Arial" w:eastAsia="Times New Roman" w:hAnsi="Arial" w:cs="Arial" w:hint="default"/>
        <w:color w:val="000000" w:themeColor="text1"/>
      </w:rPr>
    </w:lvl>
    <w:lvl w:ilvl="1" w:tplc="269C914E" w:tentative="1">
      <w:start w:val="1"/>
      <w:numFmt w:val="bullet"/>
      <w:lvlText w:val="o"/>
      <w:lvlJc w:val="left"/>
      <w:pPr>
        <w:ind w:left="1788" w:hanging="360"/>
      </w:pPr>
      <w:rPr>
        <w:rFonts w:ascii="Courier New" w:hAnsi="Courier New" w:cs="Courier New" w:hint="default"/>
      </w:rPr>
    </w:lvl>
    <w:lvl w:ilvl="2" w:tplc="EB3AACF0" w:tentative="1">
      <w:start w:val="1"/>
      <w:numFmt w:val="bullet"/>
      <w:lvlText w:val=""/>
      <w:lvlJc w:val="left"/>
      <w:pPr>
        <w:ind w:left="2508" w:hanging="360"/>
      </w:pPr>
      <w:rPr>
        <w:rFonts w:ascii="Wingdings" w:hAnsi="Wingdings" w:hint="default"/>
      </w:rPr>
    </w:lvl>
    <w:lvl w:ilvl="3" w:tplc="0C625622" w:tentative="1">
      <w:start w:val="1"/>
      <w:numFmt w:val="bullet"/>
      <w:lvlText w:val=""/>
      <w:lvlJc w:val="left"/>
      <w:pPr>
        <w:ind w:left="3228" w:hanging="360"/>
      </w:pPr>
      <w:rPr>
        <w:rFonts w:ascii="Symbol" w:hAnsi="Symbol" w:hint="default"/>
      </w:rPr>
    </w:lvl>
    <w:lvl w:ilvl="4" w:tplc="A9800B52" w:tentative="1">
      <w:start w:val="1"/>
      <w:numFmt w:val="bullet"/>
      <w:lvlText w:val="o"/>
      <w:lvlJc w:val="left"/>
      <w:pPr>
        <w:ind w:left="3948" w:hanging="360"/>
      </w:pPr>
      <w:rPr>
        <w:rFonts w:ascii="Courier New" w:hAnsi="Courier New" w:cs="Courier New" w:hint="default"/>
      </w:rPr>
    </w:lvl>
    <w:lvl w:ilvl="5" w:tplc="9C561246" w:tentative="1">
      <w:start w:val="1"/>
      <w:numFmt w:val="bullet"/>
      <w:lvlText w:val=""/>
      <w:lvlJc w:val="left"/>
      <w:pPr>
        <w:ind w:left="4668" w:hanging="360"/>
      </w:pPr>
      <w:rPr>
        <w:rFonts w:ascii="Wingdings" w:hAnsi="Wingdings" w:hint="default"/>
      </w:rPr>
    </w:lvl>
    <w:lvl w:ilvl="6" w:tplc="7F30E19A" w:tentative="1">
      <w:start w:val="1"/>
      <w:numFmt w:val="bullet"/>
      <w:lvlText w:val=""/>
      <w:lvlJc w:val="left"/>
      <w:pPr>
        <w:ind w:left="5388" w:hanging="360"/>
      </w:pPr>
      <w:rPr>
        <w:rFonts w:ascii="Symbol" w:hAnsi="Symbol" w:hint="default"/>
      </w:rPr>
    </w:lvl>
    <w:lvl w:ilvl="7" w:tplc="71A68AD0" w:tentative="1">
      <w:start w:val="1"/>
      <w:numFmt w:val="bullet"/>
      <w:lvlText w:val="o"/>
      <w:lvlJc w:val="left"/>
      <w:pPr>
        <w:ind w:left="6108" w:hanging="360"/>
      </w:pPr>
      <w:rPr>
        <w:rFonts w:ascii="Courier New" w:hAnsi="Courier New" w:cs="Courier New" w:hint="default"/>
      </w:rPr>
    </w:lvl>
    <w:lvl w:ilvl="8" w:tplc="C366AEC4" w:tentative="1">
      <w:start w:val="1"/>
      <w:numFmt w:val="bullet"/>
      <w:lvlText w:val=""/>
      <w:lvlJc w:val="left"/>
      <w:pPr>
        <w:ind w:left="6828" w:hanging="360"/>
      </w:pPr>
      <w:rPr>
        <w:rFonts w:ascii="Wingdings" w:hAnsi="Wingdings" w:hint="default"/>
      </w:rPr>
    </w:lvl>
  </w:abstractNum>
  <w:abstractNum w:abstractNumId="8"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EA3EE1"/>
    <w:multiLevelType w:val="hybridMultilevel"/>
    <w:tmpl w:val="02C8F18E"/>
    <w:lvl w:ilvl="0" w:tplc="0EF636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DC1BDF"/>
    <w:multiLevelType w:val="hybridMultilevel"/>
    <w:tmpl w:val="8CC283E8"/>
    <w:lvl w:ilvl="0" w:tplc="280842A4">
      <w:start w:val="1"/>
      <w:numFmt w:val="bullet"/>
      <w:lvlText w:val=""/>
      <w:lvlJc w:val="left"/>
      <w:pPr>
        <w:ind w:left="720" w:hanging="360"/>
      </w:pPr>
      <w:rPr>
        <w:rFonts w:ascii="Symbol" w:hAnsi="Symbol" w:hint="default"/>
      </w:rPr>
    </w:lvl>
    <w:lvl w:ilvl="1" w:tplc="0FD23C3C" w:tentative="1">
      <w:start w:val="1"/>
      <w:numFmt w:val="bullet"/>
      <w:lvlText w:val="o"/>
      <w:lvlJc w:val="left"/>
      <w:pPr>
        <w:ind w:left="1440" w:hanging="360"/>
      </w:pPr>
      <w:rPr>
        <w:rFonts w:ascii="Courier New" w:hAnsi="Courier New" w:cs="Courier New" w:hint="default"/>
      </w:rPr>
    </w:lvl>
    <w:lvl w:ilvl="2" w:tplc="4970AF06" w:tentative="1">
      <w:start w:val="1"/>
      <w:numFmt w:val="bullet"/>
      <w:lvlText w:val=""/>
      <w:lvlJc w:val="left"/>
      <w:pPr>
        <w:ind w:left="2160" w:hanging="360"/>
      </w:pPr>
      <w:rPr>
        <w:rFonts w:ascii="Wingdings" w:hAnsi="Wingdings" w:hint="default"/>
      </w:rPr>
    </w:lvl>
    <w:lvl w:ilvl="3" w:tplc="036244A6" w:tentative="1">
      <w:start w:val="1"/>
      <w:numFmt w:val="bullet"/>
      <w:lvlText w:val=""/>
      <w:lvlJc w:val="left"/>
      <w:pPr>
        <w:ind w:left="2880" w:hanging="360"/>
      </w:pPr>
      <w:rPr>
        <w:rFonts w:ascii="Symbol" w:hAnsi="Symbol" w:hint="default"/>
      </w:rPr>
    </w:lvl>
    <w:lvl w:ilvl="4" w:tplc="FCA275AA" w:tentative="1">
      <w:start w:val="1"/>
      <w:numFmt w:val="bullet"/>
      <w:lvlText w:val="o"/>
      <w:lvlJc w:val="left"/>
      <w:pPr>
        <w:ind w:left="3600" w:hanging="360"/>
      </w:pPr>
      <w:rPr>
        <w:rFonts w:ascii="Courier New" w:hAnsi="Courier New" w:cs="Courier New" w:hint="default"/>
      </w:rPr>
    </w:lvl>
    <w:lvl w:ilvl="5" w:tplc="5D9C7D0C" w:tentative="1">
      <w:start w:val="1"/>
      <w:numFmt w:val="bullet"/>
      <w:lvlText w:val=""/>
      <w:lvlJc w:val="left"/>
      <w:pPr>
        <w:ind w:left="4320" w:hanging="360"/>
      </w:pPr>
      <w:rPr>
        <w:rFonts w:ascii="Wingdings" w:hAnsi="Wingdings" w:hint="default"/>
      </w:rPr>
    </w:lvl>
    <w:lvl w:ilvl="6" w:tplc="B494045C" w:tentative="1">
      <w:start w:val="1"/>
      <w:numFmt w:val="bullet"/>
      <w:lvlText w:val=""/>
      <w:lvlJc w:val="left"/>
      <w:pPr>
        <w:ind w:left="5040" w:hanging="360"/>
      </w:pPr>
      <w:rPr>
        <w:rFonts w:ascii="Symbol" w:hAnsi="Symbol" w:hint="default"/>
      </w:rPr>
    </w:lvl>
    <w:lvl w:ilvl="7" w:tplc="B978DC44" w:tentative="1">
      <w:start w:val="1"/>
      <w:numFmt w:val="bullet"/>
      <w:lvlText w:val="o"/>
      <w:lvlJc w:val="left"/>
      <w:pPr>
        <w:ind w:left="5760" w:hanging="360"/>
      </w:pPr>
      <w:rPr>
        <w:rFonts w:ascii="Courier New" w:hAnsi="Courier New" w:cs="Courier New" w:hint="default"/>
      </w:rPr>
    </w:lvl>
    <w:lvl w:ilvl="8" w:tplc="A9A4717A" w:tentative="1">
      <w:start w:val="1"/>
      <w:numFmt w:val="bullet"/>
      <w:lvlText w:val=""/>
      <w:lvlJc w:val="left"/>
      <w:pPr>
        <w:ind w:left="6480" w:hanging="360"/>
      </w:pPr>
      <w:rPr>
        <w:rFonts w:ascii="Wingdings" w:hAnsi="Wingdings" w:hint="default"/>
      </w:rPr>
    </w:lvl>
  </w:abstractNum>
  <w:abstractNum w:abstractNumId="13" w15:restartNumberingAfterBreak="0">
    <w:nsid w:val="2F452577"/>
    <w:multiLevelType w:val="hybridMultilevel"/>
    <w:tmpl w:val="DCDA44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32BCA"/>
    <w:multiLevelType w:val="hybridMultilevel"/>
    <w:tmpl w:val="C81EDCC2"/>
    <w:lvl w:ilvl="0" w:tplc="FB7C7242">
      <w:start w:val="1"/>
      <w:numFmt w:val="bullet"/>
      <w:lvlText w:val=""/>
      <w:lvlJc w:val="left"/>
      <w:pPr>
        <w:ind w:left="720" w:hanging="360"/>
      </w:pPr>
      <w:rPr>
        <w:rFonts w:ascii="Symbol" w:hAnsi="Symbol" w:hint="default"/>
      </w:rPr>
    </w:lvl>
    <w:lvl w:ilvl="1" w:tplc="E83A7E6A">
      <w:start w:val="1"/>
      <w:numFmt w:val="bullet"/>
      <w:lvlText w:val="o"/>
      <w:lvlJc w:val="left"/>
      <w:pPr>
        <w:ind w:left="1440" w:hanging="360"/>
      </w:pPr>
      <w:rPr>
        <w:rFonts w:ascii="Courier New" w:hAnsi="Courier New" w:cs="Courier New" w:hint="default"/>
      </w:rPr>
    </w:lvl>
    <w:lvl w:ilvl="2" w:tplc="0884217A" w:tentative="1">
      <w:start w:val="1"/>
      <w:numFmt w:val="bullet"/>
      <w:lvlText w:val=""/>
      <w:lvlJc w:val="left"/>
      <w:pPr>
        <w:ind w:left="2160" w:hanging="360"/>
      </w:pPr>
      <w:rPr>
        <w:rFonts w:ascii="Wingdings" w:hAnsi="Wingdings" w:hint="default"/>
      </w:rPr>
    </w:lvl>
    <w:lvl w:ilvl="3" w:tplc="CAFCD0D6" w:tentative="1">
      <w:start w:val="1"/>
      <w:numFmt w:val="bullet"/>
      <w:lvlText w:val=""/>
      <w:lvlJc w:val="left"/>
      <w:pPr>
        <w:ind w:left="2880" w:hanging="360"/>
      </w:pPr>
      <w:rPr>
        <w:rFonts w:ascii="Symbol" w:hAnsi="Symbol" w:hint="default"/>
      </w:rPr>
    </w:lvl>
    <w:lvl w:ilvl="4" w:tplc="332808A6" w:tentative="1">
      <w:start w:val="1"/>
      <w:numFmt w:val="bullet"/>
      <w:lvlText w:val="o"/>
      <w:lvlJc w:val="left"/>
      <w:pPr>
        <w:ind w:left="3600" w:hanging="360"/>
      </w:pPr>
      <w:rPr>
        <w:rFonts w:ascii="Courier New" w:hAnsi="Courier New" w:cs="Courier New" w:hint="default"/>
      </w:rPr>
    </w:lvl>
    <w:lvl w:ilvl="5" w:tplc="470E7972" w:tentative="1">
      <w:start w:val="1"/>
      <w:numFmt w:val="bullet"/>
      <w:lvlText w:val=""/>
      <w:lvlJc w:val="left"/>
      <w:pPr>
        <w:ind w:left="4320" w:hanging="360"/>
      </w:pPr>
      <w:rPr>
        <w:rFonts w:ascii="Wingdings" w:hAnsi="Wingdings" w:hint="default"/>
      </w:rPr>
    </w:lvl>
    <w:lvl w:ilvl="6" w:tplc="7568ABC8" w:tentative="1">
      <w:start w:val="1"/>
      <w:numFmt w:val="bullet"/>
      <w:lvlText w:val=""/>
      <w:lvlJc w:val="left"/>
      <w:pPr>
        <w:ind w:left="5040" w:hanging="360"/>
      </w:pPr>
      <w:rPr>
        <w:rFonts w:ascii="Symbol" w:hAnsi="Symbol" w:hint="default"/>
      </w:rPr>
    </w:lvl>
    <w:lvl w:ilvl="7" w:tplc="C00AC298" w:tentative="1">
      <w:start w:val="1"/>
      <w:numFmt w:val="bullet"/>
      <w:lvlText w:val="o"/>
      <w:lvlJc w:val="left"/>
      <w:pPr>
        <w:ind w:left="5760" w:hanging="360"/>
      </w:pPr>
      <w:rPr>
        <w:rFonts w:ascii="Courier New" w:hAnsi="Courier New" w:cs="Courier New" w:hint="default"/>
      </w:rPr>
    </w:lvl>
    <w:lvl w:ilvl="8" w:tplc="B2B8D76A" w:tentative="1">
      <w:start w:val="1"/>
      <w:numFmt w:val="bullet"/>
      <w:lvlText w:val=""/>
      <w:lvlJc w:val="left"/>
      <w:pPr>
        <w:ind w:left="6480" w:hanging="360"/>
      </w:pPr>
      <w:rPr>
        <w:rFonts w:ascii="Wingdings" w:hAnsi="Wingdings" w:hint="default"/>
      </w:rPr>
    </w:lvl>
  </w:abstractNum>
  <w:abstractNum w:abstractNumId="18" w15:restartNumberingAfterBreak="0">
    <w:nsid w:val="524E473F"/>
    <w:multiLevelType w:val="hybridMultilevel"/>
    <w:tmpl w:val="D8C482F8"/>
    <w:lvl w:ilvl="0" w:tplc="BE0C6EE4">
      <w:start w:val="1"/>
      <w:numFmt w:val="bullet"/>
      <w:lvlText w:val=""/>
      <w:lvlJc w:val="left"/>
      <w:pPr>
        <w:ind w:left="786" w:hanging="360"/>
      </w:pPr>
      <w:rPr>
        <w:rFonts w:ascii="Wingdings" w:hAnsi="Wingdings" w:hint="default"/>
        <w:color w:val="00001F"/>
      </w:rPr>
    </w:lvl>
    <w:lvl w:ilvl="1" w:tplc="821E481A" w:tentative="1">
      <w:start w:val="1"/>
      <w:numFmt w:val="bullet"/>
      <w:lvlText w:val="o"/>
      <w:lvlJc w:val="left"/>
      <w:pPr>
        <w:ind w:left="1506" w:hanging="360"/>
      </w:pPr>
      <w:rPr>
        <w:rFonts w:ascii="Courier New" w:hAnsi="Courier New" w:cs="Courier New" w:hint="default"/>
      </w:rPr>
    </w:lvl>
    <w:lvl w:ilvl="2" w:tplc="8166C53E" w:tentative="1">
      <w:start w:val="1"/>
      <w:numFmt w:val="bullet"/>
      <w:lvlText w:val=""/>
      <w:lvlJc w:val="left"/>
      <w:pPr>
        <w:ind w:left="2226" w:hanging="360"/>
      </w:pPr>
      <w:rPr>
        <w:rFonts w:ascii="Wingdings" w:hAnsi="Wingdings" w:hint="default"/>
      </w:rPr>
    </w:lvl>
    <w:lvl w:ilvl="3" w:tplc="4E882768" w:tentative="1">
      <w:start w:val="1"/>
      <w:numFmt w:val="bullet"/>
      <w:lvlText w:val=""/>
      <w:lvlJc w:val="left"/>
      <w:pPr>
        <w:ind w:left="2946" w:hanging="360"/>
      </w:pPr>
      <w:rPr>
        <w:rFonts w:ascii="Symbol" w:hAnsi="Symbol" w:hint="default"/>
      </w:rPr>
    </w:lvl>
    <w:lvl w:ilvl="4" w:tplc="197A9BBA" w:tentative="1">
      <w:start w:val="1"/>
      <w:numFmt w:val="bullet"/>
      <w:lvlText w:val="o"/>
      <w:lvlJc w:val="left"/>
      <w:pPr>
        <w:ind w:left="3666" w:hanging="360"/>
      </w:pPr>
      <w:rPr>
        <w:rFonts w:ascii="Courier New" w:hAnsi="Courier New" w:cs="Courier New" w:hint="default"/>
      </w:rPr>
    </w:lvl>
    <w:lvl w:ilvl="5" w:tplc="D556FE50" w:tentative="1">
      <w:start w:val="1"/>
      <w:numFmt w:val="bullet"/>
      <w:lvlText w:val=""/>
      <w:lvlJc w:val="left"/>
      <w:pPr>
        <w:ind w:left="4386" w:hanging="360"/>
      </w:pPr>
      <w:rPr>
        <w:rFonts w:ascii="Wingdings" w:hAnsi="Wingdings" w:hint="default"/>
      </w:rPr>
    </w:lvl>
    <w:lvl w:ilvl="6" w:tplc="F14468A8" w:tentative="1">
      <w:start w:val="1"/>
      <w:numFmt w:val="bullet"/>
      <w:lvlText w:val=""/>
      <w:lvlJc w:val="left"/>
      <w:pPr>
        <w:ind w:left="5106" w:hanging="360"/>
      </w:pPr>
      <w:rPr>
        <w:rFonts w:ascii="Symbol" w:hAnsi="Symbol" w:hint="default"/>
      </w:rPr>
    </w:lvl>
    <w:lvl w:ilvl="7" w:tplc="5224A088" w:tentative="1">
      <w:start w:val="1"/>
      <w:numFmt w:val="bullet"/>
      <w:lvlText w:val="o"/>
      <w:lvlJc w:val="left"/>
      <w:pPr>
        <w:ind w:left="5826" w:hanging="360"/>
      </w:pPr>
      <w:rPr>
        <w:rFonts w:ascii="Courier New" w:hAnsi="Courier New" w:cs="Courier New" w:hint="default"/>
      </w:rPr>
    </w:lvl>
    <w:lvl w:ilvl="8" w:tplc="E8127E0A" w:tentative="1">
      <w:start w:val="1"/>
      <w:numFmt w:val="bullet"/>
      <w:lvlText w:val=""/>
      <w:lvlJc w:val="left"/>
      <w:pPr>
        <w:ind w:left="6546" w:hanging="360"/>
      </w:pPr>
      <w:rPr>
        <w:rFonts w:ascii="Wingdings" w:hAnsi="Wingdings" w:hint="default"/>
      </w:rPr>
    </w:lvl>
  </w:abstractNum>
  <w:abstractNum w:abstractNumId="19"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2B5F69"/>
    <w:multiLevelType w:val="hybridMultilevel"/>
    <w:tmpl w:val="EF94B0D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1"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24"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25"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42779A4"/>
    <w:multiLevelType w:val="hybridMultilevel"/>
    <w:tmpl w:val="AC34C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FD14EDF"/>
    <w:multiLevelType w:val="hybridMultilevel"/>
    <w:tmpl w:val="22824C14"/>
    <w:lvl w:ilvl="0" w:tplc="0EF299FE">
      <w:start w:val="1"/>
      <w:numFmt w:val="bullet"/>
      <w:lvlText w:val="o"/>
      <w:lvlJc w:val="left"/>
      <w:pPr>
        <w:ind w:left="1068" w:hanging="360"/>
      </w:pPr>
      <w:rPr>
        <w:rFonts w:ascii="Courier New" w:hAnsi="Courier New" w:cs="Courier New" w:hint="default"/>
      </w:rPr>
    </w:lvl>
    <w:lvl w:ilvl="1" w:tplc="3CF85808" w:tentative="1">
      <w:start w:val="1"/>
      <w:numFmt w:val="bullet"/>
      <w:lvlText w:val="o"/>
      <w:lvlJc w:val="left"/>
      <w:pPr>
        <w:ind w:left="1788" w:hanging="360"/>
      </w:pPr>
      <w:rPr>
        <w:rFonts w:ascii="Courier New" w:hAnsi="Courier New" w:cs="Courier New" w:hint="default"/>
      </w:rPr>
    </w:lvl>
    <w:lvl w:ilvl="2" w:tplc="7D40A31C" w:tentative="1">
      <w:start w:val="1"/>
      <w:numFmt w:val="bullet"/>
      <w:lvlText w:val=""/>
      <w:lvlJc w:val="left"/>
      <w:pPr>
        <w:ind w:left="2508" w:hanging="360"/>
      </w:pPr>
      <w:rPr>
        <w:rFonts w:ascii="Wingdings" w:hAnsi="Wingdings" w:hint="default"/>
      </w:rPr>
    </w:lvl>
    <w:lvl w:ilvl="3" w:tplc="04661A10" w:tentative="1">
      <w:start w:val="1"/>
      <w:numFmt w:val="bullet"/>
      <w:lvlText w:val=""/>
      <w:lvlJc w:val="left"/>
      <w:pPr>
        <w:ind w:left="3228" w:hanging="360"/>
      </w:pPr>
      <w:rPr>
        <w:rFonts w:ascii="Symbol" w:hAnsi="Symbol" w:hint="default"/>
      </w:rPr>
    </w:lvl>
    <w:lvl w:ilvl="4" w:tplc="4D86A1C6" w:tentative="1">
      <w:start w:val="1"/>
      <w:numFmt w:val="bullet"/>
      <w:lvlText w:val="o"/>
      <w:lvlJc w:val="left"/>
      <w:pPr>
        <w:ind w:left="3948" w:hanging="360"/>
      </w:pPr>
      <w:rPr>
        <w:rFonts w:ascii="Courier New" w:hAnsi="Courier New" w:cs="Courier New" w:hint="default"/>
      </w:rPr>
    </w:lvl>
    <w:lvl w:ilvl="5" w:tplc="919CB9FE" w:tentative="1">
      <w:start w:val="1"/>
      <w:numFmt w:val="bullet"/>
      <w:lvlText w:val=""/>
      <w:lvlJc w:val="left"/>
      <w:pPr>
        <w:ind w:left="4668" w:hanging="360"/>
      </w:pPr>
      <w:rPr>
        <w:rFonts w:ascii="Wingdings" w:hAnsi="Wingdings" w:hint="default"/>
      </w:rPr>
    </w:lvl>
    <w:lvl w:ilvl="6" w:tplc="B88C40A0" w:tentative="1">
      <w:start w:val="1"/>
      <w:numFmt w:val="bullet"/>
      <w:lvlText w:val=""/>
      <w:lvlJc w:val="left"/>
      <w:pPr>
        <w:ind w:left="5388" w:hanging="360"/>
      </w:pPr>
      <w:rPr>
        <w:rFonts w:ascii="Symbol" w:hAnsi="Symbol" w:hint="default"/>
      </w:rPr>
    </w:lvl>
    <w:lvl w:ilvl="7" w:tplc="A5564028" w:tentative="1">
      <w:start w:val="1"/>
      <w:numFmt w:val="bullet"/>
      <w:lvlText w:val="o"/>
      <w:lvlJc w:val="left"/>
      <w:pPr>
        <w:ind w:left="6108" w:hanging="360"/>
      </w:pPr>
      <w:rPr>
        <w:rFonts w:ascii="Courier New" w:hAnsi="Courier New" w:cs="Courier New" w:hint="default"/>
      </w:rPr>
    </w:lvl>
    <w:lvl w:ilvl="8" w:tplc="AB2EAB58" w:tentative="1">
      <w:start w:val="1"/>
      <w:numFmt w:val="bullet"/>
      <w:lvlText w:val=""/>
      <w:lvlJc w:val="left"/>
      <w:pPr>
        <w:ind w:left="6828" w:hanging="360"/>
      </w:pPr>
      <w:rPr>
        <w:rFonts w:ascii="Wingdings" w:hAnsi="Wingdings" w:hint="default"/>
      </w:rPr>
    </w:lvl>
  </w:abstractNum>
  <w:num w:numId="1" w16cid:durableId="1015809858">
    <w:abstractNumId w:val="0"/>
  </w:num>
  <w:num w:numId="2" w16cid:durableId="1386223540">
    <w:abstractNumId w:val="10"/>
  </w:num>
  <w:num w:numId="3" w16cid:durableId="1696270670">
    <w:abstractNumId w:val="14"/>
  </w:num>
  <w:num w:numId="4" w16cid:durableId="398405917">
    <w:abstractNumId w:val="19"/>
  </w:num>
  <w:num w:numId="5" w16cid:durableId="1115758492">
    <w:abstractNumId w:val="6"/>
  </w:num>
  <w:num w:numId="6" w16cid:durableId="767040991">
    <w:abstractNumId w:val="16"/>
  </w:num>
  <w:num w:numId="7" w16cid:durableId="265188367">
    <w:abstractNumId w:val="25"/>
  </w:num>
  <w:num w:numId="8" w16cid:durableId="1114789958">
    <w:abstractNumId w:val="27"/>
  </w:num>
  <w:num w:numId="9" w16cid:durableId="1522278410">
    <w:abstractNumId w:val="22"/>
  </w:num>
  <w:num w:numId="10" w16cid:durableId="2002613182">
    <w:abstractNumId w:val="15"/>
  </w:num>
  <w:num w:numId="11" w16cid:durableId="1073701921">
    <w:abstractNumId w:val="11"/>
  </w:num>
  <w:num w:numId="12" w16cid:durableId="1301959806">
    <w:abstractNumId w:val="8"/>
  </w:num>
  <w:num w:numId="13" w16cid:durableId="1529026474">
    <w:abstractNumId w:val="3"/>
  </w:num>
  <w:num w:numId="14" w16cid:durableId="1328747873">
    <w:abstractNumId w:val="21"/>
  </w:num>
  <w:num w:numId="15" w16cid:durableId="1461416829">
    <w:abstractNumId w:val="24"/>
  </w:num>
  <w:num w:numId="16" w16cid:durableId="1533763629">
    <w:abstractNumId w:val="23"/>
  </w:num>
  <w:num w:numId="17" w16cid:durableId="1437289636">
    <w:abstractNumId w:val="26"/>
  </w:num>
  <w:num w:numId="18" w16cid:durableId="1271158035">
    <w:abstractNumId w:val="9"/>
  </w:num>
  <w:num w:numId="19" w16cid:durableId="148639241">
    <w:abstractNumId w:val="13"/>
  </w:num>
  <w:num w:numId="20" w16cid:durableId="1972903694">
    <w:abstractNumId w:val="4"/>
  </w:num>
  <w:num w:numId="21" w16cid:durableId="152526903">
    <w:abstractNumId w:val="20"/>
  </w:num>
  <w:num w:numId="22" w16cid:durableId="251670470">
    <w:abstractNumId w:val="12"/>
  </w:num>
  <w:num w:numId="23" w16cid:durableId="767116358">
    <w:abstractNumId w:val="2"/>
  </w:num>
  <w:num w:numId="24" w16cid:durableId="138349294">
    <w:abstractNumId w:val="18"/>
  </w:num>
  <w:num w:numId="25" w16cid:durableId="1946421038">
    <w:abstractNumId w:val="1"/>
  </w:num>
  <w:num w:numId="26" w16cid:durableId="1347752055">
    <w:abstractNumId w:val="5"/>
  </w:num>
  <w:num w:numId="27" w16cid:durableId="1442915418">
    <w:abstractNumId w:val="17"/>
  </w:num>
  <w:num w:numId="28" w16cid:durableId="1350570259">
    <w:abstractNumId w:val="7"/>
  </w:num>
  <w:num w:numId="29" w16cid:durableId="77799077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539"/>
    <w:rsid w:val="00007D14"/>
    <w:rsid w:val="00007E03"/>
    <w:rsid w:val="00007FF6"/>
    <w:rsid w:val="00013D7A"/>
    <w:rsid w:val="00014CCE"/>
    <w:rsid w:val="00015930"/>
    <w:rsid w:val="0001596B"/>
    <w:rsid w:val="0002703C"/>
    <w:rsid w:val="00027F84"/>
    <w:rsid w:val="00031B39"/>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77AAE"/>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5F35"/>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33CF"/>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09EE"/>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6F69"/>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510F"/>
    <w:rsid w:val="003263F0"/>
    <w:rsid w:val="0033007A"/>
    <w:rsid w:val="00331B49"/>
    <w:rsid w:val="003321B3"/>
    <w:rsid w:val="00334624"/>
    <w:rsid w:val="00336CD7"/>
    <w:rsid w:val="00337677"/>
    <w:rsid w:val="003378EE"/>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2D98"/>
    <w:rsid w:val="003D4C3F"/>
    <w:rsid w:val="003E60A4"/>
    <w:rsid w:val="003E749D"/>
    <w:rsid w:val="003E7856"/>
    <w:rsid w:val="003F13C7"/>
    <w:rsid w:val="003F216A"/>
    <w:rsid w:val="004000C5"/>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181F"/>
    <w:rsid w:val="00446822"/>
    <w:rsid w:val="00456569"/>
    <w:rsid w:val="00457F21"/>
    <w:rsid w:val="0046027A"/>
    <w:rsid w:val="00460DBF"/>
    <w:rsid w:val="00461100"/>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29CE"/>
    <w:rsid w:val="004F4F0C"/>
    <w:rsid w:val="004F53BB"/>
    <w:rsid w:val="004F6395"/>
    <w:rsid w:val="004F7F82"/>
    <w:rsid w:val="00500585"/>
    <w:rsid w:val="00500D5D"/>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57E1"/>
    <w:rsid w:val="00537549"/>
    <w:rsid w:val="00537F44"/>
    <w:rsid w:val="00542168"/>
    <w:rsid w:val="00546908"/>
    <w:rsid w:val="0055401B"/>
    <w:rsid w:val="005545FD"/>
    <w:rsid w:val="00554805"/>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E28"/>
    <w:rsid w:val="005F34E8"/>
    <w:rsid w:val="005F3D7B"/>
    <w:rsid w:val="005F4D8C"/>
    <w:rsid w:val="005F4E81"/>
    <w:rsid w:val="005F56C8"/>
    <w:rsid w:val="00600B37"/>
    <w:rsid w:val="006017B6"/>
    <w:rsid w:val="00601F09"/>
    <w:rsid w:val="00604A11"/>
    <w:rsid w:val="00615F8A"/>
    <w:rsid w:val="00616683"/>
    <w:rsid w:val="00616A7A"/>
    <w:rsid w:val="00617FE6"/>
    <w:rsid w:val="006207B4"/>
    <w:rsid w:val="00620E65"/>
    <w:rsid w:val="00621215"/>
    <w:rsid w:val="006213A9"/>
    <w:rsid w:val="00621DB8"/>
    <w:rsid w:val="00625C19"/>
    <w:rsid w:val="006262F6"/>
    <w:rsid w:val="0062688B"/>
    <w:rsid w:val="00626E05"/>
    <w:rsid w:val="006270A4"/>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C72F5"/>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1C"/>
    <w:rsid w:val="00700677"/>
    <w:rsid w:val="00701F5C"/>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76CDC"/>
    <w:rsid w:val="00780707"/>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4716"/>
    <w:rsid w:val="008856C2"/>
    <w:rsid w:val="008862EB"/>
    <w:rsid w:val="0089014B"/>
    <w:rsid w:val="00890659"/>
    <w:rsid w:val="0089137C"/>
    <w:rsid w:val="008931EB"/>
    <w:rsid w:val="00895E89"/>
    <w:rsid w:val="008A0928"/>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2F8E"/>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0019"/>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B6F4F"/>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27A0"/>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47B18"/>
    <w:rsid w:val="00B504BE"/>
    <w:rsid w:val="00B5221D"/>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566C"/>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131F"/>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49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E7FD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60B4"/>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7735B"/>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07D6"/>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2A70"/>
    <w:rsid w:val="00F23E0E"/>
    <w:rsid w:val="00F272F5"/>
    <w:rsid w:val="00F31511"/>
    <w:rsid w:val="00F32C4E"/>
    <w:rsid w:val="00F33F3F"/>
    <w:rsid w:val="00F35089"/>
    <w:rsid w:val="00F35E8E"/>
    <w:rsid w:val="00F408B2"/>
    <w:rsid w:val="00F4330E"/>
    <w:rsid w:val="00F4559E"/>
    <w:rsid w:val="00F45DB9"/>
    <w:rsid w:val="00F50532"/>
    <w:rsid w:val="00F532DA"/>
    <w:rsid w:val="00F53FD6"/>
    <w:rsid w:val="00F57E17"/>
    <w:rsid w:val="00F604E0"/>
    <w:rsid w:val="00F62D41"/>
    <w:rsid w:val="00F62F22"/>
    <w:rsid w:val="00F639A0"/>
    <w:rsid w:val="00F64F1D"/>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semiHidden/>
    <w:unhideWhenUsed/>
    <w:qFormat/>
    <w:locked/>
    <w:rsid w:val="004000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paragraph" w:customStyle="1" w:styleId="TextA">
    <w:name w:val="Text A"/>
    <w:rsid w:val="00A500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vorschau">
    <w:name w:val="vorschau"/>
    <w:basedOn w:val="Absatz-Standardschriftart"/>
    <w:rsid w:val="0032510F"/>
  </w:style>
  <w:style w:type="character" w:customStyle="1" w:styleId="vorschautitlebar">
    <w:name w:val="vorschautitlebar"/>
    <w:basedOn w:val="Absatz-Standardschriftart"/>
    <w:rsid w:val="0032510F"/>
  </w:style>
  <w:style w:type="character" w:customStyle="1" w:styleId="berschrift3Zchn">
    <w:name w:val="Überschrift 3 Zchn"/>
    <w:basedOn w:val="Absatz-Standardschriftart"/>
    <w:link w:val="berschrift3"/>
    <w:semiHidden/>
    <w:rsid w:val="004000C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360938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7" ma:contentTypeDescription="Ein neues Dokument erstellen." ma:contentTypeScope="" ma:versionID="faae176d6942f29ef1583bf8bcea59af">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d5bafb4a319ceb54fc0939fcb0956cdd"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9BBA5-5081-4E4B-9BCF-97838A6C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4.xml><?xml version="1.0" encoding="utf-8"?>
<ds:datastoreItem xmlns:ds="http://schemas.openxmlformats.org/officeDocument/2006/customXml" ds:itemID="{5FD266CB-3340-4949-B9EF-C957A8350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5</cp:revision>
  <cp:lastPrinted>2023-03-30T12:05:00Z</cp:lastPrinted>
  <dcterms:created xsi:type="dcterms:W3CDTF">2024-02-01T11:00:00Z</dcterms:created>
  <dcterms:modified xsi:type="dcterms:W3CDTF">2024-03-01T10:12:00Z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