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8815" w14:textId="069D0363" w:rsidR="00F50532" w:rsidRDefault="00F50532" w:rsidP="00F50532">
      <w:pPr>
        <w:jc w:val="both"/>
      </w:pPr>
      <w:r>
        <w:t>Bei Errichtung von Schaltgerätekombinationen ist die Kennzeichnungspflicht nach Allgemeiner Festlegung zu beachten. Das Typenschild, ist vor der Inbetriebnahme anzubringen. Dieses ist dauerhaft so anzubringen, dass es auch im angeschlossenen Zustand während des Betriebs lesbar ist.</w:t>
      </w:r>
    </w:p>
    <w:p w14:paraId="264C6FA3" w14:textId="77777777" w:rsidR="00F50532" w:rsidRDefault="00F50532" w:rsidP="00F50532">
      <w:pPr>
        <w:jc w:val="both"/>
      </w:pPr>
    </w:p>
    <w:p w14:paraId="5D638A2B" w14:textId="77777777" w:rsidR="00F50532" w:rsidRDefault="00F50532" w:rsidP="00F50532">
      <w:pPr>
        <w:jc w:val="both"/>
      </w:pPr>
      <w:r>
        <w:t>Erstmals wurden in der DIN EN 61439-1 (VDE 0660-600-1):2010-06, zusätzlich zu den Angaben zum Hersteller und zur Typenbezeichnung, nun auch die Angaben zum Herstellungsdatum und der zutreffenden Norm der Reihe DIN EN 61439 gefordert.</w:t>
      </w:r>
    </w:p>
    <w:p w14:paraId="4EB8782D" w14:textId="77777777" w:rsidR="00F50532" w:rsidRDefault="00F50532" w:rsidP="00F50532">
      <w:pPr>
        <w:jc w:val="both"/>
      </w:pPr>
    </w:p>
    <w:p w14:paraId="5FD1C2E3" w14:textId="58CBB4FA" w:rsidR="00F50532" w:rsidRDefault="00F50532" w:rsidP="00F50532">
      <w:pPr>
        <w:jc w:val="both"/>
      </w:pPr>
      <w:r>
        <w:t xml:space="preserve">Folgende Informationen muss ein Typenschild aktuell gemäß DIN EN IEC 61439-1 </w:t>
      </w:r>
      <w:r>
        <w:br/>
        <w:t>(VDE 0660-600-1):2021-10 enthalten:</w:t>
      </w:r>
    </w:p>
    <w:p w14:paraId="0D2E5BE7" w14:textId="77777777" w:rsidR="00F50532" w:rsidRDefault="00F50532" w:rsidP="00F50532">
      <w:pPr>
        <w:pStyle w:val="Listenabsatz"/>
        <w:numPr>
          <w:ilvl w:val="0"/>
          <w:numId w:val="26"/>
        </w:numPr>
        <w:contextualSpacing/>
        <w:jc w:val="both"/>
      </w:pPr>
      <w:r>
        <w:t>Name des Herstellers oder Warenzeichen</w:t>
      </w:r>
    </w:p>
    <w:p w14:paraId="468873CD" w14:textId="77777777" w:rsidR="00F50532" w:rsidRDefault="00F50532" w:rsidP="00F50532">
      <w:pPr>
        <w:pStyle w:val="Listenabsatz"/>
        <w:numPr>
          <w:ilvl w:val="0"/>
          <w:numId w:val="26"/>
        </w:numPr>
        <w:contextualSpacing/>
        <w:jc w:val="both"/>
      </w:pPr>
      <w:r w:rsidRPr="00072710">
        <w:t>Typbezeichnung oder Kennnummer</w:t>
      </w:r>
      <w:r>
        <w:t>, anhand dessen die Schlagerätekombination eindeutig identifiziert und Informationen beim Hersteller angefordert werden können</w:t>
      </w:r>
    </w:p>
    <w:p w14:paraId="7BCF52DD" w14:textId="77777777" w:rsidR="00F50532" w:rsidRPr="00AC06F7" w:rsidRDefault="00F50532" w:rsidP="00F50532">
      <w:pPr>
        <w:pStyle w:val="Listenabsatz"/>
        <w:numPr>
          <w:ilvl w:val="0"/>
          <w:numId w:val="26"/>
        </w:numPr>
        <w:contextualSpacing/>
        <w:jc w:val="both"/>
      </w:pPr>
      <w:r w:rsidRPr="00904E98">
        <w:t>Herstellungsdatum</w:t>
      </w:r>
    </w:p>
    <w:p w14:paraId="5BAAEEDB" w14:textId="77777777" w:rsidR="00F50532" w:rsidRDefault="00F50532" w:rsidP="00F50532">
      <w:pPr>
        <w:pStyle w:val="Listenabsatz"/>
        <w:numPr>
          <w:ilvl w:val="0"/>
          <w:numId w:val="26"/>
        </w:numPr>
        <w:contextualSpacing/>
        <w:jc w:val="both"/>
      </w:pPr>
      <w:r>
        <w:t>Bemessungsstrom I</w:t>
      </w:r>
      <w:r>
        <w:rPr>
          <w:vertAlign w:val="subscript"/>
        </w:rPr>
        <w:t>na</w:t>
      </w:r>
    </w:p>
    <w:p w14:paraId="479A2A17" w14:textId="77777777" w:rsidR="00F50532" w:rsidRDefault="00F50532" w:rsidP="00F50532">
      <w:pPr>
        <w:pStyle w:val="Listenabsatz"/>
        <w:numPr>
          <w:ilvl w:val="0"/>
          <w:numId w:val="26"/>
        </w:numPr>
        <w:contextualSpacing/>
        <w:jc w:val="both"/>
      </w:pPr>
      <w:r>
        <w:t xml:space="preserve">Bemessungsspannung </w:t>
      </w:r>
      <w:proofErr w:type="spellStart"/>
      <w:r>
        <w:t>U</w:t>
      </w:r>
      <w:r>
        <w:rPr>
          <w:vertAlign w:val="subscript"/>
        </w:rPr>
        <w:t>n</w:t>
      </w:r>
      <w:proofErr w:type="spellEnd"/>
    </w:p>
    <w:p w14:paraId="004D88BB" w14:textId="77777777" w:rsidR="00F50532" w:rsidRDefault="00F50532" w:rsidP="00F50532">
      <w:pPr>
        <w:pStyle w:val="Listenabsatz"/>
        <w:numPr>
          <w:ilvl w:val="0"/>
          <w:numId w:val="26"/>
        </w:numPr>
        <w:contextualSpacing/>
        <w:jc w:val="both"/>
      </w:pPr>
      <w:r>
        <w:t xml:space="preserve">Bemessungsfrequenz </w:t>
      </w:r>
      <w:proofErr w:type="spellStart"/>
      <w:r>
        <w:t>f</w:t>
      </w:r>
      <w:r>
        <w:rPr>
          <w:vertAlign w:val="subscript"/>
        </w:rPr>
        <w:t>n</w:t>
      </w:r>
      <w:proofErr w:type="spellEnd"/>
    </w:p>
    <w:p w14:paraId="39830F47" w14:textId="77777777" w:rsidR="00F50532" w:rsidRDefault="00F50532" w:rsidP="00F50532">
      <w:pPr>
        <w:pStyle w:val="Listenabsatz"/>
        <w:numPr>
          <w:ilvl w:val="0"/>
          <w:numId w:val="26"/>
        </w:numPr>
        <w:contextualSpacing/>
        <w:jc w:val="both"/>
      </w:pPr>
      <w:r>
        <w:t>Schaltgerätekombinationsnorm IEC 61439-X, X ist durch den zutreffenden Teil zu ersetzen</w:t>
      </w:r>
    </w:p>
    <w:p w14:paraId="73EDEA1D" w14:textId="77777777" w:rsidR="00F50532" w:rsidRDefault="00F50532" w:rsidP="00F50532">
      <w:pPr>
        <w:jc w:val="both"/>
      </w:pPr>
    </w:p>
    <w:p w14:paraId="093B422A" w14:textId="77777777" w:rsidR="00F50532" w:rsidRDefault="00F50532" w:rsidP="00F50532">
      <w:pPr>
        <w:jc w:val="both"/>
      </w:pPr>
      <w:r>
        <w:t>ANMERKUNG Die jeweilige Schaltgerätekombinationsnorm kann festlegen, ob weitere Angaben auf dem Bezeichnungsschild angegeben werden müssen.</w:t>
      </w:r>
    </w:p>
    <w:p w14:paraId="416600D3" w14:textId="77777777" w:rsidR="00F50532" w:rsidRDefault="00F50532" w:rsidP="00F50532">
      <w:pPr>
        <w:jc w:val="both"/>
      </w:pPr>
    </w:p>
    <w:p w14:paraId="013A8801" w14:textId="77777777" w:rsidR="00F50532" w:rsidRDefault="00F50532" w:rsidP="00F50532">
      <w:pPr>
        <w:keepNext/>
        <w:jc w:val="both"/>
      </w:pPr>
      <w:r>
        <w:rPr>
          <w:noProof/>
        </w:rPr>
        <w:drawing>
          <wp:inline distT="0" distB="0" distL="0" distR="0" wp14:anchorId="4E3D298D" wp14:editId="1B6FE649">
            <wp:extent cx="6191885" cy="2915285"/>
            <wp:effectExtent l="0" t="0" r="0" b="0"/>
            <wp:docPr id="70783430"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3430" name="Grafik 1" descr="Ein Bild, das Text, Screenshot, Schrift, Zahl enthält.&#10;&#10;Automatisch generierte Beschreibung"/>
                    <pic:cNvPicPr/>
                  </pic:nvPicPr>
                  <pic:blipFill>
                    <a:blip r:embed="rId11"/>
                    <a:stretch>
                      <a:fillRect/>
                    </a:stretch>
                  </pic:blipFill>
                  <pic:spPr>
                    <a:xfrm>
                      <a:off x="0" y="0"/>
                      <a:ext cx="6191885" cy="2915285"/>
                    </a:xfrm>
                    <a:prstGeom prst="rect">
                      <a:avLst/>
                    </a:prstGeom>
                  </pic:spPr>
                </pic:pic>
              </a:graphicData>
            </a:graphic>
          </wp:inline>
        </w:drawing>
      </w:r>
    </w:p>
    <w:p w14:paraId="3D8050AD" w14:textId="77777777" w:rsidR="00F50532" w:rsidRDefault="00F50532" w:rsidP="00F50532">
      <w:pPr>
        <w:pStyle w:val="Beschriftung"/>
        <w:jc w:val="both"/>
        <w:rPr>
          <w:sz w:val="16"/>
          <w:szCs w:val="16"/>
        </w:rPr>
      </w:pPr>
      <w:r w:rsidRPr="007B6032">
        <w:rPr>
          <w:sz w:val="16"/>
          <w:szCs w:val="16"/>
        </w:rPr>
        <w:t xml:space="preserve">Beispiel für ein Typenschild </w:t>
      </w:r>
      <w:r>
        <w:rPr>
          <w:sz w:val="16"/>
          <w:szCs w:val="16"/>
        </w:rPr>
        <w:t>mit zusätzlichen Angaben</w:t>
      </w:r>
      <w:r w:rsidRPr="007B6032">
        <w:rPr>
          <w:sz w:val="16"/>
          <w:szCs w:val="16"/>
        </w:rPr>
        <w:t xml:space="preserve">. Quelle: </w:t>
      </w:r>
      <w:r>
        <w:rPr>
          <w:sz w:val="16"/>
          <w:szCs w:val="16"/>
        </w:rPr>
        <w:t>hager.de</w:t>
      </w:r>
    </w:p>
    <w:p w14:paraId="7EA3CD2B" w14:textId="77777777" w:rsidR="00F50532" w:rsidRDefault="00F50532" w:rsidP="00F50532"/>
    <w:p w14:paraId="6D02EB7F" w14:textId="77777777" w:rsidR="00F50532" w:rsidRDefault="00F50532" w:rsidP="00F50532"/>
    <w:p w14:paraId="2411512A" w14:textId="3BF3ECBD" w:rsidR="00F50532" w:rsidRDefault="00F50532" w:rsidP="00F50532">
      <w:pPr>
        <w:jc w:val="both"/>
      </w:pPr>
      <w:r>
        <w:lastRenderedPageBreak/>
        <w:t xml:space="preserve">Abweichungen davon sind in den unterschiedlichen Teilen der DIN EN </w:t>
      </w:r>
      <w:r w:rsidR="00A10AAE">
        <w:t xml:space="preserve">IEC </w:t>
      </w:r>
      <w:r>
        <w:t>61439 festgehalten und finden in der Herstellung der Schaltgerätekombinationen für unterschiedliche Einsatzzwecke Anwendung.</w:t>
      </w:r>
    </w:p>
    <w:p w14:paraId="2AD0F8B5" w14:textId="77777777" w:rsidR="00F50532" w:rsidRDefault="00F50532" w:rsidP="00F50532">
      <w:pPr>
        <w:spacing w:after="120"/>
        <w:jc w:val="both"/>
      </w:pPr>
    </w:p>
    <w:p w14:paraId="2DE1FF9D" w14:textId="297AFC5A" w:rsidR="00F50532" w:rsidRPr="005E51EC" w:rsidRDefault="00F50532" w:rsidP="00F50532">
      <w:pPr>
        <w:spacing w:after="120" w:line="360" w:lineRule="auto"/>
      </w:pPr>
      <w:r w:rsidRPr="005E51EC">
        <w:t xml:space="preserve">Die Normenreihe DIN EN </w:t>
      </w:r>
      <w:r w:rsidR="00A10AAE">
        <w:t xml:space="preserve">IEC </w:t>
      </w:r>
      <w:r w:rsidRPr="005E51EC">
        <w:t xml:space="preserve">61439 besteht im Einzelnen </w:t>
      </w:r>
      <w:proofErr w:type="gramStart"/>
      <w:r w:rsidRPr="005E51EC">
        <w:t>aus</w:t>
      </w:r>
      <w:r>
        <w:t xml:space="preserve"> </w:t>
      </w:r>
      <w:r w:rsidRPr="005E51EC">
        <w:t>folgenden</w:t>
      </w:r>
      <w:proofErr w:type="gramEnd"/>
      <w:r>
        <w:t xml:space="preserve"> </w:t>
      </w:r>
      <w:r w:rsidRPr="005E51EC">
        <w:t>Teilen:</w:t>
      </w:r>
    </w:p>
    <w:p w14:paraId="5217FBEE" w14:textId="5BCFD68A" w:rsidR="00F50532" w:rsidRPr="003F10EB" w:rsidRDefault="00F50532" w:rsidP="00F50532">
      <w:pPr>
        <w:spacing w:after="120"/>
        <w:ind w:left="2268" w:hanging="2268"/>
        <w:jc w:val="both"/>
        <w:rPr>
          <w:sz w:val="18"/>
          <w:szCs w:val="18"/>
        </w:rPr>
      </w:pPr>
      <w:r w:rsidRPr="003F10EB">
        <w:rPr>
          <w:sz w:val="18"/>
          <w:szCs w:val="18"/>
        </w:rPr>
        <w:t xml:space="preserve">DIN EN </w:t>
      </w:r>
      <w:r w:rsidR="00A10AAE">
        <w:rPr>
          <w:sz w:val="18"/>
          <w:szCs w:val="18"/>
        </w:rPr>
        <w:t xml:space="preserve">IEC </w:t>
      </w:r>
      <w:r w:rsidRPr="003F10EB">
        <w:rPr>
          <w:sz w:val="18"/>
          <w:szCs w:val="18"/>
        </w:rPr>
        <w:t>61439-1</w:t>
      </w:r>
      <w:r w:rsidRPr="003F10EB">
        <w:rPr>
          <w:sz w:val="18"/>
          <w:szCs w:val="18"/>
        </w:rPr>
        <w:tab/>
        <w:t>Niederspannungs-Schaltgerätekombinationen</w:t>
      </w:r>
      <w:r w:rsidRPr="003F10EB">
        <w:rPr>
          <w:sz w:val="18"/>
          <w:szCs w:val="18"/>
        </w:rPr>
        <w:br/>
        <w:t>Teil 1: Allgemeine Festlegungen</w:t>
      </w:r>
    </w:p>
    <w:p w14:paraId="7D28C7C1" w14:textId="39721977" w:rsidR="00F50532" w:rsidRPr="003F10EB" w:rsidRDefault="00F50532" w:rsidP="00F50532">
      <w:pPr>
        <w:spacing w:after="120"/>
        <w:ind w:left="2268" w:hanging="2268"/>
        <w:jc w:val="both"/>
        <w:rPr>
          <w:sz w:val="18"/>
          <w:szCs w:val="18"/>
        </w:rPr>
      </w:pPr>
      <w:r w:rsidRPr="003F10EB">
        <w:rPr>
          <w:sz w:val="18"/>
          <w:szCs w:val="18"/>
        </w:rPr>
        <w:t xml:space="preserve">DIN EN </w:t>
      </w:r>
      <w:r w:rsidR="00A10AAE">
        <w:rPr>
          <w:sz w:val="18"/>
          <w:szCs w:val="18"/>
        </w:rPr>
        <w:t xml:space="preserve">IEC </w:t>
      </w:r>
      <w:r w:rsidRPr="003F10EB">
        <w:rPr>
          <w:sz w:val="18"/>
          <w:szCs w:val="18"/>
        </w:rPr>
        <w:t>61439-2</w:t>
      </w:r>
      <w:r w:rsidRPr="003F10EB">
        <w:rPr>
          <w:sz w:val="18"/>
          <w:szCs w:val="18"/>
        </w:rPr>
        <w:tab/>
        <w:t>Niederspannungs-Schaltgerätekombinationen</w:t>
      </w:r>
      <w:r w:rsidRPr="003F10EB">
        <w:rPr>
          <w:sz w:val="18"/>
          <w:szCs w:val="18"/>
        </w:rPr>
        <w:br/>
        <w:t>Teil 2: Energie-Schaltgerätekombinationen</w:t>
      </w:r>
    </w:p>
    <w:p w14:paraId="20841F57" w14:textId="0AFEEA77" w:rsidR="00F50532" w:rsidRPr="003F10EB" w:rsidRDefault="00F50532" w:rsidP="00F50532">
      <w:pPr>
        <w:spacing w:after="120"/>
        <w:ind w:left="2268" w:hanging="2268"/>
        <w:jc w:val="both"/>
        <w:rPr>
          <w:sz w:val="18"/>
          <w:szCs w:val="18"/>
        </w:rPr>
      </w:pPr>
      <w:r w:rsidRPr="003F10EB">
        <w:rPr>
          <w:sz w:val="18"/>
          <w:szCs w:val="18"/>
        </w:rPr>
        <w:t xml:space="preserve">DIN EN </w:t>
      </w:r>
      <w:r w:rsidR="00A10AAE">
        <w:rPr>
          <w:sz w:val="18"/>
          <w:szCs w:val="18"/>
        </w:rPr>
        <w:t xml:space="preserve">IEC </w:t>
      </w:r>
      <w:r w:rsidRPr="003F10EB">
        <w:rPr>
          <w:sz w:val="18"/>
          <w:szCs w:val="18"/>
        </w:rPr>
        <w:t>61439-3</w:t>
      </w:r>
      <w:r w:rsidRPr="003F10EB">
        <w:rPr>
          <w:sz w:val="18"/>
          <w:szCs w:val="18"/>
        </w:rPr>
        <w:tab/>
        <w:t>Niederspannungs-Schaltgerätekombinationen</w:t>
      </w:r>
      <w:r w:rsidRPr="003F10EB">
        <w:rPr>
          <w:sz w:val="18"/>
          <w:szCs w:val="18"/>
        </w:rPr>
        <w:br/>
        <w:t>Teil 3: Installationsverteiler für die Bedienung durch Laien (DBO)</w:t>
      </w:r>
    </w:p>
    <w:p w14:paraId="07B31990" w14:textId="77777777" w:rsidR="00F50532" w:rsidRPr="003F10EB" w:rsidRDefault="00F50532" w:rsidP="00F50532">
      <w:pPr>
        <w:spacing w:after="120"/>
        <w:ind w:left="2268" w:hanging="2268"/>
        <w:jc w:val="both"/>
        <w:rPr>
          <w:sz w:val="18"/>
          <w:szCs w:val="18"/>
        </w:rPr>
      </w:pPr>
      <w:r w:rsidRPr="003F10EB">
        <w:rPr>
          <w:sz w:val="18"/>
          <w:szCs w:val="18"/>
        </w:rPr>
        <w:t>DIN EN 61439-4</w:t>
      </w:r>
      <w:r w:rsidRPr="003F10EB">
        <w:rPr>
          <w:sz w:val="18"/>
          <w:szCs w:val="18"/>
        </w:rPr>
        <w:tab/>
        <w:t>Niederspannungs-Schaltgerätekombinationen</w:t>
      </w:r>
      <w:r w:rsidRPr="003F10EB">
        <w:rPr>
          <w:sz w:val="18"/>
          <w:szCs w:val="18"/>
        </w:rPr>
        <w:br/>
        <w:t>Teil 4: Besondere Anforderungen für Baustromverteiler (BV)</w:t>
      </w:r>
    </w:p>
    <w:p w14:paraId="7CE84B54" w14:textId="77777777" w:rsidR="00F50532" w:rsidRPr="003F10EB" w:rsidRDefault="00F50532" w:rsidP="00F50532">
      <w:pPr>
        <w:spacing w:after="120"/>
        <w:ind w:left="2268" w:hanging="2268"/>
        <w:jc w:val="both"/>
        <w:rPr>
          <w:sz w:val="18"/>
          <w:szCs w:val="18"/>
        </w:rPr>
      </w:pPr>
      <w:r w:rsidRPr="003F10EB">
        <w:rPr>
          <w:sz w:val="18"/>
          <w:szCs w:val="18"/>
        </w:rPr>
        <w:t>DIN EN 61439-5</w:t>
      </w:r>
      <w:r w:rsidRPr="003F10EB">
        <w:rPr>
          <w:sz w:val="18"/>
          <w:szCs w:val="18"/>
        </w:rPr>
        <w:tab/>
        <w:t>Niederspannungs-Schaltgerätekombinationen</w:t>
      </w:r>
      <w:r w:rsidRPr="003F10EB">
        <w:rPr>
          <w:sz w:val="18"/>
          <w:szCs w:val="18"/>
        </w:rPr>
        <w:br/>
        <w:t>Teil 5: Schaltgerätekombinationen in öffentlichen Energieverteilungsnetzen</w:t>
      </w:r>
    </w:p>
    <w:p w14:paraId="769EC12F" w14:textId="77777777" w:rsidR="00F50532" w:rsidRPr="003F10EB" w:rsidRDefault="00F50532" w:rsidP="00F50532">
      <w:pPr>
        <w:spacing w:after="120"/>
        <w:ind w:left="2268" w:hanging="2268"/>
        <w:jc w:val="both"/>
        <w:rPr>
          <w:sz w:val="18"/>
          <w:szCs w:val="18"/>
        </w:rPr>
      </w:pPr>
      <w:r w:rsidRPr="003F10EB">
        <w:rPr>
          <w:sz w:val="18"/>
          <w:szCs w:val="18"/>
        </w:rPr>
        <w:t>DIN EN 61439-6</w:t>
      </w:r>
      <w:r w:rsidRPr="003F10EB">
        <w:rPr>
          <w:sz w:val="18"/>
          <w:szCs w:val="18"/>
        </w:rPr>
        <w:tab/>
        <w:t>Niederspannungs-Schaltgerätekombinationen</w:t>
      </w:r>
      <w:r w:rsidRPr="003F10EB">
        <w:rPr>
          <w:sz w:val="18"/>
          <w:szCs w:val="18"/>
        </w:rPr>
        <w:br/>
        <w:t>Teil 6: Schienenverteilersysteme (</w:t>
      </w:r>
      <w:proofErr w:type="spellStart"/>
      <w:r w:rsidRPr="003F10EB">
        <w:rPr>
          <w:sz w:val="18"/>
          <w:szCs w:val="18"/>
        </w:rPr>
        <w:t>busways</w:t>
      </w:r>
      <w:proofErr w:type="spellEnd"/>
      <w:r w:rsidRPr="003F10EB">
        <w:rPr>
          <w:sz w:val="18"/>
          <w:szCs w:val="18"/>
        </w:rPr>
        <w:t>)</w:t>
      </w:r>
    </w:p>
    <w:p w14:paraId="43662907" w14:textId="57B0DC57" w:rsidR="00F50532" w:rsidRPr="003F10EB" w:rsidRDefault="00F50532" w:rsidP="00F50532">
      <w:pPr>
        <w:spacing w:after="120"/>
        <w:ind w:left="2268" w:hanging="2268"/>
        <w:jc w:val="both"/>
        <w:rPr>
          <w:sz w:val="18"/>
          <w:szCs w:val="18"/>
        </w:rPr>
      </w:pPr>
      <w:r w:rsidRPr="003F10EB">
        <w:rPr>
          <w:sz w:val="18"/>
          <w:szCs w:val="18"/>
        </w:rPr>
        <w:t xml:space="preserve">DIN EN </w:t>
      </w:r>
      <w:r w:rsidR="00A10AAE">
        <w:rPr>
          <w:sz w:val="18"/>
          <w:szCs w:val="18"/>
        </w:rPr>
        <w:t xml:space="preserve">IEC </w:t>
      </w:r>
      <w:r w:rsidRPr="003F10EB">
        <w:rPr>
          <w:sz w:val="18"/>
          <w:szCs w:val="18"/>
        </w:rPr>
        <w:t>61439-7</w:t>
      </w:r>
      <w:r w:rsidRPr="003F10EB">
        <w:rPr>
          <w:sz w:val="18"/>
          <w:szCs w:val="18"/>
        </w:rPr>
        <w:tab/>
        <w:t>Niederspannungs-Schaltgerätekombinationen</w:t>
      </w:r>
      <w:r w:rsidRPr="003F10EB">
        <w:rPr>
          <w:sz w:val="18"/>
          <w:szCs w:val="18"/>
        </w:rPr>
        <w:br/>
        <w:t xml:space="preserve">Teil 7: Schaltgerätekombinationen für bestimmte Anwendungen wie Marinas, Campingplätze, Marktplätze, Ladestationen für Elektrofahrzeuge </w:t>
      </w:r>
    </w:p>
    <w:p w14:paraId="4140BC3F" w14:textId="77777777" w:rsidR="00F50532" w:rsidRDefault="00F50532" w:rsidP="00F50532"/>
    <w:p w14:paraId="6B829A65" w14:textId="50AAA6C5" w:rsidR="00F50532" w:rsidRDefault="00F50532" w:rsidP="00F50532">
      <w:pPr>
        <w:jc w:val="both"/>
      </w:pPr>
      <w:r>
        <w:t xml:space="preserve">So werden in der DIN EN </w:t>
      </w:r>
      <w:r w:rsidR="00A10AAE">
        <w:t xml:space="preserve">IEC </w:t>
      </w:r>
      <w:r>
        <w:t>61439-3 (VDE 0660-600-3):20</w:t>
      </w:r>
      <w:r w:rsidR="00A10AAE">
        <w:t>25-06</w:t>
      </w:r>
      <w:r>
        <w:t xml:space="preserve"> die Angaben zum Bemessungsstrom I</w:t>
      </w:r>
      <w:r>
        <w:rPr>
          <w:vertAlign w:val="subscript"/>
        </w:rPr>
        <w:t>na</w:t>
      </w:r>
      <w:r>
        <w:t xml:space="preserve"> und der Schutz</w:t>
      </w:r>
      <w:r w:rsidR="00A10AAE">
        <w:t>art</w:t>
      </w:r>
      <w:r>
        <w:t>,</w:t>
      </w:r>
      <w:r w:rsidRPr="0035343F">
        <w:t xml:space="preserve"> </w:t>
      </w:r>
      <w:r>
        <w:t xml:space="preserve">sofern diese höher als IP2XC ist, gefordert. Auf die Forderung nach den Angaben zur Bemessungsspannung </w:t>
      </w:r>
      <w:proofErr w:type="spellStart"/>
      <w:r>
        <w:t>U</w:t>
      </w:r>
      <w:r>
        <w:rPr>
          <w:vertAlign w:val="subscript"/>
        </w:rPr>
        <w:t>n</w:t>
      </w:r>
      <w:proofErr w:type="spellEnd"/>
      <w:r>
        <w:t xml:space="preserve"> und Bemessungsfrequenz </w:t>
      </w:r>
      <w:proofErr w:type="spellStart"/>
      <w:r>
        <w:t>f</w:t>
      </w:r>
      <w:r>
        <w:rPr>
          <w:vertAlign w:val="subscript"/>
        </w:rPr>
        <w:t>n</w:t>
      </w:r>
      <w:proofErr w:type="spellEnd"/>
      <w:r>
        <w:t xml:space="preserve"> wird jedoch verzichtet.</w:t>
      </w:r>
    </w:p>
    <w:p w14:paraId="0C6A08E9" w14:textId="77777777" w:rsidR="00F50532" w:rsidRDefault="00F50532" w:rsidP="00F50532">
      <w:pPr>
        <w:jc w:val="both"/>
      </w:pPr>
    </w:p>
    <w:p w14:paraId="5AE47BA1" w14:textId="77777777" w:rsidR="00F50532" w:rsidRDefault="00F50532" w:rsidP="00F50532">
      <w:pPr>
        <w:jc w:val="both"/>
      </w:pPr>
      <w:r>
        <w:t>Ein weiteres Beispiel ist die DIN EN 61439-4 (VDE 0660-600-4):2013-09. Hier muss auch die Angabe zur Schutzart und der Masse, wenn sie 30 kg überschreitet, mit auf dem Typenschild angegeben werden.</w:t>
      </w:r>
    </w:p>
    <w:p w14:paraId="0A67B70B" w14:textId="77777777" w:rsidR="00F50532" w:rsidRDefault="00F50532" w:rsidP="00F50532">
      <w:pPr>
        <w:jc w:val="both"/>
      </w:pPr>
    </w:p>
    <w:p w14:paraId="47E5D585" w14:textId="77777777" w:rsidR="00F50532" w:rsidRPr="000F20B2" w:rsidRDefault="00F50532" w:rsidP="00F50532">
      <w:pPr>
        <w:jc w:val="both"/>
        <w:rPr>
          <w:b/>
          <w:bCs/>
        </w:rPr>
      </w:pPr>
      <w:r w:rsidRPr="000F20B2">
        <w:rPr>
          <w:b/>
          <w:bCs/>
        </w:rPr>
        <w:t>Bestandanlagen ohne Kennzeichnung</w:t>
      </w:r>
    </w:p>
    <w:p w14:paraId="5CF35FA0" w14:textId="77777777" w:rsidR="00B5221D" w:rsidRDefault="00B5221D" w:rsidP="00F50532">
      <w:pPr>
        <w:jc w:val="both"/>
      </w:pPr>
    </w:p>
    <w:p w14:paraId="62467F58" w14:textId="77777777" w:rsidR="00F50532" w:rsidRDefault="00F50532" w:rsidP="00F50532">
      <w:pPr>
        <w:jc w:val="both"/>
      </w:pPr>
      <w:r>
        <w:t xml:space="preserve">Es ist oft schwierig nach Jahren die für das Typenschild notwendigen Informationen zusammen zu tragen. Die Dokumentation ist gegebenenfalls nicht mehr vorhanden oder unvollständig. Der Errichter ist eventuell nicht mehr am Markt und wenn doch, kann er die notwendigen Angaben vielleicht gar nicht mehr machen. </w:t>
      </w:r>
    </w:p>
    <w:p w14:paraId="45904CCD" w14:textId="77777777" w:rsidR="00F50532" w:rsidRDefault="00F50532" w:rsidP="00F50532">
      <w:pPr>
        <w:jc w:val="both"/>
      </w:pPr>
    </w:p>
    <w:p w14:paraId="4BDF3BA6" w14:textId="77777777" w:rsidR="00F50532" w:rsidRDefault="00F50532" w:rsidP="00F50532">
      <w:pPr>
        <w:jc w:val="both"/>
      </w:pPr>
      <w:r>
        <w:t xml:space="preserve">Eine Forderung bzw. Pflicht für die Nachrüstung eines Typenschilds gibt es nicht, es hat dennoch Vorteile dies zu tun. Die notwendigen Angaben würden den Betrieb der Schaltgerätekombinationen sicherer machen. Das Typenschild würde auf einen Blick einige grundlegende Informationen zur Anlage liefern, die eventuelle Fehler im Umgang mit dieser vermeiden. </w:t>
      </w:r>
    </w:p>
    <w:p w14:paraId="4E002DB7" w14:textId="77777777" w:rsidR="00F50532" w:rsidRDefault="00F50532" w:rsidP="00F50532">
      <w:pPr>
        <w:jc w:val="both"/>
      </w:pPr>
      <w:r>
        <w:lastRenderedPageBreak/>
        <w:t>Es wäre ebenfalls sinnvoll anhand einer Gefährdungsbeurteilung mögliche Risiken zu betrachten und gegebenenfalls Maßnahmen abzuleiten, um weiterhin einen sicheren Betrieb der Schaltgerätekombination zu gewährleisten.</w:t>
      </w:r>
    </w:p>
    <w:p w14:paraId="77E69A39" w14:textId="77777777" w:rsidR="00F50532" w:rsidRDefault="00F50532" w:rsidP="00F50532">
      <w:pPr>
        <w:jc w:val="both"/>
        <w:rPr>
          <w:b/>
          <w:bCs/>
        </w:rPr>
      </w:pPr>
    </w:p>
    <w:p w14:paraId="64B76741" w14:textId="77777777" w:rsidR="00F50532" w:rsidRPr="00081EBB" w:rsidRDefault="00F50532" w:rsidP="00F50532">
      <w:pPr>
        <w:jc w:val="both"/>
        <w:rPr>
          <w:b/>
          <w:bCs/>
        </w:rPr>
      </w:pPr>
      <w:r w:rsidRPr="00081EBB">
        <w:rPr>
          <w:b/>
          <w:bCs/>
        </w:rPr>
        <w:t>Fazit:</w:t>
      </w:r>
    </w:p>
    <w:p w14:paraId="78F4A9B3" w14:textId="77777777" w:rsidR="00B5221D" w:rsidRDefault="00B5221D" w:rsidP="00F50532">
      <w:pPr>
        <w:jc w:val="both"/>
      </w:pPr>
    </w:p>
    <w:p w14:paraId="22771A6A" w14:textId="5B24CD0E" w:rsidR="00F50532" w:rsidRPr="00C43DEE" w:rsidRDefault="00F50532" w:rsidP="00F50532">
      <w:pPr>
        <w:jc w:val="both"/>
      </w:pPr>
      <w:r>
        <w:t xml:space="preserve">Die Bedingungen zur Erstellung des Typenschilds erforderlichen Angaben sind aus den allgemeinen Festlegungen und den teilweise abweichenden Forderungen der DIN EN 61439 Reihe zu entnehmen. Eine Nachrüstpflicht für das Typenschild besteht allerdings nicht, hier gilt der Stand der Technik zum Zeitpunkt der Errichtung. Dennoch würde eine Nachrüstung im Hinblick auf die Sicherheit Sinn machen. Eine </w:t>
      </w:r>
      <w:proofErr w:type="spellStart"/>
      <w:r>
        <w:t>vermei</w:t>
      </w:r>
      <w:r w:rsidR="00A10AAE">
        <w:t>n</w:t>
      </w:r>
      <w:r>
        <w:t>dlich</w:t>
      </w:r>
      <w:proofErr w:type="spellEnd"/>
      <w:r>
        <w:t xml:space="preserve"> damit einhergehende Durchführung eines EG-Konformitätsverfahren ist davon nicht betroffen. Dies obliegt einzig dem Hersteller der Schaltgerätekombination zum Zeitpunkt des Inverkehrbringens</w:t>
      </w:r>
      <w:r w:rsidR="00A10AAE">
        <w:t xml:space="preserve"> nach 1997</w:t>
      </w:r>
      <w:r>
        <w:t>.</w:t>
      </w:r>
    </w:p>
    <w:p w14:paraId="317E92D7" w14:textId="45C42FAC" w:rsidR="006C72F5" w:rsidRPr="00AB6F4F" w:rsidRDefault="006C72F5" w:rsidP="00F50532">
      <w:pPr>
        <w:contextualSpacing/>
        <w:rPr>
          <w:color w:val="000000" w:themeColor="text1"/>
        </w:rPr>
      </w:pPr>
    </w:p>
    <w:sectPr w:rsidR="006C72F5" w:rsidRPr="00AB6F4F" w:rsidSect="00500D5D">
      <w:headerReference w:type="default" r:id="rId12"/>
      <w:footerReference w:type="default" r:id="rId13"/>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729DF" w14:textId="77777777" w:rsidR="00CE5C24" w:rsidRDefault="00CE5C24">
      <w:r>
        <w:separator/>
      </w:r>
    </w:p>
  </w:endnote>
  <w:endnote w:type="continuationSeparator" w:id="0">
    <w:p w14:paraId="43A246DB" w14:textId="77777777" w:rsidR="00CE5C24" w:rsidRDefault="00C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604020202020204"/>
    <w:charset w:val="80"/>
    <w:family w:val="auto"/>
    <w:pitch w:val="variable"/>
    <w:sig w:usb0="00000000" w:usb1="7AC7FFFF" w:usb2="00000012" w:usb3="00000000" w:csb0="0002000D" w:csb1="00000000"/>
  </w:font>
  <w:font w:name="DGUV Meta-Normal">
    <w:altName w:val="DGUV Meta-Normal"/>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618FED9" w:rsidR="004F0DC2" w:rsidRPr="004C1C05" w:rsidRDefault="00435D0B" w:rsidP="004F0DC2">
          <w:pPr>
            <w:pStyle w:val="Fuzeile"/>
            <w:ind w:right="-83"/>
            <w:rPr>
              <w:sz w:val="16"/>
              <w:szCs w:val="16"/>
            </w:rPr>
          </w:pPr>
          <w:r>
            <w:rPr>
              <w:sz w:val="16"/>
              <w:szCs w:val="16"/>
            </w:rPr>
            <w:t>0.</w:t>
          </w:r>
          <w:r w:rsidR="004C7E33">
            <w:rPr>
              <w:sz w:val="16"/>
              <w:szCs w:val="16"/>
            </w:rPr>
            <w:t>3</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6B6C8A96" w:rsidR="00413A01" w:rsidRPr="004C1C05" w:rsidRDefault="006C0D69" w:rsidP="00413A01">
          <w:pPr>
            <w:pStyle w:val="Fuzeile"/>
            <w:ind w:right="-83"/>
            <w:rPr>
              <w:sz w:val="16"/>
              <w:szCs w:val="16"/>
            </w:rPr>
          </w:pPr>
          <w:r>
            <w:rPr>
              <w:sz w:val="16"/>
              <w:szCs w:val="16"/>
            </w:rPr>
            <w:t>0</w:t>
          </w:r>
          <w:r w:rsidR="004C7E33">
            <w:rPr>
              <w:sz w:val="16"/>
              <w:szCs w:val="16"/>
            </w:rPr>
            <w:t>7</w:t>
          </w:r>
          <w:r w:rsidR="00413A01">
            <w:rPr>
              <w:sz w:val="16"/>
              <w:szCs w:val="16"/>
            </w:rPr>
            <w:t>.202</w:t>
          </w:r>
          <w:r w:rsidR="00435D0B">
            <w:rPr>
              <w:sz w:val="16"/>
              <w:szCs w:val="16"/>
            </w:rPr>
            <w:t>5</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77777777" w:rsidR="00413A01" w:rsidRPr="004C1C05" w:rsidRDefault="00413A01" w:rsidP="00413A01">
          <w:pPr>
            <w:pStyle w:val="Fuzeile"/>
            <w:ind w:right="-83"/>
            <w:rPr>
              <w:sz w:val="16"/>
              <w:szCs w:val="16"/>
            </w:rPr>
          </w:pPr>
          <w:r w:rsidRPr="004C1C05">
            <w:rPr>
              <w:sz w:val="16"/>
              <w:szCs w:val="16"/>
            </w:rPr>
            <w:t>Gültig ab:</w:t>
          </w: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31AB5B2A"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B7E8" w14:textId="77777777" w:rsidR="00CE5C24" w:rsidRDefault="00CE5C24">
      <w:r>
        <w:separator/>
      </w:r>
    </w:p>
  </w:footnote>
  <w:footnote w:type="continuationSeparator" w:id="0">
    <w:p w14:paraId="2C7BE506" w14:textId="77777777" w:rsidR="00CE5C24" w:rsidRDefault="00CE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1AF4AD01" w:rsidR="004F0DC2" w:rsidRPr="00E21DC0" w:rsidRDefault="008E5BD2" w:rsidP="004F0DC2">
          <w:pPr>
            <w:pStyle w:val="KeinLeerraum"/>
            <w:jc w:val="center"/>
            <w:rPr>
              <w:b/>
              <w:sz w:val="18"/>
            </w:rPr>
          </w:pPr>
          <w:r>
            <w:rPr>
              <w:b/>
              <w:noProof/>
              <w:sz w:val="18"/>
            </w:rPr>
            <w:drawing>
              <wp:inline distT="0" distB="0" distL="0" distR="0" wp14:anchorId="379DBA7C" wp14:editId="1AE6747F">
                <wp:extent cx="475259" cy="475259"/>
                <wp:effectExtent l="0" t="0" r="0" b="0"/>
                <wp:docPr id="404094316" name="Immagine 1"/>
                <wp:cNvGraphicFramePr/>
                <a:graphic xmlns:a="http://schemas.openxmlformats.org/drawingml/2006/main">
                  <a:graphicData uri="http://schemas.openxmlformats.org/drawingml/2006/picture">
                    <pic:pic xmlns:pic="http://schemas.openxmlformats.org/drawingml/2006/picture">
                      <pic:nvPicPr>
                        <pic:cNvPr id="404094316" name=""/>
                        <pic:cNvPicPr/>
                      </pic:nvPicPr>
                      <pic:blipFill>
                        <a:blip r:embed="rId1"/>
                        <a:stretch>
                          <a:fillRect/>
                        </a:stretch>
                      </pic:blipFill>
                      <pic:spPr>
                        <a:xfrm>
                          <a:off x="0" y="0"/>
                          <a:ext cx="475259" cy="475259"/>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652C8538"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4A43C4D3" w:rsidR="004F0DC2" w:rsidRPr="00E21DC0" w:rsidRDefault="004F0DC2" w:rsidP="004F0DC2">
          <w:pPr>
            <w:jc w:val="center"/>
          </w:pPr>
          <w:r w:rsidRPr="00E21DC0">
            <w:rPr>
              <w:b/>
            </w:rPr>
            <w:t>UW_ET_</w:t>
          </w:r>
          <w:r w:rsidR="00CE7FDB">
            <w:rPr>
              <w:b/>
            </w:rPr>
            <w:t>10</w:t>
          </w:r>
          <w:r w:rsidR="00884716">
            <w:rPr>
              <w:b/>
            </w:rPr>
            <w:t>2</w:t>
          </w:r>
        </w:p>
      </w:tc>
      <w:tc>
        <w:tcPr>
          <w:tcW w:w="5026" w:type="dxa"/>
          <w:vAlign w:val="center"/>
        </w:tcPr>
        <w:p w14:paraId="21423E6D" w14:textId="77777777" w:rsidR="00B5221D" w:rsidRDefault="00B5221D" w:rsidP="00B5221D">
          <w:pPr>
            <w:jc w:val="center"/>
            <w:rPr>
              <w:sz w:val="28"/>
              <w:szCs w:val="28"/>
            </w:rPr>
          </w:pPr>
          <w:r>
            <w:rPr>
              <w:sz w:val="28"/>
              <w:szCs w:val="28"/>
            </w:rPr>
            <w:t xml:space="preserve">Typenschilder von </w:t>
          </w:r>
        </w:p>
        <w:p w14:paraId="63D167E9" w14:textId="7C42945A" w:rsidR="004F0DC2" w:rsidRPr="00B2005A" w:rsidRDefault="00F50532" w:rsidP="00B5221D">
          <w:pPr>
            <w:jc w:val="center"/>
            <w:rPr>
              <w:sz w:val="28"/>
              <w:szCs w:val="28"/>
            </w:rPr>
          </w:pPr>
          <w:r w:rsidRPr="00F50532">
            <w:rPr>
              <w:sz w:val="28"/>
              <w:szCs w:val="28"/>
            </w:rPr>
            <w:t xml:space="preserve">Schaltgerätekombinationen </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2"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17"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9"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22"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23"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num w:numId="1" w16cid:durableId="1015809858">
    <w:abstractNumId w:val="0"/>
  </w:num>
  <w:num w:numId="2" w16cid:durableId="1386223540">
    <w:abstractNumId w:val="9"/>
  </w:num>
  <w:num w:numId="3" w16cid:durableId="1696270670">
    <w:abstractNumId w:val="13"/>
  </w:num>
  <w:num w:numId="4" w16cid:durableId="398405917">
    <w:abstractNumId w:val="17"/>
  </w:num>
  <w:num w:numId="5" w16cid:durableId="1115758492">
    <w:abstractNumId w:val="6"/>
  </w:num>
  <w:num w:numId="6" w16cid:durableId="767040991">
    <w:abstractNumId w:val="15"/>
  </w:num>
  <w:num w:numId="7" w16cid:durableId="265188367">
    <w:abstractNumId w:val="23"/>
  </w:num>
  <w:num w:numId="8" w16cid:durableId="1114789958">
    <w:abstractNumId w:val="25"/>
  </w:num>
  <w:num w:numId="9" w16cid:durableId="1522278410">
    <w:abstractNumId w:val="20"/>
  </w:num>
  <w:num w:numId="10" w16cid:durableId="2002613182">
    <w:abstractNumId w:val="14"/>
  </w:num>
  <w:num w:numId="11" w16cid:durableId="1073701921">
    <w:abstractNumId w:val="10"/>
  </w:num>
  <w:num w:numId="12" w16cid:durableId="1301959806">
    <w:abstractNumId w:val="7"/>
  </w:num>
  <w:num w:numId="13" w16cid:durableId="1529026474">
    <w:abstractNumId w:val="3"/>
  </w:num>
  <w:num w:numId="14" w16cid:durableId="1328747873">
    <w:abstractNumId w:val="19"/>
  </w:num>
  <w:num w:numId="15" w16cid:durableId="1461416829">
    <w:abstractNumId w:val="22"/>
  </w:num>
  <w:num w:numId="16" w16cid:durableId="1533763629">
    <w:abstractNumId w:val="21"/>
  </w:num>
  <w:num w:numId="17" w16cid:durableId="1437289636">
    <w:abstractNumId w:val="24"/>
  </w:num>
  <w:num w:numId="18" w16cid:durableId="1271158035">
    <w:abstractNumId w:val="8"/>
  </w:num>
  <w:num w:numId="19" w16cid:durableId="148639241">
    <w:abstractNumId w:val="12"/>
  </w:num>
  <w:num w:numId="20" w16cid:durableId="1972903694">
    <w:abstractNumId w:val="4"/>
  </w:num>
  <w:num w:numId="21" w16cid:durableId="152526903">
    <w:abstractNumId w:val="18"/>
  </w:num>
  <w:num w:numId="22" w16cid:durableId="251670470">
    <w:abstractNumId w:val="11"/>
  </w:num>
  <w:num w:numId="23" w16cid:durableId="767116358">
    <w:abstractNumId w:val="2"/>
  </w:num>
  <w:num w:numId="24" w16cid:durableId="138349294">
    <w:abstractNumId w:val="16"/>
  </w:num>
  <w:num w:numId="25" w16cid:durableId="1946421038">
    <w:abstractNumId w:val="1"/>
  </w:num>
  <w:num w:numId="26" w16cid:durableId="134775205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539"/>
    <w:rsid w:val="00007D14"/>
    <w:rsid w:val="00007E03"/>
    <w:rsid w:val="00007FF6"/>
    <w:rsid w:val="00013D7A"/>
    <w:rsid w:val="00014CCE"/>
    <w:rsid w:val="00015930"/>
    <w:rsid w:val="0001596B"/>
    <w:rsid w:val="0002703C"/>
    <w:rsid w:val="00027F84"/>
    <w:rsid w:val="00031B39"/>
    <w:rsid w:val="00032FDB"/>
    <w:rsid w:val="0003362A"/>
    <w:rsid w:val="00036B74"/>
    <w:rsid w:val="00040E3F"/>
    <w:rsid w:val="00041553"/>
    <w:rsid w:val="00042C6C"/>
    <w:rsid w:val="00043813"/>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97C7F"/>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1888"/>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6F69"/>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2D98"/>
    <w:rsid w:val="003D4C3F"/>
    <w:rsid w:val="003E60A4"/>
    <w:rsid w:val="003E749D"/>
    <w:rsid w:val="003E7856"/>
    <w:rsid w:val="003F13C7"/>
    <w:rsid w:val="003F216A"/>
    <w:rsid w:val="00402BA2"/>
    <w:rsid w:val="00402EA6"/>
    <w:rsid w:val="00402F10"/>
    <w:rsid w:val="0040334E"/>
    <w:rsid w:val="00406DE6"/>
    <w:rsid w:val="004100B1"/>
    <w:rsid w:val="00413A01"/>
    <w:rsid w:val="00416285"/>
    <w:rsid w:val="0042274F"/>
    <w:rsid w:val="00423473"/>
    <w:rsid w:val="00424E9E"/>
    <w:rsid w:val="00427C17"/>
    <w:rsid w:val="004302D1"/>
    <w:rsid w:val="00432859"/>
    <w:rsid w:val="00435D0B"/>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C7E33"/>
    <w:rsid w:val="004D11D1"/>
    <w:rsid w:val="004D2758"/>
    <w:rsid w:val="004D5C8D"/>
    <w:rsid w:val="004D6B1A"/>
    <w:rsid w:val="004D7728"/>
    <w:rsid w:val="004D7CFA"/>
    <w:rsid w:val="004E6674"/>
    <w:rsid w:val="004E7494"/>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57E1"/>
    <w:rsid w:val="00537549"/>
    <w:rsid w:val="00537F44"/>
    <w:rsid w:val="00542168"/>
    <w:rsid w:val="00546908"/>
    <w:rsid w:val="0055401B"/>
    <w:rsid w:val="005545FD"/>
    <w:rsid w:val="00554805"/>
    <w:rsid w:val="0056629D"/>
    <w:rsid w:val="00567EC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2E28"/>
    <w:rsid w:val="005F34E8"/>
    <w:rsid w:val="005F3D7B"/>
    <w:rsid w:val="005F4C5E"/>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4B29"/>
    <w:rsid w:val="00665118"/>
    <w:rsid w:val="006668C8"/>
    <w:rsid w:val="00666F42"/>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E89"/>
    <w:rsid w:val="008A0928"/>
    <w:rsid w:val="008A33CC"/>
    <w:rsid w:val="008A413E"/>
    <w:rsid w:val="008B124C"/>
    <w:rsid w:val="008B1308"/>
    <w:rsid w:val="008B325F"/>
    <w:rsid w:val="008B3859"/>
    <w:rsid w:val="008B4939"/>
    <w:rsid w:val="008B7671"/>
    <w:rsid w:val="008D03BE"/>
    <w:rsid w:val="008D4E30"/>
    <w:rsid w:val="008D6120"/>
    <w:rsid w:val="008E2D70"/>
    <w:rsid w:val="008E3078"/>
    <w:rsid w:val="008E5BD2"/>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0AAE"/>
    <w:rsid w:val="00A16C64"/>
    <w:rsid w:val="00A2261C"/>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0E4E"/>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0F67"/>
    <w:rsid w:val="00C4131F"/>
    <w:rsid w:val="00C420A2"/>
    <w:rsid w:val="00C424A9"/>
    <w:rsid w:val="00C51AB0"/>
    <w:rsid w:val="00C51FD5"/>
    <w:rsid w:val="00C53B5E"/>
    <w:rsid w:val="00C55654"/>
    <w:rsid w:val="00C5623E"/>
    <w:rsid w:val="00C6053B"/>
    <w:rsid w:val="00C60762"/>
    <w:rsid w:val="00C664F4"/>
    <w:rsid w:val="00C67109"/>
    <w:rsid w:val="00C71E69"/>
    <w:rsid w:val="00C725CB"/>
    <w:rsid w:val="00C740C3"/>
    <w:rsid w:val="00C76F57"/>
    <w:rsid w:val="00C8238B"/>
    <w:rsid w:val="00C90655"/>
    <w:rsid w:val="00C92AA8"/>
    <w:rsid w:val="00C94250"/>
    <w:rsid w:val="00C96C7E"/>
    <w:rsid w:val="00CA18B6"/>
    <w:rsid w:val="00CA723B"/>
    <w:rsid w:val="00CA7579"/>
    <w:rsid w:val="00CB0A16"/>
    <w:rsid w:val="00CB1503"/>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5C24"/>
    <w:rsid w:val="00CE6485"/>
    <w:rsid w:val="00CE7E6B"/>
    <w:rsid w:val="00CE7FD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024E"/>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330E"/>
    <w:rsid w:val="00F4559E"/>
    <w:rsid w:val="00F45DB9"/>
    <w:rsid w:val="00F50532"/>
    <w:rsid w:val="00F532DA"/>
    <w:rsid w:val="00F53FD6"/>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4954"/>
    <w:rsid w:val="00FB7230"/>
    <w:rsid w:val="00FB7473"/>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44F0A2E325DA94982285E9B7D5E10CC" ma:contentTypeVersion="18" ma:contentTypeDescription="Creare un nuovo documento." ma:contentTypeScope="" ma:versionID="a09f34e031ec677f20901596856d05b7">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55995facd5b1c1978825246777d08560"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86C0BE83-D75D-48A6-8F38-79137B5B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3</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3</cp:revision>
  <cp:lastPrinted>2023-03-30T12:05:00Z</cp:lastPrinted>
  <dcterms:created xsi:type="dcterms:W3CDTF">2025-07-10T11:01:00Z</dcterms:created>
  <dcterms:modified xsi:type="dcterms:W3CDTF">2025-07-10T12:18:00Z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ContentTypeId">
    <vt:lpwstr>0x010100144F0A2E325DA94982285E9B7D5E10CC</vt:lpwstr>
  </property>
  <property fmtid="{D5CDD505-2E9C-101B-9397-08002B2CF9AE}" pid="9" name="MediaServiceImageTags">
    <vt:lpwstr/>
  </property>
</Properties>
</file>