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99A9" w14:textId="4E8ADFD8" w:rsidR="00CE7FDB" w:rsidRPr="00CE7FDB" w:rsidRDefault="00CE7FDB" w:rsidP="00BF566C">
      <w:pPr>
        <w:jc w:val="both"/>
        <w:rPr>
          <w:rFonts w:eastAsia="Calibri"/>
          <w:sz w:val="22"/>
          <w:szCs w:val="22"/>
          <w:lang w:eastAsia="en-US"/>
        </w:rPr>
      </w:pPr>
      <w:r w:rsidRPr="00CE7FDB">
        <w:rPr>
          <w:rFonts w:eastAsia="Calibri"/>
          <w:sz w:val="22"/>
          <w:szCs w:val="22"/>
          <w:lang w:eastAsia="en-US"/>
        </w:rPr>
        <w:t xml:space="preserve">Für eine Bestellung zur </w:t>
      </w:r>
      <w:r w:rsidR="00BF566C" w:rsidRPr="00BF566C">
        <w:rPr>
          <w:rFonts w:eastAsia="Calibri"/>
          <w:b/>
          <w:bCs/>
          <w:sz w:val="22"/>
          <w:szCs w:val="22"/>
          <w:lang w:eastAsia="en-US"/>
        </w:rPr>
        <w:t>Elektrofachkraft (EFK)</w:t>
      </w:r>
      <w:r w:rsidRPr="00CE7FDB">
        <w:rPr>
          <w:rFonts w:eastAsia="Calibri"/>
          <w:sz w:val="22"/>
          <w:szCs w:val="22"/>
          <w:lang w:eastAsia="en-US"/>
        </w:rPr>
        <w:t xml:space="preserve"> wird ein qualifizierter Abschluss einer elektrotechnischen Ausbildung benötigt. Eine EFK muss zusätzlich über die nötigen Kenntnisse und Erfahrungen sowie über Kenntnis der einschlägigen Normen für die ihr übertragenen Arbeiten verfügen. Weiterhin muss sie Gefährdungen erkennen und beurteilen. </w:t>
      </w:r>
    </w:p>
    <w:p w14:paraId="7E8FCAEC" w14:textId="77777777" w:rsidR="00CE7FDB" w:rsidRPr="00CE7FDB" w:rsidRDefault="00CE7FDB" w:rsidP="00BF566C">
      <w:pPr>
        <w:jc w:val="both"/>
        <w:rPr>
          <w:rFonts w:eastAsia="Calibri"/>
          <w:sz w:val="22"/>
          <w:szCs w:val="22"/>
          <w:lang w:eastAsia="en-US"/>
        </w:rPr>
      </w:pPr>
    </w:p>
    <w:p w14:paraId="6D68BA77" w14:textId="7FFE0CFB" w:rsidR="00CE7FDB" w:rsidRPr="00BF566C" w:rsidRDefault="00BF566C" w:rsidP="00BF566C">
      <w:pPr>
        <w:jc w:val="both"/>
        <w:rPr>
          <w:rFonts w:eastAsia="Calibri"/>
          <w:b/>
          <w:bCs/>
          <w:sz w:val="22"/>
          <w:szCs w:val="22"/>
          <w:lang w:eastAsia="en-US"/>
        </w:rPr>
      </w:pPr>
      <w:proofErr w:type="spellStart"/>
      <w:r w:rsidRPr="00BF566C">
        <w:rPr>
          <w:rFonts w:eastAsia="Calibri"/>
          <w:b/>
          <w:bCs/>
          <w:sz w:val="22"/>
          <w:szCs w:val="22"/>
          <w:lang w:eastAsia="en-US"/>
        </w:rPr>
        <w:t>EFKbT</w:t>
      </w:r>
      <w:proofErr w:type="spellEnd"/>
      <w:r w:rsidRPr="00BF566C">
        <w:rPr>
          <w:rFonts w:eastAsia="Calibri"/>
          <w:b/>
          <w:bCs/>
          <w:sz w:val="22"/>
          <w:szCs w:val="22"/>
          <w:lang w:eastAsia="en-US"/>
        </w:rPr>
        <w:t xml:space="preserve"> </w:t>
      </w:r>
      <w:r>
        <w:rPr>
          <w:rFonts w:eastAsia="Calibri"/>
          <w:b/>
          <w:bCs/>
          <w:sz w:val="22"/>
          <w:szCs w:val="22"/>
          <w:lang w:eastAsia="en-US"/>
        </w:rPr>
        <w:t xml:space="preserve">- </w:t>
      </w:r>
      <w:r w:rsidRPr="00BF566C">
        <w:rPr>
          <w:rFonts w:eastAsia="Calibri"/>
          <w:b/>
          <w:bCs/>
          <w:sz w:val="22"/>
          <w:szCs w:val="22"/>
          <w:lang w:eastAsia="en-US"/>
        </w:rPr>
        <w:t>Elektrofachkraft in einem begrenzten Teilgebiet (VDE 1000-10 Abs. 4.5)</w:t>
      </w:r>
      <w:r w:rsidR="00CE7FDB" w:rsidRPr="00BF566C">
        <w:rPr>
          <w:rFonts w:eastAsia="Calibri"/>
          <w:b/>
          <w:bCs/>
          <w:sz w:val="22"/>
          <w:szCs w:val="22"/>
          <w:lang w:eastAsia="en-US"/>
        </w:rPr>
        <w:t>:</w:t>
      </w:r>
    </w:p>
    <w:p w14:paraId="65C6554C" w14:textId="77777777" w:rsidR="00CE7FDB" w:rsidRPr="00CE7FDB" w:rsidRDefault="00CE7FDB" w:rsidP="00BF566C">
      <w:pPr>
        <w:jc w:val="both"/>
        <w:rPr>
          <w:rFonts w:eastAsia="Calibri"/>
          <w:sz w:val="22"/>
          <w:szCs w:val="22"/>
          <w:lang w:eastAsia="en-US"/>
        </w:rPr>
      </w:pPr>
    </w:p>
    <w:p w14:paraId="04C33E5F" w14:textId="41C9C463" w:rsidR="00CE7FDB" w:rsidRPr="00CE7FDB" w:rsidRDefault="00CE7FDB" w:rsidP="00BF566C">
      <w:pPr>
        <w:jc w:val="both"/>
        <w:rPr>
          <w:rFonts w:eastAsia="Calibri"/>
          <w:sz w:val="22"/>
          <w:szCs w:val="22"/>
          <w:lang w:eastAsia="en-US"/>
        </w:rPr>
      </w:pPr>
      <w:r w:rsidRPr="00CE7FDB">
        <w:rPr>
          <w:rFonts w:eastAsia="Calibri"/>
          <w:sz w:val="22"/>
          <w:szCs w:val="22"/>
          <w:lang w:eastAsia="en-US"/>
        </w:rPr>
        <w:t xml:space="preserve">Bei einer Qualifizierung zu einer </w:t>
      </w:r>
      <w:proofErr w:type="spellStart"/>
      <w:r w:rsidRPr="00CE7FDB">
        <w:rPr>
          <w:rFonts w:eastAsia="Calibri"/>
          <w:sz w:val="22"/>
          <w:szCs w:val="22"/>
          <w:lang w:eastAsia="en-US"/>
        </w:rPr>
        <w:t>EFKbT</w:t>
      </w:r>
      <w:proofErr w:type="spellEnd"/>
      <w:r w:rsidRPr="00CE7FDB">
        <w:rPr>
          <w:rFonts w:eastAsia="Calibri"/>
          <w:sz w:val="22"/>
          <w:szCs w:val="22"/>
          <w:lang w:eastAsia="en-US"/>
        </w:rPr>
        <w:t xml:space="preserve"> kann in Ausnahmefällen die fachliche Ausbildung durch eine nachweislich mehrjährige Tätigkeit mit entsprechender Qualifizierung des jeweiligen Arbeits- und Aufgabegebietes ersetzt werden. Die Beurteilung, ob die Qualifikation dadurch erreicht ist, obliegt der zuständigen VEFK. Für das Erlangen des Status </w:t>
      </w:r>
      <w:proofErr w:type="spellStart"/>
      <w:r w:rsidRPr="00CE7FDB">
        <w:rPr>
          <w:rFonts w:eastAsia="Calibri"/>
          <w:sz w:val="22"/>
          <w:szCs w:val="22"/>
          <w:lang w:eastAsia="en-US"/>
        </w:rPr>
        <w:t>EFKbT</w:t>
      </w:r>
      <w:proofErr w:type="spellEnd"/>
      <w:r w:rsidRPr="00CE7FDB">
        <w:rPr>
          <w:rFonts w:eastAsia="Calibri"/>
          <w:sz w:val="22"/>
          <w:szCs w:val="22"/>
          <w:lang w:eastAsia="en-US"/>
        </w:rPr>
        <w:t xml:space="preserve"> gibt es, im Gegensatz zu einer </w:t>
      </w:r>
      <w:proofErr w:type="spellStart"/>
      <w:r w:rsidRPr="00CE7FDB">
        <w:rPr>
          <w:rFonts w:eastAsia="Calibri"/>
          <w:sz w:val="22"/>
          <w:szCs w:val="22"/>
          <w:lang w:eastAsia="en-US"/>
        </w:rPr>
        <w:t>EFKffT</w:t>
      </w:r>
      <w:proofErr w:type="spellEnd"/>
      <w:r w:rsidRPr="00CE7FDB">
        <w:rPr>
          <w:rFonts w:eastAsia="Calibri"/>
          <w:sz w:val="22"/>
          <w:szCs w:val="22"/>
          <w:lang w:eastAsia="en-US"/>
        </w:rPr>
        <w:t>, keine festgelegten Ausbildungskriterien, Lerninhalte oder Prüfungen. Dies legt die zuständige VEFK eigenverantwortlich fest, ebenso wie die Überprüfung der notwendigen Kenntnisse zur sicheren Durchführung der freizugebenden Tätigkeiten.</w:t>
      </w:r>
    </w:p>
    <w:p w14:paraId="513C7C5B" w14:textId="77777777" w:rsidR="00CE7FDB" w:rsidRPr="00CE7FDB" w:rsidRDefault="00CE7FDB" w:rsidP="00BF566C">
      <w:pPr>
        <w:jc w:val="both"/>
        <w:rPr>
          <w:rFonts w:eastAsia="Calibri"/>
          <w:sz w:val="22"/>
          <w:szCs w:val="22"/>
          <w:lang w:eastAsia="en-US"/>
        </w:rPr>
      </w:pPr>
    </w:p>
    <w:p w14:paraId="187B9198" w14:textId="77777777" w:rsidR="00CE7FDB" w:rsidRPr="00CE7FDB" w:rsidRDefault="00CE7FDB" w:rsidP="00BF566C">
      <w:pPr>
        <w:jc w:val="both"/>
        <w:rPr>
          <w:rFonts w:eastAsia="Calibri"/>
          <w:sz w:val="22"/>
          <w:szCs w:val="22"/>
          <w:lang w:eastAsia="en-US"/>
        </w:rPr>
      </w:pPr>
      <w:r w:rsidRPr="00CE7FDB">
        <w:rPr>
          <w:rFonts w:eastAsia="Calibri"/>
          <w:b/>
          <w:bCs/>
          <w:sz w:val="22"/>
          <w:szCs w:val="22"/>
          <w:lang w:eastAsia="en-US"/>
        </w:rPr>
        <w:t>Typischer Anwendungsfall:</w:t>
      </w:r>
      <w:r w:rsidRPr="00CE7FDB">
        <w:rPr>
          <w:rFonts w:eastAsia="Calibri"/>
          <w:sz w:val="22"/>
          <w:szCs w:val="22"/>
          <w:lang w:eastAsia="en-US"/>
        </w:rPr>
        <w:t xml:space="preserve"> Arbeitnehmer mit jahrelanger Berufserfahrung in einem elektrotechnischen Bereich jedoch ohne oder mit einer in Deutschland nicht anerkannten Berufsausbildung, Arbeitnehmer mit übersetzten Zeugnissen oder Diplomen aus elektrotechnischen Bereichen, Arbeitnehmer mit Gleichwertigkeitsnachweisen, etc.</w:t>
      </w:r>
    </w:p>
    <w:p w14:paraId="578D2239" w14:textId="77777777" w:rsidR="00CE7FDB" w:rsidRPr="00CE7FDB" w:rsidRDefault="00CE7FDB" w:rsidP="00BF566C">
      <w:pPr>
        <w:jc w:val="both"/>
        <w:rPr>
          <w:rFonts w:eastAsia="Calibri"/>
          <w:sz w:val="22"/>
          <w:szCs w:val="22"/>
          <w:lang w:eastAsia="en-US"/>
        </w:rPr>
      </w:pPr>
    </w:p>
    <w:p w14:paraId="5C66D2C6" w14:textId="77777777" w:rsidR="00CE7FDB" w:rsidRPr="00CE7FDB" w:rsidRDefault="00CE7FDB" w:rsidP="00BF566C">
      <w:pPr>
        <w:jc w:val="both"/>
        <w:rPr>
          <w:rFonts w:eastAsia="Calibri"/>
          <w:sz w:val="22"/>
          <w:szCs w:val="22"/>
          <w:lang w:eastAsia="en-US"/>
        </w:rPr>
      </w:pPr>
      <w:r w:rsidRPr="00CE7FDB">
        <w:rPr>
          <w:rFonts w:eastAsia="Calibri"/>
          <w:b/>
          <w:bCs/>
          <w:sz w:val="22"/>
          <w:szCs w:val="22"/>
          <w:lang w:eastAsia="en-US"/>
        </w:rPr>
        <w:t>Typische Einsatzgebiete:</w:t>
      </w:r>
      <w:r w:rsidRPr="00CE7FDB">
        <w:rPr>
          <w:rFonts w:eastAsia="Calibri"/>
          <w:sz w:val="22"/>
          <w:szCs w:val="22"/>
          <w:lang w:eastAsia="en-US"/>
        </w:rPr>
        <w:t xml:space="preserve"> Planen, Errichten, Ändern, Instandsetzen, Funktionsprüfung elektrischer Anlagen und Betriebsmittel, alle sonstigen anfallenden elektrotechnischen Arbeiten, die in den Bereich der jeweiligen Qualifikation fallen.</w:t>
      </w:r>
    </w:p>
    <w:p w14:paraId="71E53346" w14:textId="77777777" w:rsidR="00CE7FDB" w:rsidRPr="00CE7FDB" w:rsidRDefault="00CE7FDB" w:rsidP="00BF566C">
      <w:pPr>
        <w:jc w:val="both"/>
        <w:rPr>
          <w:rFonts w:eastAsia="Calibri"/>
          <w:sz w:val="22"/>
          <w:szCs w:val="22"/>
          <w:lang w:eastAsia="en-US"/>
        </w:rPr>
      </w:pPr>
    </w:p>
    <w:p w14:paraId="00ECEB29" w14:textId="5DB2E6C7" w:rsidR="00CE7FDB" w:rsidRPr="00CE7FDB" w:rsidRDefault="00CE7FDB" w:rsidP="00BF566C">
      <w:pPr>
        <w:jc w:val="both"/>
        <w:rPr>
          <w:rFonts w:eastAsia="Calibri"/>
          <w:b/>
          <w:bCs/>
          <w:sz w:val="22"/>
          <w:szCs w:val="22"/>
          <w:lang w:eastAsia="en-US"/>
        </w:rPr>
      </w:pPr>
      <w:proofErr w:type="spellStart"/>
      <w:r w:rsidRPr="00CE7FDB">
        <w:rPr>
          <w:rFonts w:eastAsia="Calibri"/>
          <w:b/>
          <w:bCs/>
          <w:sz w:val="22"/>
          <w:szCs w:val="22"/>
          <w:lang w:eastAsia="en-US"/>
        </w:rPr>
        <w:t>EKFffT</w:t>
      </w:r>
      <w:proofErr w:type="spellEnd"/>
      <w:r w:rsidRPr="00CE7FDB">
        <w:rPr>
          <w:rFonts w:eastAsia="Calibri"/>
          <w:b/>
          <w:bCs/>
          <w:sz w:val="22"/>
          <w:szCs w:val="22"/>
          <w:lang w:eastAsia="en-US"/>
        </w:rPr>
        <w:t xml:space="preserve"> </w:t>
      </w:r>
      <w:r w:rsidR="00BF566C">
        <w:rPr>
          <w:rFonts w:eastAsia="Calibri"/>
          <w:b/>
          <w:bCs/>
          <w:sz w:val="22"/>
          <w:szCs w:val="22"/>
          <w:lang w:eastAsia="en-US"/>
        </w:rPr>
        <w:t xml:space="preserve">- </w:t>
      </w:r>
      <w:r w:rsidR="00BF566C" w:rsidRPr="00BF566C">
        <w:rPr>
          <w:rFonts w:eastAsia="Calibri"/>
          <w:b/>
          <w:bCs/>
          <w:sz w:val="22"/>
          <w:szCs w:val="22"/>
          <w:lang w:eastAsia="en-US"/>
        </w:rPr>
        <w:t>Elektrofachkraft für festgelegte Tätigkeiten</w:t>
      </w:r>
      <w:r w:rsidR="00BF566C">
        <w:rPr>
          <w:rFonts w:eastAsia="Calibri"/>
          <w:b/>
          <w:bCs/>
          <w:sz w:val="22"/>
          <w:szCs w:val="22"/>
          <w:lang w:eastAsia="en-US"/>
        </w:rPr>
        <w:t xml:space="preserve"> </w:t>
      </w:r>
      <w:r w:rsidR="00BF566C" w:rsidRPr="00BF566C">
        <w:rPr>
          <w:rFonts w:eastAsia="Calibri"/>
          <w:b/>
          <w:bCs/>
          <w:sz w:val="22"/>
          <w:szCs w:val="22"/>
          <w:lang w:eastAsia="en-US"/>
        </w:rPr>
        <w:t>(DGUV Vorschrift 3 DA/ § 2 Abs. 3)</w:t>
      </w:r>
    </w:p>
    <w:p w14:paraId="1C063892" w14:textId="77777777" w:rsidR="00CE7FDB" w:rsidRPr="00CE7FDB" w:rsidRDefault="00CE7FDB" w:rsidP="00BF566C">
      <w:pPr>
        <w:jc w:val="both"/>
        <w:rPr>
          <w:rFonts w:eastAsia="Calibri"/>
          <w:sz w:val="22"/>
          <w:szCs w:val="22"/>
          <w:lang w:eastAsia="en-US"/>
        </w:rPr>
      </w:pPr>
    </w:p>
    <w:p w14:paraId="35B5071E" w14:textId="6B5B7019" w:rsidR="00CE7FDB" w:rsidRDefault="00CE7FDB" w:rsidP="00BF566C">
      <w:pPr>
        <w:jc w:val="both"/>
        <w:rPr>
          <w:rFonts w:eastAsia="Calibri"/>
          <w:sz w:val="22"/>
          <w:szCs w:val="22"/>
          <w:lang w:eastAsia="en-US"/>
        </w:rPr>
      </w:pPr>
      <w:r w:rsidRPr="00CE7FDB">
        <w:rPr>
          <w:rFonts w:eastAsia="Calibri"/>
          <w:sz w:val="22"/>
          <w:szCs w:val="22"/>
          <w:lang w:eastAsia="en-US"/>
        </w:rPr>
        <w:t xml:space="preserve">Die Qualifizierung zu einer </w:t>
      </w:r>
      <w:proofErr w:type="spellStart"/>
      <w:r w:rsidRPr="00CE7FDB">
        <w:rPr>
          <w:rFonts w:eastAsia="Calibri"/>
          <w:sz w:val="22"/>
          <w:szCs w:val="22"/>
          <w:lang w:eastAsia="en-US"/>
        </w:rPr>
        <w:t>EFKffT</w:t>
      </w:r>
      <w:proofErr w:type="spellEnd"/>
      <w:r w:rsidRPr="00CE7FDB">
        <w:rPr>
          <w:rFonts w:eastAsia="Calibri"/>
          <w:sz w:val="22"/>
          <w:szCs w:val="22"/>
          <w:lang w:eastAsia="en-US"/>
        </w:rPr>
        <w:t xml:space="preserve"> kann durch innerbetriebliche Ausbildung oder Ausbildung bei einem externen Bildungsträger erfolgen. Die Ausbildungskriterien sind im DGUV Grundsatz 303-001 festgelegt. Eine abgeschlossene Berufsausbildung oder eine gleichwertige berufliche Tätigkeit ist Voraussetzung.</w:t>
      </w:r>
    </w:p>
    <w:p w14:paraId="5D1DDF5D" w14:textId="77777777" w:rsidR="00461100" w:rsidRPr="00CE7FDB" w:rsidRDefault="00461100" w:rsidP="00BF566C">
      <w:pPr>
        <w:jc w:val="both"/>
        <w:rPr>
          <w:rFonts w:eastAsia="Calibri"/>
          <w:sz w:val="22"/>
          <w:szCs w:val="22"/>
          <w:lang w:eastAsia="en-US"/>
        </w:rPr>
      </w:pPr>
    </w:p>
    <w:p w14:paraId="0E562051" w14:textId="68F12ADF" w:rsidR="00CE7FDB" w:rsidRPr="00CE7FDB" w:rsidRDefault="00CE7FDB" w:rsidP="00BF566C">
      <w:pPr>
        <w:jc w:val="both"/>
        <w:rPr>
          <w:rFonts w:eastAsia="Calibri"/>
          <w:sz w:val="22"/>
          <w:szCs w:val="22"/>
          <w:lang w:eastAsia="en-US"/>
        </w:rPr>
      </w:pPr>
      <w:r w:rsidRPr="00CE7FDB">
        <w:rPr>
          <w:rFonts w:eastAsia="Calibri"/>
          <w:sz w:val="22"/>
          <w:szCs w:val="22"/>
          <w:lang w:eastAsia="en-US"/>
        </w:rPr>
        <w:t xml:space="preserve">Die Ausbildung für eine Tätigkeit im Handwerk umfasst mindestens 80 Stunden in Theorie- und Praxisunterricht. Im Praxisteil werden die Kenntnisse der zur Anwendung kommenden </w:t>
      </w:r>
      <w:r w:rsidRPr="00CE7FDB">
        <w:rPr>
          <w:rFonts w:eastAsia="Calibri"/>
          <w:b/>
          <w:bCs/>
          <w:sz w:val="22"/>
          <w:szCs w:val="22"/>
          <w:lang w:eastAsia="en-US"/>
        </w:rPr>
        <w:t>Betriebsmittel</w:t>
      </w:r>
      <w:r w:rsidRPr="00CE7FDB">
        <w:rPr>
          <w:rFonts w:eastAsia="Calibri"/>
          <w:sz w:val="22"/>
          <w:szCs w:val="22"/>
          <w:lang w:eastAsia="en-US"/>
        </w:rPr>
        <w:t xml:space="preserve"> und Tätigkeit vermittelt, so dass diese sicher angewendet werden können. Die Ausbildung ist mit einer Prüfung abzuschließen, in der die Kenntnisse nachgewiesen werden müssen.</w:t>
      </w:r>
      <w:r w:rsidR="00E007D6">
        <w:rPr>
          <w:rFonts w:eastAsia="Calibri"/>
          <w:sz w:val="22"/>
          <w:szCs w:val="22"/>
          <w:lang w:eastAsia="en-US"/>
        </w:rPr>
        <w:t xml:space="preserve"> </w:t>
      </w:r>
      <w:r w:rsidRPr="00CE7FDB">
        <w:rPr>
          <w:rFonts w:eastAsia="Calibri"/>
          <w:sz w:val="22"/>
          <w:szCs w:val="22"/>
          <w:lang w:eastAsia="en-US"/>
        </w:rPr>
        <w:t xml:space="preserve">Der Unternehmer muss Arbeitsanweisungen für die jeweiligen </w:t>
      </w:r>
      <w:r w:rsidRPr="00CE7FDB">
        <w:rPr>
          <w:rFonts w:eastAsia="Calibri"/>
          <w:b/>
          <w:bCs/>
          <w:sz w:val="22"/>
          <w:szCs w:val="22"/>
          <w:lang w:eastAsia="en-US"/>
        </w:rPr>
        <w:t>gleichartigen</w:t>
      </w:r>
      <w:r w:rsidRPr="00CE7FDB">
        <w:rPr>
          <w:rFonts w:eastAsia="Calibri"/>
          <w:sz w:val="22"/>
          <w:szCs w:val="22"/>
          <w:lang w:eastAsia="en-US"/>
        </w:rPr>
        <w:t xml:space="preserve">, sich </w:t>
      </w:r>
      <w:r w:rsidRPr="00CE7FDB">
        <w:rPr>
          <w:rFonts w:eastAsia="Calibri"/>
          <w:b/>
          <w:bCs/>
          <w:sz w:val="22"/>
          <w:szCs w:val="22"/>
          <w:lang w:eastAsia="en-US"/>
        </w:rPr>
        <w:t>wiederholenden</w:t>
      </w:r>
      <w:r w:rsidRPr="00CE7FDB">
        <w:rPr>
          <w:rFonts w:eastAsia="Calibri"/>
          <w:sz w:val="22"/>
          <w:szCs w:val="22"/>
          <w:lang w:eastAsia="en-US"/>
        </w:rPr>
        <w:t xml:space="preserve"> Tätigkeiten erstellen.</w:t>
      </w:r>
      <w:r w:rsidR="00E007D6">
        <w:rPr>
          <w:rFonts w:eastAsia="Calibri"/>
          <w:sz w:val="22"/>
          <w:szCs w:val="22"/>
          <w:lang w:eastAsia="en-US"/>
        </w:rPr>
        <w:t xml:space="preserve"> </w:t>
      </w:r>
      <w:r w:rsidRPr="00CE7FDB">
        <w:rPr>
          <w:rFonts w:eastAsia="Calibri"/>
          <w:sz w:val="22"/>
          <w:szCs w:val="22"/>
          <w:lang w:eastAsia="en-US"/>
        </w:rPr>
        <w:t xml:space="preserve">Im Zertifikat des Bildungsträgers und in der Bestellung der </w:t>
      </w:r>
      <w:proofErr w:type="spellStart"/>
      <w:r w:rsidRPr="00CE7FDB">
        <w:rPr>
          <w:rFonts w:eastAsia="Calibri"/>
          <w:sz w:val="22"/>
          <w:szCs w:val="22"/>
          <w:lang w:eastAsia="en-US"/>
        </w:rPr>
        <w:t>EFKffT</w:t>
      </w:r>
      <w:proofErr w:type="spellEnd"/>
      <w:r w:rsidRPr="00CE7FDB">
        <w:rPr>
          <w:rFonts w:eastAsia="Calibri"/>
          <w:sz w:val="22"/>
          <w:szCs w:val="22"/>
          <w:lang w:eastAsia="en-US"/>
        </w:rPr>
        <w:t xml:space="preserve"> wird der freigegebene Tätigkeitsbereich festgelegt.</w:t>
      </w:r>
    </w:p>
    <w:p w14:paraId="19227688" w14:textId="77777777" w:rsidR="00CE7FDB" w:rsidRPr="00CE7FDB" w:rsidRDefault="00CE7FDB" w:rsidP="00BF566C">
      <w:pPr>
        <w:jc w:val="both"/>
        <w:rPr>
          <w:rFonts w:eastAsia="Calibri"/>
          <w:sz w:val="22"/>
          <w:szCs w:val="22"/>
          <w:lang w:eastAsia="en-US"/>
        </w:rPr>
      </w:pPr>
    </w:p>
    <w:p w14:paraId="15A561CB" w14:textId="3E9E3C9E" w:rsidR="00CE7FDB" w:rsidRPr="00CE7FDB" w:rsidRDefault="00CE7FDB" w:rsidP="00BF566C">
      <w:pPr>
        <w:jc w:val="both"/>
        <w:rPr>
          <w:rFonts w:eastAsia="Calibri"/>
          <w:sz w:val="22"/>
          <w:szCs w:val="22"/>
          <w:lang w:eastAsia="en-US"/>
        </w:rPr>
      </w:pPr>
      <w:r w:rsidRPr="00CE7FDB">
        <w:rPr>
          <w:rFonts w:eastAsia="Calibri"/>
          <w:b/>
          <w:bCs/>
          <w:sz w:val="22"/>
          <w:szCs w:val="22"/>
          <w:lang w:eastAsia="en-US"/>
        </w:rPr>
        <w:t>Typischer Anwendungsfall:</w:t>
      </w:r>
      <w:r w:rsidRPr="00CE7FDB">
        <w:rPr>
          <w:rFonts w:eastAsia="Calibri"/>
          <w:sz w:val="22"/>
          <w:szCs w:val="22"/>
          <w:lang w:eastAsia="en-US"/>
        </w:rPr>
        <w:t xml:space="preserve"> Die </w:t>
      </w:r>
      <w:proofErr w:type="spellStart"/>
      <w:r w:rsidRPr="00CE7FDB">
        <w:rPr>
          <w:rFonts w:eastAsia="Calibri"/>
          <w:sz w:val="22"/>
          <w:szCs w:val="22"/>
          <w:lang w:eastAsia="en-US"/>
        </w:rPr>
        <w:t>EFKffT</w:t>
      </w:r>
      <w:proofErr w:type="spellEnd"/>
      <w:r w:rsidRPr="00CE7FDB">
        <w:rPr>
          <w:rFonts w:eastAsia="Calibri"/>
          <w:sz w:val="22"/>
          <w:szCs w:val="22"/>
          <w:lang w:eastAsia="en-US"/>
        </w:rPr>
        <w:t xml:space="preserve"> hat ihren Ursprung im § 5 der Handwerksordnung. </w:t>
      </w:r>
      <w:proofErr w:type="gramStart"/>
      <w:r w:rsidRPr="00CE7FDB">
        <w:rPr>
          <w:rFonts w:eastAsia="Calibri"/>
          <w:sz w:val="22"/>
          <w:szCs w:val="22"/>
          <w:lang w:eastAsia="en-US"/>
        </w:rPr>
        <w:t>Diese erlaubt Handwerksbetrieben</w:t>
      </w:r>
      <w:proofErr w:type="gramEnd"/>
      <w:r w:rsidRPr="00CE7FDB">
        <w:rPr>
          <w:rFonts w:eastAsia="Calibri"/>
          <w:sz w:val="22"/>
          <w:szCs w:val="22"/>
          <w:lang w:eastAsia="en-US"/>
        </w:rPr>
        <w:t>, Fremdgewerke auszuführen, wenn sie mit dem eigenen Gewerk zusammenhängen oder dieses wirtschaftlich ergänzen.</w:t>
      </w:r>
      <w:r w:rsidR="00E007D6">
        <w:rPr>
          <w:rFonts w:eastAsia="Calibri"/>
          <w:sz w:val="22"/>
          <w:szCs w:val="22"/>
          <w:lang w:eastAsia="en-US"/>
        </w:rPr>
        <w:t xml:space="preserve"> </w:t>
      </w:r>
      <w:r w:rsidRPr="00CE7FDB">
        <w:rPr>
          <w:rFonts w:eastAsia="Calibri"/>
          <w:sz w:val="22"/>
          <w:szCs w:val="22"/>
          <w:lang w:eastAsia="en-US"/>
        </w:rPr>
        <w:t>Der DGUV Grundsatz 303-001 erweitert die Anwendung auch auf die Industrie, um nach einer ausreichenden Ausbildung (18 Wochen und mehr) auch Inbetriebnahme, Instandhaltung und Kundendienst durchführen zu können.</w:t>
      </w:r>
    </w:p>
    <w:p w14:paraId="04A5751A" w14:textId="77777777" w:rsidR="00CE7FDB" w:rsidRPr="00CE7FDB" w:rsidRDefault="00CE7FDB" w:rsidP="00BF566C">
      <w:pPr>
        <w:jc w:val="both"/>
        <w:rPr>
          <w:rFonts w:eastAsia="Calibri"/>
          <w:sz w:val="22"/>
          <w:szCs w:val="22"/>
          <w:lang w:eastAsia="en-US"/>
        </w:rPr>
      </w:pPr>
    </w:p>
    <w:p w14:paraId="5A8A1D71" w14:textId="229AEC18" w:rsidR="00CE7FDB" w:rsidRPr="00CE7FDB" w:rsidRDefault="00CE7FDB" w:rsidP="00BF566C">
      <w:pPr>
        <w:jc w:val="both"/>
        <w:rPr>
          <w:rFonts w:eastAsia="Calibri"/>
          <w:sz w:val="22"/>
          <w:szCs w:val="22"/>
          <w:lang w:eastAsia="en-US"/>
        </w:rPr>
      </w:pPr>
      <w:r w:rsidRPr="00CE7FDB">
        <w:rPr>
          <w:rFonts w:eastAsia="Calibri"/>
          <w:b/>
          <w:bCs/>
          <w:sz w:val="22"/>
          <w:szCs w:val="22"/>
          <w:lang w:eastAsia="en-US"/>
        </w:rPr>
        <w:t>Typische Einsatzgebiete:</w:t>
      </w:r>
      <w:r w:rsidRPr="00CE7FDB">
        <w:rPr>
          <w:rFonts w:eastAsia="Calibri"/>
          <w:sz w:val="22"/>
          <w:szCs w:val="22"/>
          <w:lang w:eastAsia="en-US"/>
        </w:rPr>
        <w:t xml:space="preserve"> Kundendienstmonteure, Heizung-, Klima-, Sanitärmonteure, Tischler von Möbelhäusern oder Küchenstudios die für den Anschluss von einfachen elektrischen Betriebsmitteln eingesetzt werden.</w:t>
      </w:r>
    </w:p>
    <w:p w14:paraId="7F985E53" w14:textId="77777777" w:rsidR="00CE7FDB" w:rsidRPr="00CE7FDB" w:rsidRDefault="00CE7FDB" w:rsidP="00BF566C">
      <w:pPr>
        <w:jc w:val="both"/>
        <w:rPr>
          <w:rFonts w:eastAsia="Calibri"/>
          <w:sz w:val="22"/>
          <w:szCs w:val="22"/>
          <w:lang w:eastAsia="en-US"/>
        </w:rPr>
      </w:pPr>
    </w:p>
    <w:p w14:paraId="07A6D6BE" w14:textId="77777777" w:rsidR="00CE7FDB" w:rsidRPr="00CE7FDB" w:rsidRDefault="00CE7FDB" w:rsidP="00BF566C">
      <w:pPr>
        <w:jc w:val="both"/>
        <w:rPr>
          <w:rFonts w:eastAsia="Calibri"/>
          <w:b/>
          <w:bCs/>
          <w:sz w:val="22"/>
          <w:szCs w:val="22"/>
          <w:lang w:eastAsia="en-US"/>
        </w:rPr>
      </w:pPr>
      <w:r w:rsidRPr="00CE7FDB">
        <w:rPr>
          <w:rFonts w:eastAsia="Calibri"/>
          <w:b/>
          <w:bCs/>
          <w:sz w:val="22"/>
          <w:szCs w:val="22"/>
          <w:lang w:eastAsia="en-US"/>
        </w:rPr>
        <w:lastRenderedPageBreak/>
        <w:t>Fazit:</w:t>
      </w:r>
    </w:p>
    <w:p w14:paraId="58CA978D" w14:textId="201A88F6" w:rsidR="00CE7FDB" w:rsidRDefault="00CE7FDB" w:rsidP="00BF566C">
      <w:pPr>
        <w:jc w:val="both"/>
        <w:rPr>
          <w:rFonts w:eastAsia="Calibri"/>
          <w:sz w:val="22"/>
          <w:szCs w:val="22"/>
          <w:lang w:eastAsia="en-US"/>
        </w:rPr>
      </w:pPr>
      <w:r w:rsidRPr="00CE7FDB">
        <w:rPr>
          <w:rFonts w:eastAsia="Calibri"/>
          <w:sz w:val="22"/>
          <w:szCs w:val="22"/>
          <w:lang w:eastAsia="en-US"/>
        </w:rPr>
        <w:t xml:space="preserve">Ob ein Arbeitnehmer als </w:t>
      </w:r>
      <w:proofErr w:type="spellStart"/>
      <w:r w:rsidRPr="00CE7FDB">
        <w:rPr>
          <w:rFonts w:eastAsia="Calibri"/>
          <w:sz w:val="22"/>
          <w:szCs w:val="22"/>
          <w:lang w:eastAsia="en-US"/>
        </w:rPr>
        <w:t>EFKffT</w:t>
      </w:r>
      <w:proofErr w:type="spellEnd"/>
      <w:r w:rsidRPr="00CE7FDB">
        <w:rPr>
          <w:rFonts w:eastAsia="Calibri"/>
          <w:sz w:val="22"/>
          <w:szCs w:val="22"/>
          <w:lang w:eastAsia="en-US"/>
        </w:rPr>
        <w:t xml:space="preserve"> oder </w:t>
      </w:r>
      <w:proofErr w:type="spellStart"/>
      <w:r w:rsidRPr="00CE7FDB">
        <w:rPr>
          <w:rFonts w:eastAsia="Calibri"/>
          <w:sz w:val="22"/>
          <w:szCs w:val="22"/>
          <w:lang w:eastAsia="en-US"/>
        </w:rPr>
        <w:t>EFKbT</w:t>
      </w:r>
      <w:proofErr w:type="spellEnd"/>
      <w:r w:rsidRPr="00CE7FDB">
        <w:rPr>
          <w:rFonts w:eastAsia="Calibri"/>
          <w:sz w:val="22"/>
          <w:szCs w:val="22"/>
          <w:lang w:eastAsia="en-US"/>
        </w:rPr>
        <w:t xml:space="preserve"> eingesetzt werden kann oder sollte, richtet sich nach den jeweiligen Voraussetzungen der Mitarbeiter und der angestrebten Tätigkeit. Handelt es sich um elektrotechnikfremde Facharbeiter, die einfache sich wiederholende Tätigkeiten aus der Elektrotechnik miterledigen sollen, ist eine Qualifizierung zur </w:t>
      </w:r>
      <w:proofErr w:type="spellStart"/>
      <w:r w:rsidRPr="00CE7FDB">
        <w:rPr>
          <w:rFonts w:eastAsia="Calibri"/>
          <w:sz w:val="22"/>
          <w:szCs w:val="22"/>
          <w:lang w:eastAsia="en-US"/>
        </w:rPr>
        <w:t>EFKffT</w:t>
      </w:r>
      <w:proofErr w:type="spellEnd"/>
      <w:r w:rsidRPr="00CE7FDB">
        <w:rPr>
          <w:rFonts w:eastAsia="Calibri"/>
          <w:sz w:val="22"/>
          <w:szCs w:val="22"/>
          <w:lang w:eastAsia="en-US"/>
        </w:rPr>
        <w:t xml:space="preserve"> sinnvoll.</w:t>
      </w:r>
      <w:r w:rsidR="00E007D6">
        <w:rPr>
          <w:rFonts w:eastAsia="Calibri"/>
          <w:sz w:val="22"/>
          <w:szCs w:val="22"/>
          <w:lang w:eastAsia="en-US"/>
        </w:rPr>
        <w:t xml:space="preserve"> </w:t>
      </w:r>
      <w:r w:rsidRPr="00CE7FDB">
        <w:rPr>
          <w:rFonts w:eastAsia="Calibri"/>
          <w:sz w:val="22"/>
          <w:szCs w:val="22"/>
          <w:lang w:eastAsia="en-US"/>
        </w:rPr>
        <w:t xml:space="preserve">Handelt es sich um Mitarbeiter aus elektrotechnischen Bereichen ohne Qualifikationsnachweis oder mit anderweitig erworbenen elektrotechnischen Vorkenntnissen, so ist eine Qualifizierung zur </w:t>
      </w:r>
      <w:proofErr w:type="spellStart"/>
      <w:r w:rsidRPr="00CE7FDB">
        <w:rPr>
          <w:rFonts w:eastAsia="Calibri"/>
          <w:sz w:val="22"/>
          <w:szCs w:val="22"/>
          <w:lang w:eastAsia="en-US"/>
        </w:rPr>
        <w:t>EFKbT</w:t>
      </w:r>
      <w:proofErr w:type="spellEnd"/>
      <w:r w:rsidRPr="00CE7FDB">
        <w:rPr>
          <w:rFonts w:eastAsia="Calibri"/>
          <w:sz w:val="22"/>
          <w:szCs w:val="22"/>
          <w:lang w:eastAsia="en-US"/>
        </w:rPr>
        <w:t xml:space="preserve"> sinnvoll. </w:t>
      </w:r>
    </w:p>
    <w:p w14:paraId="225A1971" w14:textId="77777777" w:rsidR="00BF566C" w:rsidRPr="00CE7FDB" w:rsidRDefault="00BF566C" w:rsidP="00BF566C">
      <w:pPr>
        <w:jc w:val="both"/>
        <w:rPr>
          <w:rFonts w:eastAsia="Calibri"/>
          <w:sz w:val="22"/>
          <w:szCs w:val="22"/>
          <w:lang w:eastAsia="en-US"/>
        </w:rPr>
      </w:pPr>
    </w:p>
    <w:p w14:paraId="7F925236" w14:textId="77777777" w:rsidR="00BF566C" w:rsidRDefault="00CE7FDB" w:rsidP="00BF566C">
      <w:pPr>
        <w:jc w:val="both"/>
        <w:rPr>
          <w:rFonts w:eastAsia="Calibri"/>
          <w:sz w:val="22"/>
          <w:szCs w:val="22"/>
          <w:lang w:eastAsia="en-US"/>
        </w:rPr>
      </w:pPr>
      <w:r w:rsidRPr="00CE7FDB">
        <w:rPr>
          <w:rFonts w:eastAsia="Calibri"/>
          <w:b/>
          <w:bCs/>
          <w:sz w:val="22"/>
          <w:szCs w:val="22"/>
          <w:lang w:eastAsia="en-US"/>
        </w:rPr>
        <w:t>Hinweis:</w:t>
      </w:r>
      <w:r w:rsidRPr="00CE7FDB">
        <w:rPr>
          <w:rFonts w:eastAsia="Calibri"/>
          <w:sz w:val="22"/>
          <w:szCs w:val="22"/>
          <w:lang w:eastAsia="en-US"/>
        </w:rPr>
        <w:t xml:space="preserve"> </w:t>
      </w:r>
    </w:p>
    <w:p w14:paraId="6F24E126" w14:textId="54814DCB" w:rsidR="00CE7FDB" w:rsidRPr="00CE7FDB" w:rsidRDefault="00CE7FDB" w:rsidP="00BF566C">
      <w:pPr>
        <w:jc w:val="both"/>
        <w:rPr>
          <w:rFonts w:eastAsia="Calibri"/>
          <w:sz w:val="22"/>
          <w:szCs w:val="22"/>
          <w:lang w:eastAsia="en-US"/>
        </w:rPr>
      </w:pPr>
      <w:r w:rsidRPr="00CE7FDB">
        <w:rPr>
          <w:rFonts w:eastAsia="Calibri"/>
          <w:sz w:val="22"/>
          <w:szCs w:val="22"/>
          <w:lang w:eastAsia="en-US"/>
        </w:rPr>
        <w:t xml:space="preserve">Die VDE 1000-10 Abs. 4.5 weist deutlich darauf hin, dass die zuständige VEFK die Qualifizierung der in Frage kommenden </w:t>
      </w:r>
      <w:proofErr w:type="spellStart"/>
      <w:r w:rsidRPr="00CE7FDB">
        <w:rPr>
          <w:rFonts w:eastAsia="Calibri"/>
          <w:sz w:val="22"/>
          <w:szCs w:val="22"/>
          <w:lang w:eastAsia="en-US"/>
        </w:rPr>
        <w:t>EFKbT</w:t>
      </w:r>
      <w:proofErr w:type="spellEnd"/>
      <w:r w:rsidRPr="00CE7FDB">
        <w:rPr>
          <w:rFonts w:eastAsia="Calibri"/>
          <w:sz w:val="22"/>
          <w:szCs w:val="22"/>
          <w:lang w:eastAsia="en-US"/>
        </w:rPr>
        <w:t xml:space="preserve"> beurteilen muss. Ähnliches steht bereits im § 7 ArbSchG. Somit wird der Weg zum Qualifikationsnachweis einer </w:t>
      </w:r>
      <w:proofErr w:type="spellStart"/>
      <w:r w:rsidRPr="00CE7FDB">
        <w:rPr>
          <w:rFonts w:eastAsia="Calibri"/>
          <w:sz w:val="22"/>
          <w:szCs w:val="22"/>
          <w:lang w:eastAsia="en-US"/>
        </w:rPr>
        <w:t>EFKbT</w:t>
      </w:r>
      <w:proofErr w:type="spellEnd"/>
      <w:r w:rsidRPr="00CE7FDB">
        <w:rPr>
          <w:rFonts w:eastAsia="Calibri"/>
          <w:sz w:val="22"/>
          <w:szCs w:val="22"/>
          <w:lang w:eastAsia="en-US"/>
        </w:rPr>
        <w:t xml:space="preserve"> vereinfacht. Zu empfehlen wäre trotzdem eine teilweise Ausbildung zur </w:t>
      </w:r>
      <w:proofErr w:type="spellStart"/>
      <w:r w:rsidRPr="00CE7FDB">
        <w:rPr>
          <w:rFonts w:eastAsia="Calibri"/>
          <w:sz w:val="22"/>
          <w:szCs w:val="22"/>
          <w:lang w:eastAsia="en-US"/>
        </w:rPr>
        <w:t>EFKffT</w:t>
      </w:r>
      <w:proofErr w:type="spellEnd"/>
      <w:r w:rsidRPr="00CE7FDB">
        <w:rPr>
          <w:rFonts w:eastAsia="Calibri"/>
          <w:sz w:val="22"/>
          <w:szCs w:val="22"/>
          <w:lang w:eastAsia="en-US"/>
        </w:rPr>
        <w:t xml:space="preserve"> um etwaige Wissenslücken besser erkennen und füllen zu können.</w:t>
      </w:r>
    </w:p>
    <w:p w14:paraId="74DE6257" w14:textId="77777777" w:rsidR="00CE7FDB" w:rsidRPr="00CE7FDB" w:rsidRDefault="00CE7FDB" w:rsidP="00BF566C">
      <w:pPr>
        <w:jc w:val="both"/>
        <w:rPr>
          <w:rFonts w:eastAsia="Calibri"/>
          <w:sz w:val="22"/>
          <w:szCs w:val="22"/>
          <w:lang w:eastAsia="en-US"/>
        </w:rPr>
      </w:pPr>
    </w:p>
    <w:p w14:paraId="126FA742" w14:textId="77777777" w:rsidR="00CE7FDB" w:rsidRPr="00CE7FDB" w:rsidRDefault="00CE7FDB" w:rsidP="00BF566C">
      <w:pPr>
        <w:tabs>
          <w:tab w:val="left" w:pos="6075"/>
        </w:tabs>
        <w:jc w:val="both"/>
        <w:rPr>
          <w:sz w:val="22"/>
          <w:szCs w:val="22"/>
        </w:rPr>
      </w:pPr>
      <w:r w:rsidRPr="00CE7FDB">
        <w:rPr>
          <w:rFonts w:eastAsia="Calibri"/>
          <w:sz w:val="22"/>
          <w:szCs w:val="22"/>
          <w:lang w:eastAsia="en-US"/>
        </w:rPr>
        <w:t>Alle Elektrofachkräfte haben gemeinsam, dass die Qualifizierung auf zeitnahe Tätigkeit, einen regelmäßigen Erfahrungsaustausch, Kenntnisse von normativen Änderungen und auf der Beurteilung der zuständigen VEFK begründet ist. Das bedeutet, dass die Qualifizierung erlöschen kann, wenn die EFK beispielsweise über einen längeren Zeitraum in einem berufsfremden Arbeitsgebiet tätig war. Sie kann allerdings wieder durch aktuelle Erfahrungen oder Schulungen erworben werden.</w:t>
      </w:r>
    </w:p>
    <w:p w14:paraId="317E92D7" w14:textId="66ACF766" w:rsidR="006C72F5" w:rsidRPr="00CE7FDB" w:rsidRDefault="006C72F5" w:rsidP="00BF566C">
      <w:pPr>
        <w:rPr>
          <w:sz w:val="22"/>
          <w:szCs w:val="22"/>
        </w:rPr>
      </w:pPr>
    </w:p>
    <w:sectPr w:rsidR="006C72F5" w:rsidRPr="00CE7FDB" w:rsidSect="00D75291">
      <w:headerReference w:type="default" r:id="rId11"/>
      <w:footerReference w:type="default" r:id="rId12"/>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4ED6" w14:textId="77777777" w:rsidR="00031B39" w:rsidRDefault="00031B39">
      <w:r>
        <w:separator/>
      </w:r>
    </w:p>
  </w:endnote>
  <w:endnote w:type="continuationSeparator" w:id="0">
    <w:p w14:paraId="7C8D3E07" w14:textId="77777777" w:rsidR="00031B39" w:rsidRDefault="0003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panose1 w:val="020B0604020202020204"/>
    <w:charset w:val="80"/>
    <w:family w:val="auto"/>
    <w:pitch w:val="variable"/>
    <w:sig w:usb0="00000000" w:usb1="7AC7FFFF" w:usb2="00000012" w:usb3="00000000" w:csb0="0002000D" w:csb1="00000000"/>
  </w:font>
  <w:font w:name="DGUV Meta-Normal">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880BDA7" w:rsidR="004F0DC2" w:rsidRPr="004C1C05" w:rsidRDefault="00413A01" w:rsidP="004F0DC2">
          <w:pPr>
            <w:pStyle w:val="Fuzeile"/>
            <w:ind w:right="-83"/>
            <w:rPr>
              <w:sz w:val="16"/>
              <w:szCs w:val="16"/>
            </w:rPr>
          </w:pPr>
          <w:r>
            <w:rPr>
              <w:sz w:val="16"/>
              <w:szCs w:val="16"/>
            </w:rPr>
            <w:t>1</w:t>
          </w:r>
        </w:p>
      </w:tc>
      <w:tc>
        <w:tcPr>
          <w:tcW w:w="1114" w:type="dxa"/>
          <w:vAlign w:val="center"/>
        </w:tcPr>
        <w:p w14:paraId="6AD19F8F" w14:textId="184B07EA"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638C4F9A" w:rsidR="00413A01" w:rsidRPr="004C1C05" w:rsidRDefault="006C0D69" w:rsidP="00413A01">
          <w:pPr>
            <w:pStyle w:val="Fuzeile"/>
            <w:ind w:right="-83"/>
            <w:rPr>
              <w:sz w:val="16"/>
              <w:szCs w:val="16"/>
            </w:rPr>
          </w:pPr>
          <w:r>
            <w:rPr>
              <w:sz w:val="16"/>
              <w:szCs w:val="16"/>
            </w:rPr>
            <w:t>01.</w:t>
          </w:r>
          <w:r w:rsidR="0032510F">
            <w:rPr>
              <w:sz w:val="16"/>
              <w:szCs w:val="16"/>
            </w:rPr>
            <w:t>1</w:t>
          </w:r>
          <w:r w:rsidR="00CE7FDB">
            <w:rPr>
              <w:sz w:val="16"/>
              <w:szCs w:val="16"/>
            </w:rPr>
            <w:t>2</w:t>
          </w:r>
          <w:r w:rsidR="00413A01">
            <w:rPr>
              <w:sz w:val="16"/>
              <w:szCs w:val="16"/>
            </w:rPr>
            <w:t>.202</w:t>
          </w:r>
          <w:r>
            <w:rPr>
              <w:sz w:val="16"/>
              <w:szCs w:val="16"/>
            </w:rPr>
            <w:t>3</w:t>
          </w:r>
        </w:p>
      </w:tc>
      <w:tc>
        <w:tcPr>
          <w:tcW w:w="1114" w:type="dxa"/>
          <w:vAlign w:val="center"/>
        </w:tcPr>
        <w:p w14:paraId="0367896C" w14:textId="4296BA5E"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77777777" w:rsidR="00413A01" w:rsidRPr="004C1C05" w:rsidRDefault="00413A01" w:rsidP="00413A01">
          <w:pPr>
            <w:pStyle w:val="Fuzeile"/>
            <w:ind w:right="-83"/>
            <w:rPr>
              <w:sz w:val="16"/>
              <w:szCs w:val="16"/>
            </w:rPr>
          </w:pPr>
          <w:r w:rsidRPr="004C1C05">
            <w:rPr>
              <w:sz w:val="16"/>
              <w:szCs w:val="16"/>
            </w:rPr>
            <w:t>Gültig ab:</w:t>
          </w:r>
        </w:p>
      </w:tc>
      <w:tc>
        <w:tcPr>
          <w:tcW w:w="1114" w:type="dxa"/>
          <w:vAlign w:val="center"/>
        </w:tcPr>
        <w:p w14:paraId="6E18031B" w14:textId="77777777" w:rsidR="00413A01" w:rsidRPr="004C1C05" w:rsidRDefault="00413A01" w:rsidP="00413A01">
          <w:pPr>
            <w:pStyle w:val="Fuzeile"/>
            <w:ind w:right="-83"/>
            <w:rPr>
              <w:sz w:val="16"/>
              <w:szCs w:val="16"/>
            </w:rPr>
          </w:pPr>
        </w:p>
      </w:tc>
    </w:tr>
    <w:tr w:rsidR="00413A01" w:rsidRPr="004C1C05" w14:paraId="7D7C1E9E" w14:textId="77777777" w:rsidTr="001B5CEE">
      <w:tc>
        <w:tcPr>
          <w:tcW w:w="1814" w:type="dxa"/>
          <w:vAlign w:val="center"/>
        </w:tcPr>
        <w:p w14:paraId="5FA7E0CE" w14:textId="77777777" w:rsidR="00413A01" w:rsidRPr="004C1C05" w:rsidRDefault="00413A01" w:rsidP="00413A01">
          <w:pPr>
            <w:pStyle w:val="Fuzeile"/>
            <w:ind w:right="-83"/>
            <w:rPr>
              <w:sz w:val="16"/>
              <w:szCs w:val="16"/>
            </w:rPr>
          </w:pPr>
          <w:r w:rsidRPr="004C1C05">
            <w:rPr>
              <w:sz w:val="16"/>
              <w:szCs w:val="16"/>
            </w:rPr>
            <w:t>Erstellt/geändert:</w:t>
          </w:r>
        </w:p>
      </w:tc>
      <w:tc>
        <w:tcPr>
          <w:tcW w:w="1113" w:type="dxa"/>
          <w:vAlign w:val="center"/>
        </w:tcPr>
        <w:p w14:paraId="46681F7E" w14:textId="6BAB5688" w:rsidR="00413A01" w:rsidRPr="004C1C05" w:rsidRDefault="00413A01" w:rsidP="00413A01">
          <w:pPr>
            <w:pStyle w:val="Fuzeile"/>
            <w:ind w:right="-83"/>
            <w:rPr>
              <w:sz w:val="16"/>
              <w:szCs w:val="16"/>
            </w:rPr>
          </w:pPr>
          <w:proofErr w:type="spellStart"/>
          <w:r>
            <w:rPr>
              <w:sz w:val="16"/>
              <w:szCs w:val="16"/>
            </w:rPr>
            <w:t>R.O.E.</w:t>
          </w:r>
          <w:r w:rsidRPr="004C1C05">
            <w:rPr>
              <w:sz w:val="16"/>
              <w:szCs w:val="16"/>
            </w:rPr>
            <w:t>GmbH</w:t>
          </w:r>
          <w:proofErr w:type="spellEnd"/>
        </w:p>
      </w:tc>
      <w:tc>
        <w:tcPr>
          <w:tcW w:w="1114" w:type="dxa"/>
          <w:vAlign w:val="center"/>
        </w:tcPr>
        <w:p w14:paraId="238D0AC1" w14:textId="46651802" w:rsidR="00413A01" w:rsidRPr="004C1C05" w:rsidRDefault="00413A01" w:rsidP="00413A01">
          <w:pPr>
            <w:pStyle w:val="Fuzeile"/>
            <w:ind w:right="-83"/>
            <w:rPr>
              <w:sz w:val="16"/>
              <w:szCs w:val="16"/>
            </w:rPr>
          </w:pPr>
        </w:p>
      </w:tc>
      <w:tc>
        <w:tcPr>
          <w:tcW w:w="1114" w:type="dxa"/>
          <w:vAlign w:val="center"/>
        </w:tcPr>
        <w:p w14:paraId="74E249C1" w14:textId="2B786FC8" w:rsidR="00413A01" w:rsidRPr="004C1C05" w:rsidRDefault="00413A01" w:rsidP="00413A01">
          <w:pPr>
            <w:pStyle w:val="Fuzeile"/>
            <w:ind w:right="-83"/>
            <w:rPr>
              <w:sz w:val="16"/>
              <w:szCs w:val="16"/>
            </w:rPr>
          </w:pPr>
        </w:p>
      </w:tc>
      <w:tc>
        <w:tcPr>
          <w:tcW w:w="1114" w:type="dxa"/>
          <w:vAlign w:val="center"/>
        </w:tcPr>
        <w:p w14:paraId="2834616F" w14:textId="77777777" w:rsidR="00413A01" w:rsidRPr="004C1C05" w:rsidRDefault="00413A01" w:rsidP="00413A01">
          <w:pPr>
            <w:pStyle w:val="Fuzeile"/>
            <w:ind w:right="-83"/>
            <w:rPr>
              <w:sz w:val="16"/>
              <w:szCs w:val="16"/>
            </w:rPr>
          </w:pPr>
        </w:p>
      </w:tc>
      <w:tc>
        <w:tcPr>
          <w:tcW w:w="1114" w:type="dxa"/>
          <w:vAlign w:val="center"/>
        </w:tcPr>
        <w:p w14:paraId="7C8A9D96" w14:textId="77777777" w:rsidR="00413A01" w:rsidRPr="004C1C05" w:rsidRDefault="00413A01" w:rsidP="00413A01">
          <w:pPr>
            <w:pStyle w:val="Fuzeile"/>
            <w:ind w:right="-83"/>
            <w:rPr>
              <w:sz w:val="16"/>
              <w:szCs w:val="16"/>
            </w:rPr>
          </w:pPr>
        </w:p>
      </w:tc>
      <w:tc>
        <w:tcPr>
          <w:tcW w:w="1114" w:type="dxa"/>
          <w:shd w:val="clear" w:color="auto" w:fill="auto"/>
          <w:vAlign w:val="center"/>
        </w:tcPr>
        <w:p w14:paraId="6CCC8185" w14:textId="77777777" w:rsidR="00413A01" w:rsidRPr="004C1C05" w:rsidRDefault="00413A01" w:rsidP="00413A01">
          <w:pPr>
            <w:pStyle w:val="Fuzeile"/>
            <w:ind w:right="-83"/>
            <w:rPr>
              <w:sz w:val="16"/>
              <w:szCs w:val="16"/>
            </w:rPr>
          </w:pPr>
        </w:p>
      </w:tc>
      <w:tc>
        <w:tcPr>
          <w:tcW w:w="1114" w:type="dxa"/>
          <w:vAlign w:val="center"/>
        </w:tcPr>
        <w:p w14:paraId="7C91B93C" w14:textId="77777777" w:rsidR="00413A01" w:rsidRPr="004C1C05" w:rsidRDefault="00413A01" w:rsidP="00413A01">
          <w:pPr>
            <w:pStyle w:val="Fuzeile"/>
            <w:ind w:right="-83"/>
            <w:rPr>
              <w:sz w:val="16"/>
              <w:szCs w:val="16"/>
            </w:rPr>
          </w:pPr>
        </w:p>
      </w:tc>
    </w:tr>
    <w:tr w:rsidR="00413A01" w:rsidRPr="004C1C05" w14:paraId="7DBB12E6" w14:textId="77777777" w:rsidTr="001B5CEE">
      <w:tc>
        <w:tcPr>
          <w:tcW w:w="1814" w:type="dxa"/>
          <w:vAlign w:val="center"/>
        </w:tcPr>
        <w:p w14:paraId="1DAF7BED" w14:textId="77777777" w:rsidR="00413A01" w:rsidRPr="004C1C05" w:rsidRDefault="00413A01" w:rsidP="00413A01">
          <w:pPr>
            <w:pStyle w:val="Fuzeile"/>
            <w:ind w:right="-83"/>
            <w:rPr>
              <w:sz w:val="16"/>
              <w:szCs w:val="16"/>
            </w:rPr>
          </w:pPr>
          <w:r w:rsidRPr="004C1C05">
            <w:rPr>
              <w:sz w:val="16"/>
              <w:szCs w:val="16"/>
            </w:rPr>
            <w:t>Genehmigt:</w:t>
          </w:r>
        </w:p>
      </w:tc>
      <w:tc>
        <w:tcPr>
          <w:tcW w:w="1113" w:type="dxa"/>
          <w:vAlign w:val="center"/>
        </w:tcPr>
        <w:p w14:paraId="7031F58E" w14:textId="77777777" w:rsidR="00413A01" w:rsidRPr="004C1C05" w:rsidRDefault="00413A01" w:rsidP="00413A01">
          <w:pPr>
            <w:pStyle w:val="Fuzeile"/>
            <w:ind w:right="-83"/>
            <w:rPr>
              <w:sz w:val="16"/>
              <w:szCs w:val="16"/>
            </w:rPr>
          </w:pPr>
        </w:p>
      </w:tc>
      <w:tc>
        <w:tcPr>
          <w:tcW w:w="1114" w:type="dxa"/>
          <w:vAlign w:val="center"/>
        </w:tcPr>
        <w:p w14:paraId="47A64D35" w14:textId="77777777" w:rsidR="00413A01" w:rsidRPr="004C1C05" w:rsidRDefault="00413A01" w:rsidP="00413A01">
          <w:pPr>
            <w:pStyle w:val="Fuzeile"/>
            <w:ind w:right="-83"/>
            <w:rPr>
              <w:sz w:val="16"/>
              <w:szCs w:val="16"/>
            </w:rPr>
          </w:pPr>
        </w:p>
      </w:tc>
      <w:tc>
        <w:tcPr>
          <w:tcW w:w="1114" w:type="dxa"/>
          <w:vAlign w:val="center"/>
        </w:tcPr>
        <w:p w14:paraId="51ECD793" w14:textId="77777777" w:rsidR="00413A01" w:rsidRPr="004C1C05" w:rsidRDefault="00413A01" w:rsidP="00413A01">
          <w:pPr>
            <w:pStyle w:val="Fuzeile"/>
            <w:ind w:right="-83"/>
            <w:rPr>
              <w:sz w:val="16"/>
              <w:szCs w:val="16"/>
            </w:rPr>
          </w:pPr>
        </w:p>
      </w:tc>
      <w:tc>
        <w:tcPr>
          <w:tcW w:w="1114" w:type="dxa"/>
          <w:vAlign w:val="center"/>
        </w:tcPr>
        <w:p w14:paraId="0616FCC5" w14:textId="77777777" w:rsidR="00413A01" w:rsidRPr="004C1C05" w:rsidRDefault="00413A01" w:rsidP="00413A01">
          <w:pPr>
            <w:pStyle w:val="Fuzeile"/>
            <w:ind w:right="-83"/>
            <w:rPr>
              <w:sz w:val="16"/>
              <w:szCs w:val="16"/>
            </w:rPr>
          </w:pPr>
        </w:p>
      </w:tc>
      <w:tc>
        <w:tcPr>
          <w:tcW w:w="1114" w:type="dxa"/>
          <w:vAlign w:val="center"/>
        </w:tcPr>
        <w:p w14:paraId="3AEBC74A" w14:textId="77777777" w:rsidR="00413A01" w:rsidRPr="004C1C05" w:rsidRDefault="00413A01" w:rsidP="00413A01">
          <w:pPr>
            <w:pStyle w:val="Fuzeile"/>
            <w:ind w:right="-83"/>
            <w:rPr>
              <w:sz w:val="16"/>
              <w:szCs w:val="16"/>
            </w:rPr>
          </w:pPr>
        </w:p>
      </w:tc>
      <w:tc>
        <w:tcPr>
          <w:tcW w:w="1114" w:type="dxa"/>
          <w:shd w:val="clear" w:color="auto" w:fill="auto"/>
          <w:vAlign w:val="center"/>
        </w:tcPr>
        <w:p w14:paraId="024944CB" w14:textId="77777777" w:rsidR="00413A01" w:rsidRPr="004C1C05" w:rsidRDefault="00413A01" w:rsidP="00413A01">
          <w:pPr>
            <w:pStyle w:val="Fuzeile"/>
            <w:ind w:right="-83"/>
            <w:rPr>
              <w:sz w:val="16"/>
              <w:szCs w:val="16"/>
            </w:rPr>
          </w:pPr>
        </w:p>
      </w:tc>
      <w:tc>
        <w:tcPr>
          <w:tcW w:w="1114" w:type="dxa"/>
          <w:vAlign w:val="center"/>
        </w:tcPr>
        <w:p w14:paraId="4FE0CA3B" w14:textId="77777777" w:rsidR="00413A01" w:rsidRPr="004C1C05" w:rsidRDefault="00413A01" w:rsidP="00413A01">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D4E9" w14:textId="77777777" w:rsidR="00031B39" w:rsidRDefault="00031B39">
      <w:r>
        <w:separator/>
      </w:r>
    </w:p>
  </w:footnote>
  <w:footnote w:type="continuationSeparator" w:id="0">
    <w:p w14:paraId="66AD0654" w14:textId="77777777" w:rsidR="00031B39" w:rsidRDefault="0003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72427CA9" w:rsidR="004F0DC2" w:rsidRPr="00E21DC0" w:rsidRDefault="005069BB" w:rsidP="004F0DC2">
          <w:pPr>
            <w:pStyle w:val="KeinLeerraum"/>
            <w:jc w:val="center"/>
            <w:rPr>
              <w:b/>
              <w:sz w:val="18"/>
            </w:rPr>
          </w:pPr>
          <w:r>
            <w:rPr>
              <w:noProof/>
            </w:rPr>
            <w:drawing>
              <wp:inline distT="0" distB="0" distL="0" distR="0" wp14:anchorId="36C49EB3" wp14:editId="3008FE43">
                <wp:extent cx="476250" cy="4762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1B5CEE">
      <w:trPr>
        <w:trHeight w:val="832"/>
      </w:trPr>
      <w:tc>
        <w:tcPr>
          <w:tcW w:w="2349" w:type="dxa"/>
          <w:vAlign w:val="center"/>
        </w:tcPr>
        <w:p w14:paraId="157C7CEE" w14:textId="645F7955" w:rsidR="004F0DC2" w:rsidRPr="00E21DC0" w:rsidRDefault="004F0DC2" w:rsidP="004F0DC2">
          <w:pPr>
            <w:jc w:val="center"/>
          </w:pPr>
          <w:r w:rsidRPr="00E21DC0">
            <w:rPr>
              <w:b/>
            </w:rPr>
            <w:t>UW_ET_</w:t>
          </w:r>
          <w:r w:rsidR="00CE7FDB">
            <w:rPr>
              <w:b/>
            </w:rPr>
            <w:t>100</w:t>
          </w:r>
        </w:p>
      </w:tc>
      <w:tc>
        <w:tcPr>
          <w:tcW w:w="5026" w:type="dxa"/>
          <w:vAlign w:val="center"/>
        </w:tcPr>
        <w:p w14:paraId="63D167E9" w14:textId="3D3325CE" w:rsidR="004F0DC2" w:rsidRPr="00B2005A" w:rsidRDefault="00CE7FDB" w:rsidP="006C72F5">
          <w:pPr>
            <w:jc w:val="center"/>
            <w:rPr>
              <w:sz w:val="28"/>
              <w:szCs w:val="28"/>
            </w:rPr>
          </w:pPr>
          <w:r>
            <w:rPr>
              <w:sz w:val="28"/>
              <w:szCs w:val="28"/>
            </w:rPr>
            <w:t>Vergleich</w:t>
          </w:r>
          <w:r w:rsidRPr="00CE7FDB">
            <w:rPr>
              <w:sz w:val="28"/>
              <w:szCs w:val="28"/>
            </w:rPr>
            <w:t xml:space="preserve"> </w:t>
          </w:r>
          <w:proofErr w:type="spellStart"/>
          <w:r w:rsidRPr="00CE7FDB">
            <w:rPr>
              <w:sz w:val="28"/>
              <w:szCs w:val="28"/>
            </w:rPr>
            <w:t>EFKbT</w:t>
          </w:r>
          <w:proofErr w:type="spellEnd"/>
          <w:r w:rsidRPr="00CE7FDB">
            <w:rPr>
              <w:sz w:val="28"/>
              <w:szCs w:val="28"/>
            </w:rPr>
            <w:t xml:space="preserve"> </w:t>
          </w:r>
          <w:r>
            <w:rPr>
              <w:sz w:val="28"/>
              <w:szCs w:val="28"/>
            </w:rPr>
            <w:t>/</w:t>
          </w:r>
          <w:r w:rsidRPr="00CE7FDB">
            <w:rPr>
              <w:sz w:val="28"/>
              <w:szCs w:val="28"/>
            </w:rPr>
            <w:t xml:space="preserve"> </w:t>
          </w:r>
          <w:proofErr w:type="spellStart"/>
          <w:r w:rsidRPr="00CE7FDB">
            <w:rPr>
              <w:sz w:val="28"/>
              <w:szCs w:val="28"/>
            </w:rPr>
            <w:t>EFKffT</w:t>
          </w:r>
          <w:proofErr w:type="spellEnd"/>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2"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3"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9"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5"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18"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19"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num w:numId="1" w16cid:durableId="1015809858">
    <w:abstractNumId w:val="0"/>
  </w:num>
  <w:num w:numId="2" w16cid:durableId="1386223540">
    <w:abstractNumId w:val="6"/>
  </w:num>
  <w:num w:numId="3" w16cid:durableId="1696270670">
    <w:abstractNumId w:val="10"/>
  </w:num>
  <w:num w:numId="4" w16cid:durableId="398405917">
    <w:abstractNumId w:val="13"/>
  </w:num>
  <w:num w:numId="5" w16cid:durableId="1115758492">
    <w:abstractNumId w:val="3"/>
  </w:num>
  <w:num w:numId="6" w16cid:durableId="767040991">
    <w:abstractNumId w:val="12"/>
  </w:num>
  <w:num w:numId="7" w16cid:durableId="265188367">
    <w:abstractNumId w:val="19"/>
  </w:num>
  <w:num w:numId="8" w16cid:durableId="1114789958">
    <w:abstractNumId w:val="21"/>
  </w:num>
  <w:num w:numId="9" w16cid:durableId="1522278410">
    <w:abstractNumId w:val="16"/>
  </w:num>
  <w:num w:numId="10" w16cid:durableId="2002613182">
    <w:abstractNumId w:val="11"/>
  </w:num>
  <w:num w:numId="11" w16cid:durableId="1073701921">
    <w:abstractNumId w:val="7"/>
  </w:num>
  <w:num w:numId="12" w16cid:durableId="1301959806">
    <w:abstractNumId w:val="4"/>
  </w:num>
  <w:num w:numId="13" w16cid:durableId="1529026474">
    <w:abstractNumId w:val="1"/>
  </w:num>
  <w:num w:numId="14" w16cid:durableId="1328747873">
    <w:abstractNumId w:val="15"/>
  </w:num>
  <w:num w:numId="15" w16cid:durableId="1461416829">
    <w:abstractNumId w:val="18"/>
  </w:num>
  <w:num w:numId="16" w16cid:durableId="1533763629">
    <w:abstractNumId w:val="17"/>
  </w:num>
  <w:num w:numId="17" w16cid:durableId="1437289636">
    <w:abstractNumId w:val="20"/>
  </w:num>
  <w:num w:numId="18" w16cid:durableId="1271158035">
    <w:abstractNumId w:val="5"/>
  </w:num>
  <w:num w:numId="19" w16cid:durableId="148639241">
    <w:abstractNumId w:val="9"/>
  </w:num>
  <w:num w:numId="20" w16cid:durableId="1972903694">
    <w:abstractNumId w:val="2"/>
  </w:num>
  <w:num w:numId="21" w16cid:durableId="152526903">
    <w:abstractNumId w:val="14"/>
  </w:num>
  <w:num w:numId="22" w16cid:durableId="25167047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677D"/>
    <w:rsid w:val="00007D14"/>
    <w:rsid w:val="00007E03"/>
    <w:rsid w:val="00007FF6"/>
    <w:rsid w:val="00013D7A"/>
    <w:rsid w:val="00014CCE"/>
    <w:rsid w:val="00015930"/>
    <w:rsid w:val="0001596B"/>
    <w:rsid w:val="0002703C"/>
    <w:rsid w:val="00027F84"/>
    <w:rsid w:val="00031B39"/>
    <w:rsid w:val="00032FDB"/>
    <w:rsid w:val="0003362A"/>
    <w:rsid w:val="00036B74"/>
    <w:rsid w:val="00040E3F"/>
    <w:rsid w:val="00041553"/>
    <w:rsid w:val="00042C6C"/>
    <w:rsid w:val="00043813"/>
    <w:rsid w:val="000440F0"/>
    <w:rsid w:val="00045D73"/>
    <w:rsid w:val="00047E60"/>
    <w:rsid w:val="00054DE8"/>
    <w:rsid w:val="00060250"/>
    <w:rsid w:val="000630CC"/>
    <w:rsid w:val="0006696B"/>
    <w:rsid w:val="0007225A"/>
    <w:rsid w:val="00073D58"/>
    <w:rsid w:val="0007611B"/>
    <w:rsid w:val="00081AF1"/>
    <w:rsid w:val="000839C9"/>
    <w:rsid w:val="000857C9"/>
    <w:rsid w:val="000915AB"/>
    <w:rsid w:val="000931DA"/>
    <w:rsid w:val="00093697"/>
    <w:rsid w:val="00097200"/>
    <w:rsid w:val="000A2BDE"/>
    <w:rsid w:val="000A4040"/>
    <w:rsid w:val="000A6088"/>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6060"/>
    <w:rsid w:val="0011690F"/>
    <w:rsid w:val="00116C94"/>
    <w:rsid w:val="00117926"/>
    <w:rsid w:val="00117AA2"/>
    <w:rsid w:val="001200AE"/>
    <w:rsid w:val="00125F35"/>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9EE"/>
    <w:rsid w:val="001B0BD0"/>
    <w:rsid w:val="001B301D"/>
    <w:rsid w:val="001B48BE"/>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4C07"/>
    <w:rsid w:val="0023562E"/>
    <w:rsid w:val="002406C5"/>
    <w:rsid w:val="002414FA"/>
    <w:rsid w:val="0024427B"/>
    <w:rsid w:val="0024474D"/>
    <w:rsid w:val="00244F91"/>
    <w:rsid w:val="002477EA"/>
    <w:rsid w:val="00247F5D"/>
    <w:rsid w:val="00250538"/>
    <w:rsid w:val="00252541"/>
    <w:rsid w:val="0025264C"/>
    <w:rsid w:val="00256AC2"/>
    <w:rsid w:val="0026056C"/>
    <w:rsid w:val="00261D61"/>
    <w:rsid w:val="00265CBE"/>
    <w:rsid w:val="002663EA"/>
    <w:rsid w:val="00266EFA"/>
    <w:rsid w:val="002678D9"/>
    <w:rsid w:val="00271B8E"/>
    <w:rsid w:val="002752FD"/>
    <w:rsid w:val="0028194E"/>
    <w:rsid w:val="00281A62"/>
    <w:rsid w:val="00283128"/>
    <w:rsid w:val="0028404A"/>
    <w:rsid w:val="0028586B"/>
    <w:rsid w:val="0028784A"/>
    <w:rsid w:val="00287ABA"/>
    <w:rsid w:val="00290A38"/>
    <w:rsid w:val="0029272A"/>
    <w:rsid w:val="00292EF3"/>
    <w:rsid w:val="0029322C"/>
    <w:rsid w:val="002939F4"/>
    <w:rsid w:val="002976C5"/>
    <w:rsid w:val="002A3921"/>
    <w:rsid w:val="002A6F69"/>
    <w:rsid w:val="002A7BDE"/>
    <w:rsid w:val="002B1CFC"/>
    <w:rsid w:val="002B486C"/>
    <w:rsid w:val="002B5C14"/>
    <w:rsid w:val="002C2A04"/>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F04E7"/>
    <w:rsid w:val="002F0ADA"/>
    <w:rsid w:val="002F2110"/>
    <w:rsid w:val="002F2217"/>
    <w:rsid w:val="002F271E"/>
    <w:rsid w:val="002F5C00"/>
    <w:rsid w:val="002F6478"/>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4095C"/>
    <w:rsid w:val="00341B65"/>
    <w:rsid w:val="003524AB"/>
    <w:rsid w:val="00353D59"/>
    <w:rsid w:val="0036642C"/>
    <w:rsid w:val="0037026C"/>
    <w:rsid w:val="00372E27"/>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D008D"/>
    <w:rsid w:val="003D026F"/>
    <w:rsid w:val="003D1485"/>
    <w:rsid w:val="003D1BE1"/>
    <w:rsid w:val="003D2D98"/>
    <w:rsid w:val="003D4C3F"/>
    <w:rsid w:val="003E60A4"/>
    <w:rsid w:val="003E749D"/>
    <w:rsid w:val="003E7856"/>
    <w:rsid w:val="003F13C7"/>
    <w:rsid w:val="003F216A"/>
    <w:rsid w:val="00402BA2"/>
    <w:rsid w:val="00402EA6"/>
    <w:rsid w:val="00402F10"/>
    <w:rsid w:val="0040334E"/>
    <w:rsid w:val="00406DE6"/>
    <w:rsid w:val="004100B1"/>
    <w:rsid w:val="00413A01"/>
    <w:rsid w:val="00416285"/>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8B1"/>
    <w:rsid w:val="0048617E"/>
    <w:rsid w:val="00491D35"/>
    <w:rsid w:val="00493113"/>
    <w:rsid w:val="004933B3"/>
    <w:rsid w:val="00497325"/>
    <w:rsid w:val="004A1D63"/>
    <w:rsid w:val="004A3198"/>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6674"/>
    <w:rsid w:val="004E7494"/>
    <w:rsid w:val="004F0DC2"/>
    <w:rsid w:val="004F1600"/>
    <w:rsid w:val="004F29CE"/>
    <w:rsid w:val="004F4F0C"/>
    <w:rsid w:val="004F53BB"/>
    <w:rsid w:val="004F6395"/>
    <w:rsid w:val="004F7F82"/>
    <w:rsid w:val="00500585"/>
    <w:rsid w:val="0050522E"/>
    <w:rsid w:val="0050558F"/>
    <w:rsid w:val="005069BB"/>
    <w:rsid w:val="00506F78"/>
    <w:rsid w:val="00507717"/>
    <w:rsid w:val="005104E1"/>
    <w:rsid w:val="0051077A"/>
    <w:rsid w:val="00517E94"/>
    <w:rsid w:val="00521FA9"/>
    <w:rsid w:val="0052250B"/>
    <w:rsid w:val="0052337B"/>
    <w:rsid w:val="00524007"/>
    <w:rsid w:val="005245CC"/>
    <w:rsid w:val="00527AAE"/>
    <w:rsid w:val="00530673"/>
    <w:rsid w:val="005306CD"/>
    <w:rsid w:val="00532D1C"/>
    <w:rsid w:val="005357E1"/>
    <w:rsid w:val="00537549"/>
    <w:rsid w:val="00537F44"/>
    <w:rsid w:val="00542168"/>
    <w:rsid w:val="00546908"/>
    <w:rsid w:val="0055401B"/>
    <w:rsid w:val="005545FD"/>
    <w:rsid w:val="00554805"/>
    <w:rsid w:val="0056629D"/>
    <w:rsid w:val="00567EC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3075F"/>
    <w:rsid w:val="006337DA"/>
    <w:rsid w:val="00633E79"/>
    <w:rsid w:val="0063544C"/>
    <w:rsid w:val="0064315D"/>
    <w:rsid w:val="006433D4"/>
    <w:rsid w:val="00645745"/>
    <w:rsid w:val="0064626F"/>
    <w:rsid w:val="00650470"/>
    <w:rsid w:val="0065056D"/>
    <w:rsid w:val="0065754A"/>
    <w:rsid w:val="006614D5"/>
    <w:rsid w:val="00664B29"/>
    <w:rsid w:val="00665118"/>
    <w:rsid w:val="006668C8"/>
    <w:rsid w:val="00666F42"/>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7BE6"/>
    <w:rsid w:val="006C0D69"/>
    <w:rsid w:val="006C0E34"/>
    <w:rsid w:val="006C1619"/>
    <w:rsid w:val="006C31D6"/>
    <w:rsid w:val="006C72F5"/>
    <w:rsid w:val="006D02CB"/>
    <w:rsid w:val="006D0820"/>
    <w:rsid w:val="006D0B5D"/>
    <w:rsid w:val="006D403D"/>
    <w:rsid w:val="006D441C"/>
    <w:rsid w:val="006D6823"/>
    <w:rsid w:val="006D6C64"/>
    <w:rsid w:val="006D71B0"/>
    <w:rsid w:val="006E12F0"/>
    <w:rsid w:val="006E27F6"/>
    <w:rsid w:val="006E3984"/>
    <w:rsid w:val="006E410E"/>
    <w:rsid w:val="006E476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36F"/>
    <w:rsid w:val="00874C81"/>
    <w:rsid w:val="008760A6"/>
    <w:rsid w:val="00876459"/>
    <w:rsid w:val="00877EF4"/>
    <w:rsid w:val="008804B4"/>
    <w:rsid w:val="00882F9F"/>
    <w:rsid w:val="008856C2"/>
    <w:rsid w:val="008862EB"/>
    <w:rsid w:val="0089014B"/>
    <w:rsid w:val="00890659"/>
    <w:rsid w:val="0089137C"/>
    <w:rsid w:val="008931EB"/>
    <w:rsid w:val="00895E89"/>
    <w:rsid w:val="008A0928"/>
    <w:rsid w:val="008A33CC"/>
    <w:rsid w:val="008A413E"/>
    <w:rsid w:val="008B124C"/>
    <w:rsid w:val="008B1308"/>
    <w:rsid w:val="008B325F"/>
    <w:rsid w:val="008B3859"/>
    <w:rsid w:val="008B4939"/>
    <w:rsid w:val="008B7671"/>
    <w:rsid w:val="008D03BE"/>
    <w:rsid w:val="008D4E30"/>
    <w:rsid w:val="008D6120"/>
    <w:rsid w:val="008E2D70"/>
    <w:rsid w:val="008E3078"/>
    <w:rsid w:val="008E6A21"/>
    <w:rsid w:val="008F4C28"/>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4713"/>
    <w:rsid w:val="00977F63"/>
    <w:rsid w:val="009809F8"/>
    <w:rsid w:val="00982F8A"/>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C3C8F"/>
    <w:rsid w:val="009C4056"/>
    <w:rsid w:val="009C5B3A"/>
    <w:rsid w:val="009C6EB8"/>
    <w:rsid w:val="009D3978"/>
    <w:rsid w:val="009D6CED"/>
    <w:rsid w:val="009D77B1"/>
    <w:rsid w:val="009E030A"/>
    <w:rsid w:val="009E0DA2"/>
    <w:rsid w:val="009E1FF0"/>
    <w:rsid w:val="009E503E"/>
    <w:rsid w:val="009F0A12"/>
    <w:rsid w:val="009F49DF"/>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C2586"/>
    <w:rsid w:val="00AC3538"/>
    <w:rsid w:val="00AC3DB8"/>
    <w:rsid w:val="00AC6FD0"/>
    <w:rsid w:val="00AD2D69"/>
    <w:rsid w:val="00AD4FA1"/>
    <w:rsid w:val="00AD599F"/>
    <w:rsid w:val="00AE205E"/>
    <w:rsid w:val="00AE70E3"/>
    <w:rsid w:val="00AF2FBA"/>
    <w:rsid w:val="00AF44F5"/>
    <w:rsid w:val="00AF4DD5"/>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41D4"/>
    <w:rsid w:val="00B45152"/>
    <w:rsid w:val="00B458FB"/>
    <w:rsid w:val="00B460AB"/>
    <w:rsid w:val="00B47B18"/>
    <w:rsid w:val="00B504BE"/>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4532"/>
    <w:rsid w:val="00C27250"/>
    <w:rsid w:val="00C3391D"/>
    <w:rsid w:val="00C33D72"/>
    <w:rsid w:val="00C34332"/>
    <w:rsid w:val="00C361C7"/>
    <w:rsid w:val="00C36FBA"/>
    <w:rsid w:val="00C40060"/>
    <w:rsid w:val="00C40F67"/>
    <w:rsid w:val="00C4131F"/>
    <w:rsid w:val="00C420A2"/>
    <w:rsid w:val="00C424A9"/>
    <w:rsid w:val="00C51AB0"/>
    <w:rsid w:val="00C51FD5"/>
    <w:rsid w:val="00C53B5E"/>
    <w:rsid w:val="00C55654"/>
    <w:rsid w:val="00C5623E"/>
    <w:rsid w:val="00C6053B"/>
    <w:rsid w:val="00C60762"/>
    <w:rsid w:val="00C664F4"/>
    <w:rsid w:val="00C67109"/>
    <w:rsid w:val="00C71E69"/>
    <w:rsid w:val="00C725CB"/>
    <w:rsid w:val="00C740C3"/>
    <w:rsid w:val="00C76F57"/>
    <w:rsid w:val="00C8238B"/>
    <w:rsid w:val="00C90655"/>
    <w:rsid w:val="00C92AA8"/>
    <w:rsid w:val="00C94250"/>
    <w:rsid w:val="00C96C7E"/>
    <w:rsid w:val="00CA18B6"/>
    <w:rsid w:val="00CA723B"/>
    <w:rsid w:val="00CA7579"/>
    <w:rsid w:val="00CB0A16"/>
    <w:rsid w:val="00CB1503"/>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E007D6"/>
    <w:rsid w:val="00E02056"/>
    <w:rsid w:val="00E13E3B"/>
    <w:rsid w:val="00E15B7B"/>
    <w:rsid w:val="00E1744A"/>
    <w:rsid w:val="00E174BB"/>
    <w:rsid w:val="00E17EBF"/>
    <w:rsid w:val="00E20B3B"/>
    <w:rsid w:val="00E22259"/>
    <w:rsid w:val="00E24DDE"/>
    <w:rsid w:val="00E26C5D"/>
    <w:rsid w:val="00E3095F"/>
    <w:rsid w:val="00E360A2"/>
    <w:rsid w:val="00E418AB"/>
    <w:rsid w:val="00E420A0"/>
    <w:rsid w:val="00E44E5D"/>
    <w:rsid w:val="00E4683C"/>
    <w:rsid w:val="00E5198F"/>
    <w:rsid w:val="00E525C7"/>
    <w:rsid w:val="00E556A7"/>
    <w:rsid w:val="00E55DBE"/>
    <w:rsid w:val="00E570D3"/>
    <w:rsid w:val="00E57F6B"/>
    <w:rsid w:val="00E6024E"/>
    <w:rsid w:val="00E65F8E"/>
    <w:rsid w:val="00E729B8"/>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09D5"/>
    <w:rsid w:val="00EA135F"/>
    <w:rsid w:val="00EA15C6"/>
    <w:rsid w:val="00EA1B36"/>
    <w:rsid w:val="00EA216A"/>
    <w:rsid w:val="00EA2AA6"/>
    <w:rsid w:val="00EA6087"/>
    <w:rsid w:val="00EB11A4"/>
    <w:rsid w:val="00EB4592"/>
    <w:rsid w:val="00EB5619"/>
    <w:rsid w:val="00EC172B"/>
    <w:rsid w:val="00EC67B1"/>
    <w:rsid w:val="00EC7378"/>
    <w:rsid w:val="00ED66B8"/>
    <w:rsid w:val="00EF0331"/>
    <w:rsid w:val="00EF312F"/>
    <w:rsid w:val="00EF5642"/>
    <w:rsid w:val="00F0188B"/>
    <w:rsid w:val="00F02348"/>
    <w:rsid w:val="00F03FB3"/>
    <w:rsid w:val="00F06AA4"/>
    <w:rsid w:val="00F07228"/>
    <w:rsid w:val="00F10BFB"/>
    <w:rsid w:val="00F127FD"/>
    <w:rsid w:val="00F1431A"/>
    <w:rsid w:val="00F22A70"/>
    <w:rsid w:val="00F23E0E"/>
    <w:rsid w:val="00F272F5"/>
    <w:rsid w:val="00F31511"/>
    <w:rsid w:val="00F32C4E"/>
    <w:rsid w:val="00F33F3F"/>
    <w:rsid w:val="00F35089"/>
    <w:rsid w:val="00F35E8E"/>
    <w:rsid w:val="00F408B2"/>
    <w:rsid w:val="00F4330E"/>
    <w:rsid w:val="00F4559E"/>
    <w:rsid w:val="00F45DB9"/>
    <w:rsid w:val="00F532DA"/>
    <w:rsid w:val="00F53FD6"/>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semiHidden/>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6" ma:contentTypeDescription="Ein neues Dokument erstellen." ma:contentTypeScope="" ma:versionID="961f816f61c835bde972e36f6df6b809">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4edcf817cec8fef3c1f07a21301b8e98"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2.xml><?xml version="1.0" encoding="utf-8"?>
<ds:datastoreItem xmlns:ds="http://schemas.openxmlformats.org/officeDocument/2006/customXml" ds:itemID="{16EE8E85-89B4-49F4-B028-23139AFE3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4.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2</Pages>
  <Words>644</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René Brünn</cp:lastModifiedBy>
  <cp:revision>17</cp:revision>
  <cp:lastPrinted>2023-03-30T12:05:00Z</cp:lastPrinted>
  <dcterms:created xsi:type="dcterms:W3CDTF">2023-08-01T06:27:00Z</dcterms:created>
  <dcterms:modified xsi:type="dcterms:W3CDTF">2023-12-01T09:55:00Z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ies>
</file>