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1F9F" w14:textId="77777777" w:rsidR="00C4131F" w:rsidRPr="00D260B4" w:rsidRDefault="00C4131F" w:rsidP="00D260B4">
      <w:pPr>
        <w:tabs>
          <w:tab w:val="left" w:pos="6075"/>
        </w:tabs>
        <w:jc w:val="both"/>
        <w:rPr>
          <w:rFonts w:cs="Arial"/>
          <w:color w:val="000000" w:themeColor="text1"/>
          <w:sz w:val="22"/>
          <w:szCs w:val="22"/>
        </w:rPr>
      </w:pPr>
      <w:r w:rsidRPr="00D260B4">
        <w:rPr>
          <w:rFonts w:cs="Arial"/>
          <w:color w:val="000000" w:themeColor="text1"/>
          <w:sz w:val="22"/>
          <w:szCs w:val="22"/>
        </w:rPr>
        <w:t>In der Praxis sind Neutralleiterschienen z. B. in nicht-laienbedienbaren Schaltgerätekombinationen meistens offen zugänglich und nicht abgedeckt. Dieser Elektrotipp soll klären, ob und in welcher Form ein Schutz gegen direktes oder indirektes Berühren notwendig ist.</w:t>
      </w:r>
    </w:p>
    <w:p w14:paraId="080B731F" w14:textId="77777777" w:rsidR="00D260B4" w:rsidRPr="00D260B4" w:rsidRDefault="00D260B4" w:rsidP="00D260B4">
      <w:pPr>
        <w:tabs>
          <w:tab w:val="left" w:pos="6075"/>
        </w:tabs>
        <w:jc w:val="both"/>
        <w:rPr>
          <w:rFonts w:cs="Arial"/>
          <w:color w:val="000000" w:themeColor="text1"/>
          <w:sz w:val="22"/>
          <w:szCs w:val="22"/>
        </w:rPr>
      </w:pPr>
    </w:p>
    <w:p w14:paraId="0B81C8A7" w14:textId="7AE6EC7D" w:rsidR="00C4131F" w:rsidRPr="00D260B4" w:rsidRDefault="00C4131F" w:rsidP="00D260B4">
      <w:pPr>
        <w:tabs>
          <w:tab w:val="left" w:pos="6075"/>
        </w:tabs>
        <w:jc w:val="both"/>
        <w:rPr>
          <w:rFonts w:cs="Arial"/>
          <w:b/>
          <w:bCs/>
          <w:color w:val="000000" w:themeColor="text1"/>
          <w:sz w:val="22"/>
          <w:szCs w:val="22"/>
        </w:rPr>
      </w:pPr>
      <w:r w:rsidRPr="00D260B4">
        <w:rPr>
          <w:rFonts w:cs="Arial"/>
          <w:b/>
          <w:bCs/>
          <w:color w:val="000000" w:themeColor="text1"/>
          <w:sz w:val="22"/>
          <w:szCs w:val="22"/>
        </w:rPr>
        <w:t>Ist der Neutralleiter ein gefährliches aktives Teil?</w:t>
      </w:r>
    </w:p>
    <w:p w14:paraId="0CFB576F" w14:textId="77777777" w:rsidR="00C4131F" w:rsidRDefault="00C4131F" w:rsidP="00D260B4">
      <w:pPr>
        <w:tabs>
          <w:tab w:val="left" w:pos="6075"/>
        </w:tabs>
        <w:jc w:val="both"/>
        <w:rPr>
          <w:rFonts w:cs="Arial"/>
          <w:color w:val="000000" w:themeColor="text1"/>
          <w:sz w:val="22"/>
          <w:szCs w:val="22"/>
          <w:u w:val="single"/>
        </w:rPr>
      </w:pPr>
    </w:p>
    <w:p w14:paraId="379CBF50" w14:textId="3349C599" w:rsidR="00B127A0" w:rsidRPr="00B127A0" w:rsidRDefault="00B127A0" w:rsidP="00B127A0">
      <w:pPr>
        <w:tabs>
          <w:tab w:val="left" w:pos="6075"/>
        </w:tabs>
        <w:jc w:val="both"/>
        <w:rPr>
          <w:rFonts w:cs="Arial"/>
          <w:i/>
          <w:iCs/>
          <w:color w:val="000000" w:themeColor="text1"/>
          <w:sz w:val="22"/>
          <w:szCs w:val="22"/>
        </w:rPr>
      </w:pPr>
      <w:r w:rsidRPr="00B127A0">
        <w:rPr>
          <w:rFonts w:cs="Arial"/>
          <w:color w:val="000000" w:themeColor="text1"/>
          <w:sz w:val="22"/>
          <w:szCs w:val="22"/>
        </w:rPr>
        <w:t xml:space="preserve">Hierzu heißt es in der </w:t>
      </w:r>
      <w:r w:rsidRPr="00B127A0">
        <w:rPr>
          <w:rFonts w:cs="Arial"/>
          <w:color w:val="000000" w:themeColor="text1"/>
          <w:sz w:val="22"/>
          <w:szCs w:val="22"/>
        </w:rPr>
        <w:t>Begriffsdefinition</w:t>
      </w:r>
      <w:r w:rsidRPr="00B127A0">
        <w:rPr>
          <w:rFonts w:cs="Arial"/>
          <w:color w:val="000000" w:themeColor="text1"/>
          <w:sz w:val="22"/>
          <w:szCs w:val="22"/>
        </w:rPr>
        <w:t xml:space="preserve"> der </w:t>
      </w:r>
      <w:r w:rsidRPr="00B127A0">
        <w:rPr>
          <w:rFonts w:cs="Arial"/>
          <w:color w:val="000000" w:themeColor="text1"/>
          <w:sz w:val="22"/>
          <w:szCs w:val="22"/>
        </w:rPr>
        <w:t>VDE 0660-600-1</w:t>
      </w:r>
      <w:r>
        <w:rPr>
          <w:rFonts w:cs="Arial"/>
          <w:color w:val="000000" w:themeColor="text1"/>
          <w:sz w:val="22"/>
          <w:szCs w:val="22"/>
        </w:rPr>
        <w:t xml:space="preserve"> </w:t>
      </w:r>
      <w:r w:rsidRPr="00B127A0">
        <w:rPr>
          <w:rFonts w:cs="Arial"/>
          <w:color w:val="000000" w:themeColor="text1"/>
          <w:sz w:val="22"/>
          <w:szCs w:val="22"/>
        </w:rPr>
        <w:t>Abschnitte 3.7.1</w:t>
      </w:r>
      <w:r>
        <w:rPr>
          <w:rFonts w:cs="Arial"/>
          <w:color w:val="000000" w:themeColor="text1"/>
          <w:sz w:val="22"/>
          <w:szCs w:val="22"/>
        </w:rPr>
        <w:t xml:space="preserve"> und </w:t>
      </w:r>
      <w:r w:rsidRPr="00B127A0">
        <w:rPr>
          <w:rFonts w:cs="Arial"/>
          <w:color w:val="000000" w:themeColor="text1"/>
          <w:sz w:val="22"/>
          <w:szCs w:val="22"/>
        </w:rPr>
        <w:t>3.7.2</w:t>
      </w:r>
    </w:p>
    <w:p w14:paraId="27D6C187" w14:textId="1364431F" w:rsidR="00B127A0" w:rsidRPr="00D260B4" w:rsidRDefault="00B127A0" w:rsidP="00D260B4">
      <w:pPr>
        <w:tabs>
          <w:tab w:val="left" w:pos="6075"/>
        </w:tabs>
        <w:jc w:val="both"/>
        <w:rPr>
          <w:rFonts w:cs="Arial"/>
          <w:color w:val="000000" w:themeColor="text1"/>
          <w:sz w:val="22"/>
          <w:szCs w:val="22"/>
          <w:u w:val="single"/>
        </w:rPr>
      </w:pPr>
    </w:p>
    <w:p w14:paraId="77EFC68F" w14:textId="39A9190D" w:rsidR="00C4131F" w:rsidRPr="00D260B4" w:rsidRDefault="00C4131F" w:rsidP="00D260B4">
      <w:pPr>
        <w:tabs>
          <w:tab w:val="left" w:pos="6075"/>
        </w:tabs>
        <w:jc w:val="both"/>
        <w:rPr>
          <w:rFonts w:cs="Arial"/>
          <w:i/>
          <w:iCs/>
          <w:color w:val="000000" w:themeColor="text1"/>
          <w:sz w:val="22"/>
          <w:szCs w:val="22"/>
        </w:rPr>
      </w:pPr>
      <w:r w:rsidRPr="00B127A0">
        <w:rPr>
          <w:rFonts w:cs="Arial"/>
          <w:b/>
          <w:bCs/>
          <w:color w:val="000000" w:themeColor="text1"/>
          <w:sz w:val="22"/>
          <w:szCs w:val="22"/>
        </w:rPr>
        <w:t>aktives Teil:</w:t>
      </w:r>
      <w:r w:rsidR="00B127A0" w:rsidRPr="00B127A0">
        <w:rPr>
          <w:rFonts w:cs="Arial"/>
          <w:color w:val="000000" w:themeColor="text1"/>
          <w:sz w:val="22"/>
          <w:szCs w:val="22"/>
        </w:rPr>
        <w:t xml:space="preserve"> </w:t>
      </w:r>
      <w:r w:rsidRPr="00B127A0">
        <w:rPr>
          <w:rFonts w:cs="Arial"/>
          <w:i/>
          <w:iCs/>
          <w:color w:val="000000" w:themeColor="text1"/>
          <w:sz w:val="22"/>
          <w:szCs w:val="22"/>
        </w:rPr>
        <w:t>„Leiter oder leitfähiges Teil, der/das dazu vorgesehen ist, bei bestimmungsgemäßem</w:t>
      </w:r>
      <w:r w:rsidRPr="00D260B4">
        <w:rPr>
          <w:rFonts w:cs="Arial"/>
          <w:i/>
          <w:iCs/>
          <w:color w:val="000000" w:themeColor="text1"/>
          <w:sz w:val="22"/>
          <w:szCs w:val="22"/>
        </w:rPr>
        <w:t xml:space="preserve"> Betrieb unter Spannung zu stehen, </w:t>
      </w:r>
      <w:r w:rsidRPr="00D260B4">
        <w:rPr>
          <w:rFonts w:cs="Arial"/>
          <w:b/>
          <w:bCs/>
          <w:i/>
          <w:iCs/>
          <w:color w:val="000000" w:themeColor="text1"/>
          <w:sz w:val="22"/>
          <w:szCs w:val="22"/>
        </w:rPr>
        <w:t>einschließlich eines Neutralleiters</w:t>
      </w:r>
      <w:r w:rsidRPr="00D260B4">
        <w:rPr>
          <w:rFonts w:cs="Arial"/>
          <w:i/>
          <w:iCs/>
          <w:color w:val="000000" w:themeColor="text1"/>
          <w:sz w:val="22"/>
          <w:szCs w:val="22"/>
        </w:rPr>
        <w:t>, vereinbarungsgemäß jedoch nicht eines PEN-Leiters“</w:t>
      </w:r>
    </w:p>
    <w:p w14:paraId="0F648C86" w14:textId="77777777" w:rsidR="00D260B4" w:rsidRPr="00D260B4" w:rsidRDefault="00D260B4" w:rsidP="00D260B4">
      <w:pPr>
        <w:tabs>
          <w:tab w:val="left" w:pos="6075"/>
        </w:tabs>
        <w:jc w:val="both"/>
        <w:rPr>
          <w:rFonts w:cs="Arial"/>
          <w:i/>
          <w:iCs/>
          <w:color w:val="000000" w:themeColor="text1"/>
          <w:sz w:val="22"/>
          <w:szCs w:val="22"/>
        </w:rPr>
      </w:pPr>
    </w:p>
    <w:p w14:paraId="44A14154" w14:textId="643DF76A" w:rsidR="00C4131F" w:rsidRPr="00D260B4" w:rsidRDefault="00C4131F" w:rsidP="00D260B4">
      <w:pPr>
        <w:tabs>
          <w:tab w:val="left" w:pos="6075"/>
        </w:tabs>
        <w:jc w:val="both"/>
        <w:rPr>
          <w:rFonts w:cs="Arial"/>
          <w:i/>
          <w:iCs/>
          <w:color w:val="000000" w:themeColor="text1"/>
          <w:sz w:val="22"/>
          <w:szCs w:val="22"/>
        </w:rPr>
      </w:pPr>
      <w:r w:rsidRPr="00D260B4">
        <w:rPr>
          <w:rFonts w:cs="Arial"/>
          <w:i/>
          <w:iCs/>
          <w:color w:val="000000" w:themeColor="text1"/>
          <w:sz w:val="22"/>
          <w:szCs w:val="22"/>
        </w:rPr>
        <w:t xml:space="preserve">Anmerkung 1 zum Begriff: Dieser Begriff besagt nicht unbedingt, dass das Risiko eines elektrischen Schlags besteht. Wenn der Neutralleiter wirksam geerdet ist, ist er kein </w:t>
      </w:r>
      <w:r w:rsidRPr="00B127A0">
        <w:rPr>
          <w:rFonts w:cs="Arial"/>
          <w:b/>
          <w:bCs/>
          <w:i/>
          <w:iCs/>
          <w:color w:val="000000" w:themeColor="text1"/>
          <w:sz w:val="22"/>
          <w:szCs w:val="22"/>
        </w:rPr>
        <w:t>gefährliches aktives Teil</w:t>
      </w:r>
      <w:r w:rsidRPr="00D260B4">
        <w:rPr>
          <w:rFonts w:cs="Arial"/>
          <w:i/>
          <w:iCs/>
          <w:color w:val="000000" w:themeColor="text1"/>
          <w:sz w:val="22"/>
          <w:szCs w:val="22"/>
        </w:rPr>
        <w:t xml:space="preserve"> und wird daher in TN-S- oder TN-C-S Systemen nicht geschaltet, wenn dies nicht besonders durch andere Normen gefordert wird.</w:t>
      </w:r>
    </w:p>
    <w:p w14:paraId="79540436" w14:textId="77777777" w:rsidR="00C4131F" w:rsidRPr="00D260B4" w:rsidRDefault="00C4131F" w:rsidP="00D260B4">
      <w:pPr>
        <w:tabs>
          <w:tab w:val="left" w:pos="6075"/>
        </w:tabs>
        <w:jc w:val="both"/>
        <w:rPr>
          <w:rFonts w:cs="Arial"/>
          <w:i/>
          <w:iCs/>
          <w:color w:val="000000" w:themeColor="text1"/>
          <w:sz w:val="22"/>
          <w:szCs w:val="22"/>
        </w:rPr>
      </w:pPr>
    </w:p>
    <w:p w14:paraId="5705C1A9" w14:textId="3754AE21" w:rsidR="00C4131F" w:rsidRPr="00D260B4" w:rsidRDefault="00C4131F" w:rsidP="00D260B4">
      <w:pPr>
        <w:tabs>
          <w:tab w:val="left" w:pos="6075"/>
        </w:tabs>
        <w:jc w:val="both"/>
        <w:rPr>
          <w:rFonts w:cs="Arial"/>
          <w:i/>
          <w:iCs/>
          <w:color w:val="000000" w:themeColor="text1"/>
          <w:sz w:val="22"/>
          <w:szCs w:val="22"/>
        </w:rPr>
      </w:pPr>
      <w:r w:rsidRPr="00B127A0">
        <w:rPr>
          <w:rFonts w:cs="Arial"/>
          <w:b/>
          <w:bCs/>
          <w:color w:val="000000" w:themeColor="text1"/>
          <w:sz w:val="22"/>
          <w:szCs w:val="22"/>
        </w:rPr>
        <w:t>gefährliches aktives Teil</w:t>
      </w:r>
      <w:r w:rsidR="00B127A0" w:rsidRPr="00B127A0">
        <w:rPr>
          <w:rFonts w:cs="Arial"/>
          <w:b/>
          <w:bCs/>
          <w:color w:val="000000" w:themeColor="text1"/>
          <w:sz w:val="22"/>
          <w:szCs w:val="22"/>
        </w:rPr>
        <w:t>:</w:t>
      </w:r>
      <w:r w:rsidR="00B127A0" w:rsidRPr="00B127A0">
        <w:rPr>
          <w:rFonts w:cs="Arial"/>
          <w:color w:val="000000" w:themeColor="text1"/>
          <w:sz w:val="22"/>
          <w:szCs w:val="22"/>
        </w:rPr>
        <w:t xml:space="preserve"> </w:t>
      </w:r>
      <w:r w:rsidRPr="00B127A0">
        <w:rPr>
          <w:rFonts w:cs="Arial"/>
          <w:i/>
          <w:iCs/>
          <w:color w:val="000000" w:themeColor="text1"/>
          <w:sz w:val="22"/>
          <w:szCs w:val="22"/>
        </w:rPr>
        <w:t>„aktives Teil, von dem unter bestimmten Bedingungen ein schädlicher</w:t>
      </w:r>
      <w:r w:rsidRPr="00D260B4">
        <w:rPr>
          <w:rFonts w:cs="Arial"/>
          <w:i/>
          <w:iCs/>
          <w:color w:val="000000" w:themeColor="text1"/>
          <w:sz w:val="22"/>
          <w:szCs w:val="22"/>
        </w:rPr>
        <w:t xml:space="preserve"> elektrischer Schlag ausgehen kann“</w:t>
      </w:r>
    </w:p>
    <w:p w14:paraId="1C45B34B" w14:textId="77777777" w:rsidR="00C4131F" w:rsidRPr="00D260B4" w:rsidRDefault="00C4131F" w:rsidP="00D260B4">
      <w:pPr>
        <w:tabs>
          <w:tab w:val="left" w:pos="6075"/>
        </w:tabs>
        <w:jc w:val="both"/>
        <w:rPr>
          <w:rFonts w:cs="Arial"/>
          <w:color w:val="000000" w:themeColor="text1"/>
          <w:sz w:val="22"/>
          <w:szCs w:val="22"/>
        </w:rPr>
      </w:pPr>
    </w:p>
    <w:p w14:paraId="1780701D" w14:textId="34713D04" w:rsidR="00C4131F" w:rsidRPr="00D260B4" w:rsidRDefault="00C4131F" w:rsidP="00D260B4">
      <w:pPr>
        <w:tabs>
          <w:tab w:val="left" w:pos="6075"/>
        </w:tabs>
        <w:jc w:val="both"/>
        <w:rPr>
          <w:rFonts w:cs="Arial"/>
          <w:color w:val="000000" w:themeColor="text1"/>
          <w:sz w:val="22"/>
          <w:szCs w:val="22"/>
        </w:rPr>
      </w:pPr>
      <w:r w:rsidRPr="00D260B4">
        <w:rPr>
          <w:rFonts w:cs="Arial"/>
          <w:b/>
          <w:bCs/>
          <w:color w:val="000000" w:themeColor="text1"/>
          <w:sz w:val="22"/>
          <w:szCs w:val="22"/>
        </w:rPr>
        <w:t>Erläuterung</w:t>
      </w:r>
      <w:r w:rsidR="00B127A0">
        <w:rPr>
          <w:rFonts w:cs="Arial"/>
          <w:b/>
          <w:bCs/>
          <w:color w:val="000000" w:themeColor="text1"/>
          <w:sz w:val="22"/>
          <w:szCs w:val="22"/>
        </w:rPr>
        <w:t xml:space="preserve">: </w:t>
      </w:r>
      <w:r w:rsidRPr="00D260B4">
        <w:rPr>
          <w:rFonts w:cs="Arial"/>
          <w:color w:val="000000" w:themeColor="text1"/>
          <w:sz w:val="22"/>
          <w:szCs w:val="22"/>
        </w:rPr>
        <w:t xml:space="preserve">Wenn Neutralleiter(-schienen) in TN-S- oder TN-C-S-Systemen wirksam geerdet sind, stellen sie kein Risiko eines elektrischen Schlages dar und </w:t>
      </w:r>
      <w:r w:rsidRPr="00D260B4">
        <w:rPr>
          <w:rFonts w:cs="Arial"/>
          <w:color w:val="000000" w:themeColor="text1"/>
          <w:sz w:val="22"/>
          <w:szCs w:val="22"/>
          <w:u w:val="single"/>
        </w:rPr>
        <w:t>gelten nicht als gefährliches aktives Teil</w:t>
      </w:r>
      <w:r w:rsidRPr="00D260B4">
        <w:rPr>
          <w:rFonts w:cs="Arial"/>
          <w:color w:val="000000" w:themeColor="text1"/>
          <w:sz w:val="22"/>
          <w:szCs w:val="22"/>
        </w:rPr>
        <w:t>. Sollte es zum Ausfall der betreffenden Erdung des Neutralleiters kommen und somit ein gefährlicher Potentialunterschied gegen Erde möglich werden, dient ein zusätzlicher Basisschutz, z. B. in Form einer Abdeckung oder Einhausung von Neutralleiterschienen dem Schutz gegen direktes Berühren.</w:t>
      </w:r>
    </w:p>
    <w:p w14:paraId="3559BB6A" w14:textId="77777777" w:rsidR="00C4131F" w:rsidRPr="00D260B4" w:rsidRDefault="00C4131F" w:rsidP="00D260B4">
      <w:pPr>
        <w:tabs>
          <w:tab w:val="left" w:pos="6075"/>
        </w:tabs>
        <w:jc w:val="both"/>
        <w:rPr>
          <w:rFonts w:cs="Arial"/>
          <w:color w:val="000000" w:themeColor="text1"/>
          <w:sz w:val="22"/>
          <w:szCs w:val="22"/>
          <w:u w:val="single"/>
        </w:rPr>
      </w:pPr>
    </w:p>
    <w:p w14:paraId="5C21131A" w14:textId="77777777" w:rsidR="00C4131F" w:rsidRPr="00D260B4" w:rsidRDefault="00C4131F" w:rsidP="00D260B4">
      <w:pPr>
        <w:tabs>
          <w:tab w:val="left" w:pos="6075"/>
        </w:tabs>
        <w:jc w:val="both"/>
        <w:rPr>
          <w:rFonts w:cs="Arial"/>
          <w:b/>
          <w:bCs/>
          <w:color w:val="000000" w:themeColor="text1"/>
          <w:sz w:val="22"/>
          <w:szCs w:val="22"/>
        </w:rPr>
      </w:pPr>
      <w:r w:rsidRPr="00D260B4">
        <w:rPr>
          <w:rFonts w:cs="Arial"/>
          <w:b/>
          <w:bCs/>
          <w:color w:val="000000" w:themeColor="text1"/>
          <w:sz w:val="22"/>
          <w:szCs w:val="22"/>
        </w:rPr>
        <w:t>Wer hat Zugriff auf die Neutralleiterschiene?</w:t>
      </w:r>
    </w:p>
    <w:p w14:paraId="7BE6BE09" w14:textId="77777777" w:rsidR="00C4131F" w:rsidRDefault="00C4131F" w:rsidP="00D260B4">
      <w:pPr>
        <w:tabs>
          <w:tab w:val="left" w:pos="6075"/>
        </w:tabs>
        <w:jc w:val="both"/>
        <w:rPr>
          <w:rFonts w:cs="Arial"/>
          <w:i/>
          <w:iCs/>
          <w:color w:val="000000" w:themeColor="text1"/>
          <w:sz w:val="22"/>
          <w:szCs w:val="22"/>
        </w:rPr>
      </w:pPr>
    </w:p>
    <w:p w14:paraId="437A4C87" w14:textId="3622B040" w:rsidR="00B127A0" w:rsidRPr="00B127A0" w:rsidRDefault="00B127A0" w:rsidP="00B127A0">
      <w:pPr>
        <w:tabs>
          <w:tab w:val="left" w:pos="6075"/>
        </w:tabs>
        <w:jc w:val="both"/>
        <w:rPr>
          <w:rFonts w:cs="Arial"/>
          <w:color w:val="000000" w:themeColor="text1"/>
          <w:sz w:val="22"/>
          <w:szCs w:val="22"/>
        </w:rPr>
      </w:pPr>
      <w:r w:rsidRPr="00B127A0">
        <w:rPr>
          <w:rFonts w:cs="Arial"/>
          <w:color w:val="000000" w:themeColor="text1"/>
          <w:sz w:val="22"/>
          <w:szCs w:val="22"/>
        </w:rPr>
        <w:t>In der</w:t>
      </w:r>
      <w:r w:rsidRPr="00B127A0">
        <w:rPr>
          <w:rFonts w:cs="Arial"/>
          <w:color w:val="000000" w:themeColor="text1"/>
          <w:sz w:val="22"/>
          <w:szCs w:val="22"/>
        </w:rPr>
        <w:t xml:space="preserve"> VDE 0660-600-1:2021-10</w:t>
      </w:r>
      <w:r w:rsidRPr="00B127A0">
        <w:rPr>
          <w:rFonts w:cs="Arial"/>
          <w:color w:val="000000" w:themeColor="text1"/>
          <w:sz w:val="22"/>
          <w:szCs w:val="22"/>
        </w:rPr>
        <w:t xml:space="preserve"> in den</w:t>
      </w:r>
      <w:r w:rsidRPr="00B127A0">
        <w:rPr>
          <w:rFonts w:cs="Arial"/>
          <w:color w:val="000000" w:themeColor="text1"/>
          <w:sz w:val="22"/>
          <w:szCs w:val="22"/>
        </w:rPr>
        <w:t xml:space="preserve"> Abschnitte 8.4.2.2</w:t>
      </w:r>
      <w:r w:rsidRPr="00B127A0">
        <w:rPr>
          <w:rFonts w:cs="Arial"/>
          <w:color w:val="000000" w:themeColor="text1"/>
          <w:sz w:val="22"/>
          <w:szCs w:val="22"/>
        </w:rPr>
        <w:t xml:space="preserve"> und </w:t>
      </w:r>
      <w:r w:rsidRPr="00B127A0">
        <w:rPr>
          <w:rFonts w:cs="Arial"/>
          <w:color w:val="000000" w:themeColor="text1"/>
          <w:sz w:val="22"/>
          <w:szCs w:val="22"/>
        </w:rPr>
        <w:t>8.4.2.3</w:t>
      </w:r>
      <w:r w:rsidRPr="00B127A0">
        <w:rPr>
          <w:rFonts w:cs="Arial"/>
          <w:color w:val="000000" w:themeColor="text1"/>
          <w:sz w:val="22"/>
          <w:szCs w:val="22"/>
        </w:rPr>
        <w:t xml:space="preserve"> heißt es dazu:</w:t>
      </w:r>
    </w:p>
    <w:p w14:paraId="7FADA405" w14:textId="77777777" w:rsidR="00B127A0" w:rsidRPr="00D260B4" w:rsidRDefault="00B127A0" w:rsidP="00D260B4">
      <w:pPr>
        <w:tabs>
          <w:tab w:val="left" w:pos="6075"/>
        </w:tabs>
        <w:jc w:val="both"/>
        <w:rPr>
          <w:rFonts w:cs="Arial"/>
          <w:i/>
          <w:iCs/>
          <w:color w:val="000000" w:themeColor="text1"/>
          <w:sz w:val="22"/>
          <w:szCs w:val="22"/>
        </w:rPr>
      </w:pPr>
    </w:p>
    <w:p w14:paraId="7D9A894E" w14:textId="6DFA3FC3" w:rsidR="00C4131F" w:rsidRPr="00D260B4" w:rsidRDefault="00C4131F" w:rsidP="00D260B4">
      <w:pPr>
        <w:tabs>
          <w:tab w:val="left" w:pos="6075"/>
        </w:tabs>
        <w:jc w:val="both"/>
        <w:rPr>
          <w:rFonts w:cs="Arial"/>
          <w:i/>
          <w:iCs/>
          <w:color w:val="000000" w:themeColor="text1"/>
          <w:sz w:val="22"/>
          <w:szCs w:val="22"/>
        </w:rPr>
      </w:pPr>
      <w:r w:rsidRPr="00D260B4">
        <w:rPr>
          <w:rFonts w:cs="Arial"/>
          <w:i/>
          <w:iCs/>
          <w:color w:val="000000" w:themeColor="text1"/>
          <w:sz w:val="22"/>
          <w:szCs w:val="22"/>
        </w:rPr>
        <w:t>„Basisschutz ist vorgesehen, um Schutz gegen elektrischen Schlag unter üblichen Bedingungen zu erreichen, indem direktes Berühren von gefährlichen aktiven Teilen verhindert wird.</w:t>
      </w:r>
      <w:r w:rsidR="00D260B4">
        <w:rPr>
          <w:rFonts w:cs="Arial"/>
          <w:i/>
          <w:iCs/>
          <w:color w:val="000000" w:themeColor="text1"/>
          <w:sz w:val="22"/>
          <w:szCs w:val="22"/>
        </w:rPr>
        <w:t xml:space="preserve"> </w:t>
      </w:r>
      <w:r w:rsidRPr="00D260B4">
        <w:rPr>
          <w:rFonts w:cs="Arial"/>
          <w:i/>
          <w:iCs/>
          <w:color w:val="000000" w:themeColor="text1"/>
          <w:sz w:val="22"/>
          <w:szCs w:val="22"/>
        </w:rPr>
        <w:t xml:space="preserve">Der Basisschutz kann entweder durch </w:t>
      </w:r>
      <w:r w:rsidRPr="00B127A0">
        <w:rPr>
          <w:rFonts w:cs="Arial"/>
          <w:b/>
          <w:bCs/>
          <w:i/>
          <w:iCs/>
          <w:color w:val="000000" w:themeColor="text1"/>
          <w:sz w:val="22"/>
          <w:szCs w:val="22"/>
        </w:rPr>
        <w:t>geeignete konstruktive Maßnahmen</w:t>
      </w:r>
      <w:r w:rsidRPr="00D260B4">
        <w:rPr>
          <w:rFonts w:cs="Arial"/>
          <w:i/>
          <w:iCs/>
          <w:color w:val="000000" w:themeColor="text1"/>
          <w:sz w:val="22"/>
          <w:szCs w:val="22"/>
        </w:rPr>
        <w:t xml:space="preserve"> an der Schaltgerätekombination selbst oder durch zusätzliche Maßnahmen, die beim Aufstellen und Anschließen zu treffen sind, erreicht werden. Dies kann Angaben des Herstellers der Schaltgerätekombination erforderlich machen.</w:t>
      </w:r>
      <w:r w:rsidR="00D260B4">
        <w:rPr>
          <w:rFonts w:cs="Arial"/>
          <w:i/>
          <w:iCs/>
          <w:color w:val="000000" w:themeColor="text1"/>
          <w:sz w:val="22"/>
          <w:szCs w:val="22"/>
        </w:rPr>
        <w:t xml:space="preserve"> </w:t>
      </w:r>
      <w:proofErr w:type="gramStart"/>
      <w:r w:rsidRPr="00D260B4">
        <w:rPr>
          <w:rFonts w:cs="Arial"/>
          <w:i/>
          <w:iCs/>
          <w:color w:val="000000" w:themeColor="text1"/>
          <w:sz w:val="22"/>
          <w:szCs w:val="22"/>
        </w:rPr>
        <w:t>Ein</w:t>
      </w:r>
      <w:proofErr w:type="gramEnd"/>
      <w:r w:rsidRPr="00D260B4">
        <w:rPr>
          <w:rFonts w:cs="Arial"/>
          <w:i/>
          <w:iCs/>
          <w:color w:val="000000" w:themeColor="text1"/>
          <w:sz w:val="22"/>
          <w:szCs w:val="22"/>
        </w:rPr>
        <w:t xml:space="preserve"> Beispiel für zusätzliche Maßnahmen ist das Aufstellen einer Schaltgerätekombination in offener Bauform ohne weitere Vorkehrungen in einem Betriebsraum, zu dem nur befugte Personen Zugang haben</w:t>
      </w:r>
      <w:r w:rsidRPr="00D260B4">
        <w:rPr>
          <w:rFonts w:cs="Arial"/>
          <w:color w:val="000000" w:themeColor="text1"/>
          <w:sz w:val="22"/>
          <w:szCs w:val="22"/>
        </w:rPr>
        <w:t>.</w:t>
      </w:r>
      <w:r w:rsidRPr="00D260B4">
        <w:rPr>
          <w:rFonts w:cs="Arial"/>
          <w:i/>
          <w:iCs/>
          <w:color w:val="000000" w:themeColor="text1"/>
          <w:sz w:val="22"/>
          <w:szCs w:val="22"/>
        </w:rPr>
        <w:t xml:space="preserve"> (…)</w:t>
      </w:r>
    </w:p>
    <w:p w14:paraId="2C926BE0" w14:textId="77777777" w:rsidR="00C4131F" w:rsidRPr="00D260B4" w:rsidRDefault="00C4131F" w:rsidP="00D260B4">
      <w:pPr>
        <w:tabs>
          <w:tab w:val="left" w:pos="6075"/>
        </w:tabs>
        <w:jc w:val="both"/>
        <w:rPr>
          <w:rFonts w:cs="Arial"/>
          <w:i/>
          <w:iCs/>
          <w:color w:val="000000" w:themeColor="text1"/>
          <w:sz w:val="22"/>
          <w:szCs w:val="22"/>
        </w:rPr>
      </w:pPr>
    </w:p>
    <w:p w14:paraId="4B89B47F" w14:textId="0813765C" w:rsidR="00C4131F" w:rsidRPr="00D260B4" w:rsidRDefault="00C4131F" w:rsidP="00D260B4">
      <w:pPr>
        <w:tabs>
          <w:tab w:val="left" w:pos="6075"/>
        </w:tabs>
        <w:jc w:val="both"/>
        <w:rPr>
          <w:rFonts w:cs="Arial"/>
          <w:i/>
          <w:iCs/>
          <w:color w:val="000000" w:themeColor="text1"/>
          <w:sz w:val="22"/>
          <w:szCs w:val="22"/>
        </w:rPr>
      </w:pPr>
      <w:r w:rsidRPr="00B127A0">
        <w:rPr>
          <w:rFonts w:cs="Arial"/>
          <w:b/>
          <w:bCs/>
          <w:color w:val="000000" w:themeColor="text1"/>
          <w:sz w:val="22"/>
          <w:szCs w:val="22"/>
        </w:rPr>
        <w:t>Basisisolierung aktiver Teile</w:t>
      </w:r>
      <w:r w:rsidR="00B127A0">
        <w:rPr>
          <w:rFonts w:cs="Arial"/>
          <w:b/>
          <w:bCs/>
          <w:color w:val="000000" w:themeColor="text1"/>
          <w:sz w:val="22"/>
          <w:szCs w:val="22"/>
        </w:rPr>
        <w:t xml:space="preserve">: </w:t>
      </w:r>
      <w:r w:rsidRPr="00D260B4">
        <w:rPr>
          <w:rFonts w:cs="Arial"/>
          <w:i/>
          <w:iCs/>
          <w:color w:val="000000" w:themeColor="text1"/>
          <w:sz w:val="22"/>
          <w:szCs w:val="22"/>
        </w:rPr>
        <w:t xml:space="preserve">(…) </w:t>
      </w:r>
      <w:r w:rsidRPr="00B127A0">
        <w:rPr>
          <w:rFonts w:cs="Arial"/>
          <w:i/>
          <w:iCs/>
          <w:color w:val="000000" w:themeColor="text1"/>
          <w:sz w:val="22"/>
          <w:szCs w:val="22"/>
          <w:u w:val="single"/>
        </w:rPr>
        <w:t>Gefährliche aktive Teile</w:t>
      </w:r>
      <w:r w:rsidRPr="00D260B4">
        <w:rPr>
          <w:rFonts w:cs="Arial"/>
          <w:i/>
          <w:iCs/>
          <w:color w:val="000000" w:themeColor="text1"/>
          <w:sz w:val="22"/>
          <w:szCs w:val="22"/>
        </w:rPr>
        <w:t xml:space="preserve"> müssen vollständig mit einer Isolierung abgedeckt sein, die nur durch Zerstörung entfernt werden kann. Für Betriebsmittel muss die Isolierung mit der entsprechenden Norm für das Betriebsmittel übereinstimmen.“</w:t>
      </w:r>
    </w:p>
    <w:p w14:paraId="7CDE5376" w14:textId="77777777" w:rsidR="00C4131F" w:rsidRPr="00D260B4" w:rsidRDefault="00C4131F" w:rsidP="00D260B4">
      <w:pPr>
        <w:tabs>
          <w:tab w:val="left" w:pos="6075"/>
        </w:tabs>
        <w:jc w:val="both"/>
        <w:rPr>
          <w:rFonts w:cs="Arial"/>
          <w:i/>
          <w:iCs/>
          <w:color w:val="000000" w:themeColor="text1"/>
          <w:sz w:val="22"/>
          <w:szCs w:val="22"/>
        </w:rPr>
      </w:pPr>
    </w:p>
    <w:p w14:paraId="1B0B84A2" w14:textId="0FD8752F" w:rsidR="00C4131F" w:rsidRPr="00D260B4" w:rsidRDefault="00C4131F" w:rsidP="00D260B4">
      <w:pPr>
        <w:tabs>
          <w:tab w:val="left" w:pos="6075"/>
        </w:tabs>
        <w:jc w:val="both"/>
        <w:rPr>
          <w:rFonts w:cs="Arial"/>
          <w:i/>
          <w:iCs/>
          <w:color w:val="000000" w:themeColor="text1"/>
          <w:sz w:val="22"/>
          <w:szCs w:val="22"/>
        </w:rPr>
      </w:pPr>
      <w:r w:rsidRPr="00B127A0">
        <w:rPr>
          <w:rFonts w:cs="Arial"/>
          <w:b/>
          <w:bCs/>
          <w:color w:val="000000" w:themeColor="text1"/>
          <w:sz w:val="22"/>
          <w:szCs w:val="22"/>
        </w:rPr>
        <w:t>Abdeckungen oder Gehäuse</w:t>
      </w:r>
      <w:r w:rsidR="00B127A0">
        <w:rPr>
          <w:rFonts w:cs="Arial"/>
          <w:b/>
          <w:bCs/>
          <w:color w:val="000000" w:themeColor="text1"/>
          <w:sz w:val="22"/>
          <w:szCs w:val="22"/>
        </w:rPr>
        <w:t xml:space="preserve">: </w:t>
      </w:r>
      <w:r w:rsidRPr="00D260B4">
        <w:rPr>
          <w:rFonts w:cs="Arial"/>
          <w:i/>
          <w:iCs/>
          <w:color w:val="000000" w:themeColor="text1"/>
          <w:sz w:val="22"/>
          <w:szCs w:val="22"/>
        </w:rPr>
        <w:t>„Durch Luft isolierte aktive Teile müssen sich innerhalb von Gehäusen oder hinter Abdeckungen befinden, die mindestens einen Schutzgrad von IPXXB aufweisen. (...)</w:t>
      </w:r>
    </w:p>
    <w:p w14:paraId="23EC0DCD" w14:textId="77777777" w:rsidR="00C4131F" w:rsidRPr="00D260B4" w:rsidRDefault="00C4131F" w:rsidP="00D260B4">
      <w:pPr>
        <w:tabs>
          <w:tab w:val="left" w:pos="6075"/>
        </w:tabs>
        <w:jc w:val="both"/>
        <w:rPr>
          <w:rFonts w:cs="Arial"/>
          <w:color w:val="000000" w:themeColor="text1"/>
          <w:sz w:val="22"/>
          <w:szCs w:val="22"/>
        </w:rPr>
      </w:pPr>
    </w:p>
    <w:p w14:paraId="246A1868" w14:textId="77777777" w:rsidR="00C4131F" w:rsidRPr="00D260B4" w:rsidRDefault="00C4131F" w:rsidP="00D260B4">
      <w:pPr>
        <w:tabs>
          <w:tab w:val="left" w:pos="6075"/>
        </w:tabs>
        <w:jc w:val="both"/>
        <w:rPr>
          <w:rFonts w:cs="Arial"/>
          <w:color w:val="000000" w:themeColor="text1"/>
          <w:sz w:val="22"/>
          <w:szCs w:val="22"/>
        </w:rPr>
      </w:pPr>
    </w:p>
    <w:p w14:paraId="7AAB0D79" w14:textId="0B4D0319" w:rsidR="00C4131F" w:rsidRPr="00D260B4" w:rsidRDefault="00D260B4" w:rsidP="00D260B4">
      <w:pPr>
        <w:tabs>
          <w:tab w:val="left" w:pos="6075"/>
        </w:tabs>
        <w:jc w:val="both"/>
        <w:rPr>
          <w:rFonts w:cs="Arial"/>
          <w:color w:val="000000" w:themeColor="text1"/>
          <w:sz w:val="22"/>
          <w:szCs w:val="22"/>
        </w:rPr>
      </w:pPr>
      <w:r w:rsidRPr="00D260B4">
        <w:rPr>
          <w:rFonts w:cs="Arial"/>
          <w:b/>
          <w:bCs/>
          <w:color w:val="000000" w:themeColor="text1"/>
          <w:sz w:val="22"/>
          <w:szCs w:val="22"/>
        </w:rPr>
        <w:lastRenderedPageBreak/>
        <w:t>Erläuterung</w:t>
      </w:r>
      <w:r w:rsidR="00B127A0">
        <w:rPr>
          <w:rFonts w:cs="Arial"/>
          <w:b/>
          <w:bCs/>
          <w:color w:val="000000" w:themeColor="text1"/>
          <w:sz w:val="22"/>
          <w:szCs w:val="22"/>
        </w:rPr>
        <w:t xml:space="preserve">: </w:t>
      </w:r>
      <w:r w:rsidR="00C4131F" w:rsidRPr="00D260B4">
        <w:rPr>
          <w:rFonts w:cs="Arial"/>
          <w:color w:val="000000" w:themeColor="text1"/>
          <w:sz w:val="22"/>
          <w:szCs w:val="22"/>
        </w:rPr>
        <w:t xml:space="preserve">Innerhalb von laienbedienbaren Schaltgerätekombination mit einem vollständigen Schutz gegen direktes Berühren sind alle aktiven und gefährlichen aktiven Teile bereits durch die Basisisolierung in Form der Feldabdeckung abgedeckt, sodass für den Bediener/Laien keine Gefährdung besteht. </w:t>
      </w:r>
    </w:p>
    <w:p w14:paraId="0F30CF53" w14:textId="77777777" w:rsidR="00C4131F" w:rsidRPr="00D260B4" w:rsidRDefault="00C4131F" w:rsidP="00D260B4">
      <w:pPr>
        <w:tabs>
          <w:tab w:val="left" w:pos="6075"/>
        </w:tabs>
        <w:jc w:val="both"/>
        <w:rPr>
          <w:rFonts w:cs="Arial"/>
          <w:color w:val="000000" w:themeColor="text1"/>
          <w:sz w:val="22"/>
          <w:szCs w:val="22"/>
        </w:rPr>
      </w:pPr>
    </w:p>
    <w:p w14:paraId="5E8E5A13" w14:textId="77777777" w:rsidR="00C4131F" w:rsidRPr="00D260B4" w:rsidRDefault="00C4131F" w:rsidP="00D260B4">
      <w:pPr>
        <w:tabs>
          <w:tab w:val="left" w:pos="6075"/>
        </w:tabs>
        <w:jc w:val="both"/>
        <w:rPr>
          <w:rFonts w:cs="Arial"/>
          <w:color w:val="000000" w:themeColor="text1"/>
          <w:sz w:val="22"/>
          <w:szCs w:val="22"/>
        </w:rPr>
      </w:pPr>
      <w:r w:rsidRPr="00D260B4">
        <w:rPr>
          <w:rFonts w:cs="Arial"/>
          <w:color w:val="000000" w:themeColor="text1"/>
          <w:sz w:val="22"/>
          <w:szCs w:val="22"/>
        </w:rPr>
        <w:t xml:space="preserve">In nicht laienbedienbaren Schaltgerätekombinationen die mit dem Warnzeichen W012 als „abgeschlossene elektrische Betriebsstätte“ versehen sind, muss eine Neutralleiterschiene innerhalb von Gehäusen, nicht abgedeckt sein, da es sich </w:t>
      </w:r>
      <w:r w:rsidRPr="00D260B4">
        <w:rPr>
          <w:rFonts w:cs="Arial"/>
          <w:color w:val="000000" w:themeColor="text1"/>
          <w:sz w:val="22"/>
          <w:szCs w:val="22"/>
          <w:u w:val="single"/>
        </w:rPr>
        <w:t>nicht um ein gefährliches aktives Teil handelt</w:t>
      </w:r>
      <w:r w:rsidRPr="00D260B4">
        <w:rPr>
          <w:rFonts w:cs="Arial"/>
          <w:color w:val="000000" w:themeColor="text1"/>
          <w:sz w:val="22"/>
          <w:szCs w:val="22"/>
        </w:rPr>
        <w:t xml:space="preserve">. </w:t>
      </w:r>
    </w:p>
    <w:p w14:paraId="16226A37" w14:textId="77777777" w:rsidR="00C4131F" w:rsidRPr="00D260B4" w:rsidRDefault="00C4131F" w:rsidP="00D260B4">
      <w:pPr>
        <w:tabs>
          <w:tab w:val="left" w:pos="6075"/>
        </w:tabs>
        <w:jc w:val="both"/>
        <w:rPr>
          <w:rFonts w:cs="Arial"/>
          <w:color w:val="000000" w:themeColor="text1"/>
          <w:sz w:val="22"/>
          <w:szCs w:val="22"/>
        </w:rPr>
      </w:pPr>
      <w:r w:rsidRPr="00D260B4">
        <w:rPr>
          <w:rFonts w:cs="Arial"/>
          <w:color w:val="000000" w:themeColor="text1"/>
          <w:sz w:val="22"/>
          <w:szCs w:val="22"/>
        </w:rPr>
        <w:t>Der Zutritt ist auf Elektrofachkräfte und elektrotechnisch unterwiesenen Personen beschränkt, sodass die Gefährdung zusätzlich durch Kenntnisse und Fähigkeiten der Mitarbeiter gesenkt wird.</w:t>
      </w:r>
    </w:p>
    <w:p w14:paraId="04EA821E" w14:textId="77777777" w:rsidR="00C4131F" w:rsidRPr="00D260B4" w:rsidRDefault="00C4131F" w:rsidP="00D260B4">
      <w:pPr>
        <w:tabs>
          <w:tab w:val="left" w:pos="6075"/>
        </w:tabs>
        <w:jc w:val="both"/>
        <w:rPr>
          <w:rFonts w:cs="Arial"/>
          <w:b/>
          <w:bCs/>
          <w:color w:val="000000" w:themeColor="text1"/>
          <w:sz w:val="22"/>
          <w:szCs w:val="22"/>
        </w:rPr>
      </w:pPr>
    </w:p>
    <w:p w14:paraId="338E69D4" w14:textId="4C6317F6" w:rsidR="00C4131F" w:rsidRPr="00D260B4" w:rsidRDefault="00C4131F" w:rsidP="00D260B4">
      <w:pPr>
        <w:tabs>
          <w:tab w:val="left" w:pos="6075"/>
        </w:tabs>
        <w:jc w:val="both"/>
        <w:rPr>
          <w:rFonts w:cs="Arial"/>
          <w:b/>
          <w:bCs/>
          <w:color w:val="000000" w:themeColor="text1"/>
          <w:sz w:val="22"/>
          <w:szCs w:val="22"/>
        </w:rPr>
      </w:pPr>
      <w:r w:rsidRPr="00D260B4">
        <w:rPr>
          <w:rFonts w:cs="Arial"/>
          <w:b/>
          <w:bCs/>
          <w:color w:val="000000" w:themeColor="text1"/>
          <w:sz w:val="22"/>
          <w:szCs w:val="22"/>
        </w:rPr>
        <w:t>Fazit</w:t>
      </w:r>
    </w:p>
    <w:p w14:paraId="797EB4F1" w14:textId="77777777" w:rsidR="00C4131F" w:rsidRPr="00D260B4" w:rsidRDefault="00C4131F" w:rsidP="00D260B4">
      <w:pPr>
        <w:tabs>
          <w:tab w:val="left" w:pos="6075"/>
        </w:tabs>
        <w:jc w:val="both"/>
        <w:rPr>
          <w:rFonts w:cs="Arial"/>
          <w:b/>
          <w:bCs/>
          <w:color w:val="000000" w:themeColor="text1"/>
          <w:sz w:val="22"/>
          <w:szCs w:val="22"/>
        </w:rPr>
      </w:pPr>
    </w:p>
    <w:p w14:paraId="0CF073F8" w14:textId="77777777" w:rsidR="00C4131F" w:rsidRPr="00D260B4" w:rsidRDefault="00C4131F" w:rsidP="00D260B4">
      <w:pPr>
        <w:tabs>
          <w:tab w:val="left" w:pos="6075"/>
        </w:tabs>
        <w:jc w:val="both"/>
        <w:rPr>
          <w:rFonts w:cs="Arial"/>
          <w:color w:val="000000" w:themeColor="text1"/>
          <w:sz w:val="22"/>
          <w:szCs w:val="22"/>
        </w:rPr>
      </w:pPr>
      <w:r w:rsidRPr="00D260B4">
        <w:rPr>
          <w:rFonts w:cs="Arial"/>
          <w:color w:val="000000" w:themeColor="text1"/>
          <w:sz w:val="22"/>
          <w:szCs w:val="22"/>
        </w:rPr>
        <w:t xml:space="preserve">Gefährliche aktive Teile (Außenleiter) müssen vollständig von Isolierung umhüllt sein, weil bei Berührung von einem elektrischen Schlag auszugehen ist. </w:t>
      </w:r>
    </w:p>
    <w:p w14:paraId="7F9DB2A7" w14:textId="77777777" w:rsidR="00C4131F" w:rsidRPr="00D260B4" w:rsidRDefault="00C4131F" w:rsidP="00D260B4">
      <w:pPr>
        <w:tabs>
          <w:tab w:val="left" w:pos="6075"/>
        </w:tabs>
        <w:jc w:val="both"/>
        <w:rPr>
          <w:rFonts w:cs="Arial"/>
          <w:color w:val="000000" w:themeColor="text1"/>
          <w:sz w:val="22"/>
          <w:szCs w:val="22"/>
        </w:rPr>
      </w:pPr>
    </w:p>
    <w:p w14:paraId="5FDBAE65" w14:textId="77777777" w:rsidR="00C4131F" w:rsidRPr="00D260B4" w:rsidRDefault="00C4131F" w:rsidP="00D260B4">
      <w:pPr>
        <w:tabs>
          <w:tab w:val="left" w:pos="6075"/>
        </w:tabs>
        <w:jc w:val="both"/>
        <w:rPr>
          <w:rFonts w:cs="Arial"/>
          <w:color w:val="000000" w:themeColor="text1"/>
          <w:sz w:val="22"/>
          <w:szCs w:val="22"/>
        </w:rPr>
      </w:pPr>
      <w:r w:rsidRPr="00D260B4">
        <w:rPr>
          <w:rFonts w:cs="Arial"/>
          <w:color w:val="000000" w:themeColor="text1"/>
          <w:sz w:val="22"/>
          <w:szCs w:val="22"/>
        </w:rPr>
        <w:t xml:space="preserve">Solange Neutralleiter(schienen) wirksam geerdet sind, sind sie </w:t>
      </w:r>
      <w:r w:rsidRPr="00D260B4">
        <w:rPr>
          <w:rFonts w:cs="Arial"/>
          <w:color w:val="000000" w:themeColor="text1"/>
          <w:sz w:val="22"/>
          <w:szCs w:val="22"/>
          <w:u w:val="single"/>
        </w:rPr>
        <w:t>keine gefährlichen aktiven Teile</w:t>
      </w:r>
      <w:r w:rsidRPr="00D260B4">
        <w:rPr>
          <w:rFonts w:cs="Arial"/>
          <w:color w:val="000000" w:themeColor="text1"/>
          <w:sz w:val="22"/>
          <w:szCs w:val="22"/>
        </w:rPr>
        <w:t xml:space="preserve"> und müssen dementsprechend nicht vollständig von Isolierung umhüllt sein. Ausschlaggebend für die Betrachtung ist hier u. a. die ordnungsgemäße (geschützte) Verlegung der Erdverbindung.</w:t>
      </w:r>
    </w:p>
    <w:p w14:paraId="09BE511B" w14:textId="77777777" w:rsidR="00C4131F" w:rsidRPr="00D260B4" w:rsidRDefault="00C4131F" w:rsidP="00D260B4">
      <w:pPr>
        <w:jc w:val="both"/>
        <w:rPr>
          <w:rFonts w:cs="Arial"/>
          <w:color w:val="000000" w:themeColor="text1"/>
          <w:sz w:val="22"/>
          <w:szCs w:val="22"/>
        </w:rPr>
      </w:pPr>
    </w:p>
    <w:p w14:paraId="653A2850" w14:textId="77777777" w:rsidR="00C4131F" w:rsidRPr="00D260B4" w:rsidRDefault="00C4131F" w:rsidP="00D260B4">
      <w:pPr>
        <w:jc w:val="both"/>
        <w:rPr>
          <w:rFonts w:cs="Arial"/>
          <w:color w:val="000000" w:themeColor="text1"/>
          <w:sz w:val="22"/>
          <w:szCs w:val="22"/>
        </w:rPr>
      </w:pPr>
      <w:r w:rsidRPr="00D260B4">
        <w:rPr>
          <w:rFonts w:cs="Arial"/>
          <w:color w:val="000000" w:themeColor="text1"/>
          <w:sz w:val="22"/>
          <w:szCs w:val="22"/>
        </w:rPr>
        <w:t>Generell ist ein abgedeckter oder basisisolierter Aufbau der Neutralleiterschiene die sichere Seite, jedoch in der Praxis noch recht selten zu finden. Der Betreiber kann dies in seiner Spezifikation der Schaltgerätekombination fordern, wenn er dies generell erhalten will. Ist dies nicht vereinbart, liegt die Gestaltung in der Hand des Herstellers der Schaltgerätekombination.</w:t>
      </w:r>
    </w:p>
    <w:p w14:paraId="1C58F182" w14:textId="24736BBD" w:rsidR="00A766F8" w:rsidRPr="00D260B4" w:rsidRDefault="00A50019" w:rsidP="00D260B4">
      <w:pPr>
        <w:jc w:val="both"/>
        <w:rPr>
          <w:rFonts w:cs="Arial"/>
          <w:color w:val="000000" w:themeColor="text1"/>
          <w:sz w:val="22"/>
          <w:szCs w:val="22"/>
        </w:rPr>
      </w:pPr>
      <w:r w:rsidRPr="00D260B4">
        <w:rPr>
          <w:rFonts w:cs="Arial"/>
          <w:color w:val="000000" w:themeColor="text1"/>
          <w:sz w:val="22"/>
          <w:szCs w:val="22"/>
        </w:rPr>
        <w:t xml:space="preserve"> </w:t>
      </w:r>
    </w:p>
    <w:sectPr w:rsidR="00A766F8" w:rsidRPr="00D260B4" w:rsidSect="00D75291">
      <w:headerReference w:type="default" r:id="rId11"/>
      <w:footerReference w:type="default" r:id="rId12"/>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EC3A" w14:textId="77777777" w:rsidR="004F29CE" w:rsidRDefault="004F29CE">
      <w:r>
        <w:separator/>
      </w:r>
    </w:p>
  </w:endnote>
  <w:endnote w:type="continuationSeparator" w:id="0">
    <w:p w14:paraId="4274D32F" w14:textId="77777777" w:rsidR="004F29CE" w:rsidRDefault="004F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0E" w14:textId="77777777"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184B07EA"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25D2D649" w:rsidR="00413A01" w:rsidRPr="004C1C05" w:rsidRDefault="006C0D69" w:rsidP="00413A01">
          <w:pPr>
            <w:pStyle w:val="Fuzeile"/>
            <w:ind w:right="-83"/>
            <w:rPr>
              <w:sz w:val="16"/>
              <w:szCs w:val="16"/>
            </w:rPr>
          </w:pPr>
          <w:r>
            <w:rPr>
              <w:sz w:val="16"/>
              <w:szCs w:val="16"/>
            </w:rPr>
            <w:t>01.</w:t>
          </w:r>
          <w:r w:rsidR="00413A01">
            <w:rPr>
              <w:sz w:val="16"/>
              <w:szCs w:val="16"/>
            </w:rPr>
            <w:t>0</w:t>
          </w:r>
          <w:r w:rsidR="00C4131F">
            <w:rPr>
              <w:sz w:val="16"/>
              <w:szCs w:val="16"/>
            </w:rPr>
            <w:t>7</w:t>
          </w:r>
          <w:r w:rsidR="00413A01">
            <w:rPr>
              <w:sz w:val="16"/>
              <w:szCs w:val="16"/>
            </w:rPr>
            <w:t>.202</w:t>
          </w:r>
          <w:r>
            <w:rPr>
              <w:sz w:val="16"/>
              <w:szCs w:val="16"/>
            </w:rPr>
            <w:t>3</w:t>
          </w:r>
        </w:p>
      </w:tc>
      <w:tc>
        <w:tcPr>
          <w:tcW w:w="1114" w:type="dxa"/>
          <w:vAlign w:val="center"/>
        </w:tcPr>
        <w:p w14:paraId="0367896C" w14:textId="4296BA5E"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77777777" w:rsidR="00413A01" w:rsidRPr="004C1C05" w:rsidRDefault="00413A01" w:rsidP="00413A01">
          <w:pPr>
            <w:pStyle w:val="Fuzeile"/>
            <w:ind w:right="-83"/>
            <w:rPr>
              <w:sz w:val="16"/>
              <w:szCs w:val="16"/>
            </w:rPr>
          </w:pPr>
          <w:r w:rsidRPr="004C1C05">
            <w:rPr>
              <w:sz w:val="16"/>
              <w:szCs w:val="16"/>
            </w:rPr>
            <w:t>Gültig ab:</w:t>
          </w:r>
        </w:p>
      </w:tc>
      <w:tc>
        <w:tcPr>
          <w:tcW w:w="1114" w:type="dxa"/>
          <w:vAlign w:val="center"/>
        </w:tcPr>
        <w:p w14:paraId="6E18031B" w14:textId="77777777" w:rsidR="00413A01" w:rsidRPr="004C1C05" w:rsidRDefault="00413A01" w:rsidP="00413A01">
          <w:pPr>
            <w:pStyle w:val="Fuzeile"/>
            <w:ind w:right="-83"/>
            <w:rPr>
              <w:sz w:val="16"/>
              <w:szCs w:val="16"/>
            </w:rPr>
          </w:pPr>
        </w:p>
      </w:tc>
    </w:tr>
    <w:tr w:rsidR="00413A01" w:rsidRPr="004C1C05" w14:paraId="7D7C1E9E" w14:textId="77777777" w:rsidTr="001B5CEE">
      <w:tc>
        <w:tcPr>
          <w:tcW w:w="1814" w:type="dxa"/>
          <w:vAlign w:val="center"/>
        </w:tcPr>
        <w:p w14:paraId="5FA7E0CE" w14:textId="77777777" w:rsidR="00413A01" w:rsidRPr="004C1C05" w:rsidRDefault="00413A01" w:rsidP="00413A01">
          <w:pPr>
            <w:pStyle w:val="Fuzeile"/>
            <w:ind w:right="-83"/>
            <w:rPr>
              <w:sz w:val="16"/>
              <w:szCs w:val="16"/>
            </w:rPr>
          </w:pPr>
          <w:r w:rsidRPr="004C1C05">
            <w:rPr>
              <w:sz w:val="16"/>
              <w:szCs w:val="16"/>
            </w:rPr>
            <w:t>Erstellt/geändert:</w:t>
          </w:r>
        </w:p>
      </w:tc>
      <w:tc>
        <w:tcPr>
          <w:tcW w:w="1113" w:type="dxa"/>
          <w:vAlign w:val="center"/>
        </w:tcPr>
        <w:p w14:paraId="46681F7E" w14:textId="6BAB5688" w:rsidR="00413A01" w:rsidRPr="004C1C05" w:rsidRDefault="00413A01" w:rsidP="00413A01">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46651802" w:rsidR="00413A01" w:rsidRPr="004C1C05" w:rsidRDefault="00413A01" w:rsidP="00413A01">
          <w:pPr>
            <w:pStyle w:val="Fuzeile"/>
            <w:ind w:right="-83"/>
            <w:rPr>
              <w:sz w:val="16"/>
              <w:szCs w:val="16"/>
            </w:rPr>
          </w:pPr>
        </w:p>
      </w:tc>
      <w:tc>
        <w:tcPr>
          <w:tcW w:w="1114" w:type="dxa"/>
          <w:vAlign w:val="center"/>
        </w:tcPr>
        <w:p w14:paraId="74E249C1" w14:textId="2B786FC8" w:rsidR="00413A01" w:rsidRPr="004C1C05" w:rsidRDefault="00413A01" w:rsidP="00413A01">
          <w:pPr>
            <w:pStyle w:val="Fuzeile"/>
            <w:ind w:right="-83"/>
            <w:rPr>
              <w:sz w:val="16"/>
              <w:szCs w:val="16"/>
            </w:rPr>
          </w:pPr>
        </w:p>
      </w:tc>
      <w:tc>
        <w:tcPr>
          <w:tcW w:w="1114" w:type="dxa"/>
          <w:vAlign w:val="center"/>
        </w:tcPr>
        <w:p w14:paraId="2834616F" w14:textId="77777777" w:rsidR="00413A01" w:rsidRPr="004C1C05" w:rsidRDefault="00413A01" w:rsidP="00413A01">
          <w:pPr>
            <w:pStyle w:val="Fuzeile"/>
            <w:ind w:right="-83"/>
            <w:rPr>
              <w:sz w:val="16"/>
              <w:szCs w:val="16"/>
            </w:rPr>
          </w:pPr>
        </w:p>
      </w:tc>
      <w:tc>
        <w:tcPr>
          <w:tcW w:w="1114" w:type="dxa"/>
          <w:vAlign w:val="center"/>
        </w:tcPr>
        <w:p w14:paraId="7C8A9D96" w14:textId="77777777" w:rsidR="00413A01" w:rsidRPr="004C1C05" w:rsidRDefault="00413A01" w:rsidP="00413A01">
          <w:pPr>
            <w:pStyle w:val="Fuzeile"/>
            <w:ind w:right="-83"/>
            <w:rPr>
              <w:sz w:val="16"/>
              <w:szCs w:val="16"/>
            </w:rPr>
          </w:pPr>
        </w:p>
      </w:tc>
      <w:tc>
        <w:tcPr>
          <w:tcW w:w="1114" w:type="dxa"/>
          <w:shd w:val="clear" w:color="auto" w:fill="auto"/>
          <w:vAlign w:val="center"/>
        </w:tcPr>
        <w:p w14:paraId="6CCC8185" w14:textId="77777777" w:rsidR="00413A01" w:rsidRPr="004C1C05" w:rsidRDefault="00413A01" w:rsidP="00413A01">
          <w:pPr>
            <w:pStyle w:val="Fuzeile"/>
            <w:ind w:right="-83"/>
            <w:rPr>
              <w:sz w:val="16"/>
              <w:szCs w:val="16"/>
            </w:rPr>
          </w:pPr>
        </w:p>
      </w:tc>
      <w:tc>
        <w:tcPr>
          <w:tcW w:w="1114" w:type="dxa"/>
          <w:vAlign w:val="center"/>
        </w:tcPr>
        <w:p w14:paraId="7C91B93C" w14:textId="77777777" w:rsidR="00413A01" w:rsidRPr="004C1C05" w:rsidRDefault="00413A01" w:rsidP="00413A01">
          <w:pPr>
            <w:pStyle w:val="Fuzeile"/>
            <w:ind w:right="-83"/>
            <w:rPr>
              <w:sz w:val="16"/>
              <w:szCs w:val="16"/>
            </w:rPr>
          </w:pPr>
        </w:p>
      </w:tc>
    </w:tr>
    <w:tr w:rsidR="00413A01" w:rsidRPr="004C1C05" w14:paraId="7DBB12E6" w14:textId="77777777" w:rsidTr="001B5CEE">
      <w:tc>
        <w:tcPr>
          <w:tcW w:w="1814" w:type="dxa"/>
          <w:vAlign w:val="center"/>
        </w:tcPr>
        <w:p w14:paraId="1DAF7BED" w14:textId="77777777" w:rsidR="00413A01" w:rsidRPr="004C1C05" w:rsidRDefault="00413A01" w:rsidP="00413A01">
          <w:pPr>
            <w:pStyle w:val="Fuzeile"/>
            <w:ind w:right="-83"/>
            <w:rPr>
              <w:sz w:val="16"/>
              <w:szCs w:val="16"/>
            </w:rPr>
          </w:pPr>
          <w:r w:rsidRPr="004C1C05">
            <w:rPr>
              <w:sz w:val="16"/>
              <w:szCs w:val="16"/>
            </w:rPr>
            <w:t>Genehmigt:</w:t>
          </w:r>
        </w:p>
      </w:tc>
      <w:tc>
        <w:tcPr>
          <w:tcW w:w="1113" w:type="dxa"/>
          <w:vAlign w:val="center"/>
        </w:tcPr>
        <w:p w14:paraId="7031F58E" w14:textId="77777777" w:rsidR="00413A01" w:rsidRPr="004C1C05" w:rsidRDefault="00413A01" w:rsidP="00413A01">
          <w:pPr>
            <w:pStyle w:val="Fuzeile"/>
            <w:ind w:right="-83"/>
            <w:rPr>
              <w:sz w:val="16"/>
              <w:szCs w:val="16"/>
            </w:rPr>
          </w:pPr>
        </w:p>
      </w:tc>
      <w:tc>
        <w:tcPr>
          <w:tcW w:w="1114" w:type="dxa"/>
          <w:vAlign w:val="center"/>
        </w:tcPr>
        <w:p w14:paraId="47A64D35" w14:textId="77777777" w:rsidR="00413A01" w:rsidRPr="004C1C05" w:rsidRDefault="00413A01" w:rsidP="00413A01">
          <w:pPr>
            <w:pStyle w:val="Fuzeile"/>
            <w:ind w:right="-83"/>
            <w:rPr>
              <w:sz w:val="16"/>
              <w:szCs w:val="16"/>
            </w:rPr>
          </w:pPr>
        </w:p>
      </w:tc>
      <w:tc>
        <w:tcPr>
          <w:tcW w:w="1114" w:type="dxa"/>
          <w:vAlign w:val="center"/>
        </w:tcPr>
        <w:p w14:paraId="51ECD793" w14:textId="77777777" w:rsidR="00413A01" w:rsidRPr="004C1C05" w:rsidRDefault="00413A01" w:rsidP="00413A01">
          <w:pPr>
            <w:pStyle w:val="Fuzeile"/>
            <w:ind w:right="-83"/>
            <w:rPr>
              <w:sz w:val="16"/>
              <w:szCs w:val="16"/>
            </w:rPr>
          </w:pPr>
        </w:p>
      </w:tc>
      <w:tc>
        <w:tcPr>
          <w:tcW w:w="1114" w:type="dxa"/>
          <w:vAlign w:val="center"/>
        </w:tcPr>
        <w:p w14:paraId="0616FCC5" w14:textId="77777777" w:rsidR="00413A01" w:rsidRPr="004C1C05" w:rsidRDefault="00413A01" w:rsidP="00413A01">
          <w:pPr>
            <w:pStyle w:val="Fuzeile"/>
            <w:ind w:right="-83"/>
            <w:rPr>
              <w:sz w:val="16"/>
              <w:szCs w:val="16"/>
            </w:rPr>
          </w:pPr>
        </w:p>
      </w:tc>
      <w:tc>
        <w:tcPr>
          <w:tcW w:w="1114" w:type="dxa"/>
          <w:vAlign w:val="center"/>
        </w:tcPr>
        <w:p w14:paraId="3AEBC74A" w14:textId="77777777" w:rsidR="00413A01" w:rsidRPr="004C1C05" w:rsidRDefault="00413A01" w:rsidP="00413A01">
          <w:pPr>
            <w:pStyle w:val="Fuzeile"/>
            <w:ind w:right="-83"/>
            <w:rPr>
              <w:sz w:val="16"/>
              <w:szCs w:val="16"/>
            </w:rPr>
          </w:pPr>
        </w:p>
      </w:tc>
      <w:tc>
        <w:tcPr>
          <w:tcW w:w="1114" w:type="dxa"/>
          <w:shd w:val="clear" w:color="auto" w:fill="auto"/>
          <w:vAlign w:val="center"/>
        </w:tcPr>
        <w:p w14:paraId="024944CB" w14:textId="77777777" w:rsidR="00413A01" w:rsidRPr="004C1C05" w:rsidRDefault="00413A01" w:rsidP="00413A01">
          <w:pPr>
            <w:pStyle w:val="Fuzeile"/>
            <w:ind w:right="-83"/>
            <w:rPr>
              <w:sz w:val="16"/>
              <w:szCs w:val="16"/>
            </w:rPr>
          </w:pPr>
        </w:p>
      </w:tc>
      <w:tc>
        <w:tcPr>
          <w:tcW w:w="1114" w:type="dxa"/>
          <w:vAlign w:val="center"/>
        </w:tcPr>
        <w:p w14:paraId="4FE0CA3B" w14:textId="77777777" w:rsidR="00413A01" w:rsidRPr="004C1C05" w:rsidRDefault="00413A01" w:rsidP="00413A01">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8492" w14:textId="77777777" w:rsidR="004F29CE" w:rsidRDefault="004F29CE">
      <w:r>
        <w:separator/>
      </w:r>
    </w:p>
  </w:footnote>
  <w:footnote w:type="continuationSeparator" w:id="0">
    <w:p w14:paraId="5B65122D" w14:textId="77777777" w:rsidR="004F29CE" w:rsidRDefault="004F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50" w14:textId="77777777"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2E410ECA" w:rsidR="004F0DC2" w:rsidRPr="00E21DC0" w:rsidRDefault="004F0DC2" w:rsidP="004F0DC2">
          <w:pPr>
            <w:jc w:val="center"/>
          </w:pPr>
          <w:r w:rsidRPr="00E21DC0">
            <w:rPr>
              <w:b/>
            </w:rPr>
            <w:t>UW_ET_</w:t>
          </w:r>
          <w:r w:rsidR="007376D0">
            <w:rPr>
              <w:b/>
            </w:rPr>
            <w:t>9</w:t>
          </w:r>
          <w:r w:rsidR="00C4131F">
            <w:rPr>
              <w:b/>
            </w:rPr>
            <w:t>5</w:t>
          </w:r>
        </w:p>
      </w:tc>
      <w:tc>
        <w:tcPr>
          <w:tcW w:w="5026" w:type="dxa"/>
          <w:vAlign w:val="center"/>
        </w:tcPr>
        <w:p w14:paraId="63D167E9" w14:textId="43FCA2F8" w:rsidR="004F0DC2" w:rsidRPr="00B2005A" w:rsidRDefault="00C4131F" w:rsidP="004F0DC2">
          <w:pPr>
            <w:jc w:val="center"/>
            <w:rPr>
              <w:sz w:val="28"/>
              <w:szCs w:val="28"/>
            </w:rPr>
          </w:pPr>
          <w:r w:rsidRPr="00C4131F">
            <w:rPr>
              <w:sz w:val="28"/>
              <w:szCs w:val="28"/>
            </w:rPr>
            <w:t xml:space="preserve">Abdeckung Neutralleiterschiene in </w:t>
          </w:r>
          <w:proofErr w:type="spellStart"/>
          <w:r w:rsidRPr="00C4131F">
            <w:rPr>
              <w:sz w:val="28"/>
              <w:szCs w:val="28"/>
            </w:rPr>
            <w:t>Schaltgerätekombinationen</w:t>
          </w:r>
          <w:proofErr w:type="spellEnd"/>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2"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13"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14"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num w:numId="1" w16cid:durableId="1015809858">
    <w:abstractNumId w:val="0"/>
  </w:num>
  <w:num w:numId="2" w16cid:durableId="1386223540">
    <w:abstractNumId w:val="4"/>
  </w:num>
  <w:num w:numId="3" w16cid:durableId="1696270670">
    <w:abstractNumId w:val="6"/>
  </w:num>
  <w:num w:numId="4" w16cid:durableId="398405917">
    <w:abstractNumId w:val="9"/>
  </w:num>
  <w:num w:numId="5" w16cid:durableId="1115758492">
    <w:abstractNumId w:val="2"/>
  </w:num>
  <w:num w:numId="6" w16cid:durableId="767040991">
    <w:abstractNumId w:val="8"/>
  </w:num>
  <w:num w:numId="7" w16cid:durableId="265188367">
    <w:abstractNumId w:val="14"/>
  </w:num>
  <w:num w:numId="8" w16cid:durableId="1114789958">
    <w:abstractNumId w:val="15"/>
  </w:num>
  <w:num w:numId="9" w16cid:durableId="1522278410">
    <w:abstractNumId w:val="11"/>
  </w:num>
  <w:num w:numId="10" w16cid:durableId="2002613182">
    <w:abstractNumId w:val="7"/>
  </w:num>
  <w:num w:numId="11" w16cid:durableId="1073701921">
    <w:abstractNumId w:val="5"/>
  </w:num>
  <w:num w:numId="12" w16cid:durableId="1301959806">
    <w:abstractNumId w:val="3"/>
  </w:num>
  <w:num w:numId="13" w16cid:durableId="1529026474">
    <w:abstractNumId w:val="1"/>
  </w:num>
  <w:num w:numId="14" w16cid:durableId="1328747873">
    <w:abstractNumId w:val="10"/>
  </w:num>
  <w:num w:numId="15" w16cid:durableId="1461416829">
    <w:abstractNumId w:val="13"/>
  </w:num>
  <w:num w:numId="16" w16cid:durableId="15337636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D14"/>
    <w:rsid w:val="00007E03"/>
    <w:rsid w:val="00013D7A"/>
    <w:rsid w:val="00014CCE"/>
    <w:rsid w:val="00015930"/>
    <w:rsid w:val="0001596B"/>
    <w:rsid w:val="0002703C"/>
    <w:rsid w:val="00027F84"/>
    <w:rsid w:val="00032FDB"/>
    <w:rsid w:val="0003362A"/>
    <w:rsid w:val="00036B74"/>
    <w:rsid w:val="00040E3F"/>
    <w:rsid w:val="00041553"/>
    <w:rsid w:val="00042C6C"/>
    <w:rsid w:val="00043813"/>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6060"/>
    <w:rsid w:val="0011690F"/>
    <w:rsid w:val="00116C94"/>
    <w:rsid w:val="00117926"/>
    <w:rsid w:val="00117AA2"/>
    <w:rsid w:val="001200AE"/>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7BDE"/>
    <w:rsid w:val="002B1CFC"/>
    <w:rsid w:val="002B486C"/>
    <w:rsid w:val="002B5C14"/>
    <w:rsid w:val="002C2A04"/>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4C3F"/>
    <w:rsid w:val="003E60A4"/>
    <w:rsid w:val="003E749D"/>
    <w:rsid w:val="003F13C7"/>
    <w:rsid w:val="003F216A"/>
    <w:rsid w:val="00402BA2"/>
    <w:rsid w:val="00402EA6"/>
    <w:rsid w:val="00402F10"/>
    <w:rsid w:val="0040334E"/>
    <w:rsid w:val="00406DE6"/>
    <w:rsid w:val="004100B1"/>
    <w:rsid w:val="00413A01"/>
    <w:rsid w:val="00416285"/>
    <w:rsid w:val="0042274F"/>
    <w:rsid w:val="00423473"/>
    <w:rsid w:val="00424E9E"/>
    <w:rsid w:val="00427C17"/>
    <w:rsid w:val="004302D1"/>
    <w:rsid w:val="00432859"/>
    <w:rsid w:val="00436067"/>
    <w:rsid w:val="00446822"/>
    <w:rsid w:val="00456569"/>
    <w:rsid w:val="00457F21"/>
    <w:rsid w:val="0046027A"/>
    <w:rsid w:val="00460DBF"/>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6674"/>
    <w:rsid w:val="004E7494"/>
    <w:rsid w:val="004F0DC2"/>
    <w:rsid w:val="004F1600"/>
    <w:rsid w:val="004F29CE"/>
    <w:rsid w:val="004F4F0C"/>
    <w:rsid w:val="004F53BB"/>
    <w:rsid w:val="004F6395"/>
    <w:rsid w:val="004F7F82"/>
    <w:rsid w:val="00500585"/>
    <w:rsid w:val="0050522E"/>
    <w:rsid w:val="0050558F"/>
    <w:rsid w:val="005069BB"/>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7549"/>
    <w:rsid w:val="00537F44"/>
    <w:rsid w:val="00542168"/>
    <w:rsid w:val="00546908"/>
    <w:rsid w:val="005545FD"/>
    <w:rsid w:val="0056629D"/>
    <w:rsid w:val="00567EC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15F8A"/>
    <w:rsid w:val="00616683"/>
    <w:rsid w:val="00616A7A"/>
    <w:rsid w:val="00617FE6"/>
    <w:rsid w:val="006207B4"/>
    <w:rsid w:val="00620E65"/>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4B29"/>
    <w:rsid w:val="00665118"/>
    <w:rsid w:val="006668C8"/>
    <w:rsid w:val="00666F42"/>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7BE6"/>
    <w:rsid w:val="006C0D69"/>
    <w:rsid w:val="006C0E34"/>
    <w:rsid w:val="006C1619"/>
    <w:rsid w:val="006C31D6"/>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56C2"/>
    <w:rsid w:val="008862EB"/>
    <w:rsid w:val="0089014B"/>
    <w:rsid w:val="00890659"/>
    <w:rsid w:val="0089137C"/>
    <w:rsid w:val="008931EB"/>
    <w:rsid w:val="00895E89"/>
    <w:rsid w:val="008A33CC"/>
    <w:rsid w:val="008A413E"/>
    <w:rsid w:val="008B124C"/>
    <w:rsid w:val="008B1308"/>
    <w:rsid w:val="008B325F"/>
    <w:rsid w:val="008B3859"/>
    <w:rsid w:val="008B4939"/>
    <w:rsid w:val="008B7671"/>
    <w:rsid w:val="008D03BE"/>
    <w:rsid w:val="008D4E30"/>
    <w:rsid w:val="008D6120"/>
    <w:rsid w:val="008E2D70"/>
    <w:rsid w:val="008E3078"/>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0A12"/>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504BE"/>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61C7"/>
    <w:rsid w:val="00C36FBA"/>
    <w:rsid w:val="00C40060"/>
    <w:rsid w:val="00C40F67"/>
    <w:rsid w:val="00C4131F"/>
    <w:rsid w:val="00C420A2"/>
    <w:rsid w:val="00C424A9"/>
    <w:rsid w:val="00C51AB0"/>
    <w:rsid w:val="00C51FD5"/>
    <w:rsid w:val="00C53B5E"/>
    <w:rsid w:val="00C55654"/>
    <w:rsid w:val="00C5623E"/>
    <w:rsid w:val="00C6053B"/>
    <w:rsid w:val="00C60762"/>
    <w:rsid w:val="00C664F4"/>
    <w:rsid w:val="00C67109"/>
    <w:rsid w:val="00C71E69"/>
    <w:rsid w:val="00C725CB"/>
    <w:rsid w:val="00C740C3"/>
    <w:rsid w:val="00C76F57"/>
    <w:rsid w:val="00C8238B"/>
    <w:rsid w:val="00C90655"/>
    <w:rsid w:val="00C92AA8"/>
    <w:rsid w:val="00C94250"/>
    <w:rsid w:val="00C96C7E"/>
    <w:rsid w:val="00CA18B6"/>
    <w:rsid w:val="00CA723B"/>
    <w:rsid w:val="00CA7579"/>
    <w:rsid w:val="00CB0A16"/>
    <w:rsid w:val="00CB150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4683C"/>
    <w:rsid w:val="00E5198F"/>
    <w:rsid w:val="00E525C7"/>
    <w:rsid w:val="00E556A7"/>
    <w:rsid w:val="00E55DBE"/>
    <w:rsid w:val="00E570D3"/>
    <w:rsid w:val="00E57F6B"/>
    <w:rsid w:val="00E6024E"/>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C172B"/>
    <w:rsid w:val="00EC67B1"/>
    <w:rsid w:val="00EC7378"/>
    <w:rsid w:val="00ED66B8"/>
    <w:rsid w:val="00EF0331"/>
    <w:rsid w:val="00EF312F"/>
    <w:rsid w:val="00EF5642"/>
    <w:rsid w:val="00F0188B"/>
    <w:rsid w:val="00F02348"/>
    <w:rsid w:val="00F03FB3"/>
    <w:rsid w:val="00F06AA4"/>
    <w:rsid w:val="00F07228"/>
    <w:rsid w:val="00F10BFB"/>
    <w:rsid w:val="00F127FD"/>
    <w:rsid w:val="00F1431A"/>
    <w:rsid w:val="00F23E0E"/>
    <w:rsid w:val="00F272F5"/>
    <w:rsid w:val="00F31511"/>
    <w:rsid w:val="00F32C4E"/>
    <w:rsid w:val="00F33F3F"/>
    <w:rsid w:val="00F35089"/>
    <w:rsid w:val="00F35E8E"/>
    <w:rsid w:val="00F408B2"/>
    <w:rsid w:val="00F4330E"/>
    <w:rsid w:val="00F4559E"/>
    <w:rsid w:val="00F45DB9"/>
    <w:rsid w:val="00F532DA"/>
    <w:rsid w:val="00F53FD6"/>
    <w:rsid w:val="00F57E17"/>
    <w:rsid w:val="00F604E0"/>
    <w:rsid w:val="00F62D41"/>
    <w:rsid w:val="00F62F22"/>
    <w:rsid w:val="00F639A0"/>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semiHidden/>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5" ma:contentTypeDescription="Ein neues Dokument erstellen." ma:contentTypeScope="" ma:versionID="0b39e5702182e974ccde272fccd93eae">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98fa3217a72f84450bf2d55b48d5cd67"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23898EEB-ADA0-449B-85B4-03A7D95E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René Brünn</cp:lastModifiedBy>
  <cp:revision>11</cp:revision>
  <cp:lastPrinted>2023-03-30T12:05:00Z</cp:lastPrinted>
  <dcterms:created xsi:type="dcterms:W3CDTF">2023-05-02T08:30:00Z</dcterms:created>
  <dcterms:modified xsi:type="dcterms:W3CDTF">2023-06-15T15:54:00Z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