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877B" w14:textId="77777777" w:rsidR="0021635C" w:rsidRPr="0021635C" w:rsidRDefault="0021635C" w:rsidP="0021635C">
      <w:pPr>
        <w:autoSpaceDE w:val="0"/>
        <w:autoSpaceDN w:val="0"/>
        <w:adjustRightInd w:val="0"/>
        <w:rPr>
          <w:b/>
          <w:bCs/>
          <w:noProof/>
          <w:color w:val="000000" w:themeColor="text1"/>
          <w:sz w:val="22"/>
          <w:szCs w:val="22"/>
        </w:rPr>
      </w:pPr>
      <w:r w:rsidRPr="0021635C">
        <w:rPr>
          <w:color w:val="000000"/>
          <w:sz w:val="22"/>
          <w:szCs w:val="22"/>
        </w:rPr>
        <w:t>Wie in der nachfolgenden Übersicht gut zu erkennen ist, entstehen die meisten Brandschäden in Zusammenhang mit der Elektrizität.</w:t>
      </w:r>
    </w:p>
    <w:p w14:paraId="3B6E5BEA" w14:textId="77777777" w:rsidR="0021635C" w:rsidRPr="00FE4100" w:rsidRDefault="0021635C" w:rsidP="0021635C">
      <w:pPr>
        <w:keepNext/>
        <w:ind w:right="-144"/>
        <w:jc w:val="center"/>
        <w:rPr>
          <w:sz w:val="20"/>
        </w:rPr>
      </w:pPr>
      <w:r w:rsidRPr="00FE4100">
        <w:rPr>
          <w:b/>
          <w:bCs/>
          <w:noProof/>
          <w:color w:val="000000" w:themeColor="text1"/>
          <w:sz w:val="20"/>
        </w:rPr>
        <w:drawing>
          <wp:inline distT="0" distB="0" distL="0" distR="0" wp14:anchorId="3EEC0409" wp14:editId="7F63A0D0">
            <wp:extent cx="2623930" cy="2142537"/>
            <wp:effectExtent l="0" t="0" r="508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947868"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23930" cy="2142537"/>
                    </a:xfrm>
                    <a:prstGeom prst="rect">
                      <a:avLst/>
                    </a:prstGeom>
                    <a:noFill/>
                    <a:ln>
                      <a:noFill/>
                    </a:ln>
                  </pic:spPr>
                </pic:pic>
              </a:graphicData>
            </a:graphic>
          </wp:inline>
        </w:drawing>
      </w:r>
      <w:bookmarkStart w:id="0" w:name="_Hlk69113971"/>
      <w:bookmarkEnd w:id="0"/>
    </w:p>
    <w:p w14:paraId="13C8FEDF" w14:textId="70E396DA" w:rsidR="0021635C" w:rsidRPr="00FE4100" w:rsidRDefault="0021635C" w:rsidP="0021635C">
      <w:pPr>
        <w:pStyle w:val="Beschriftung"/>
        <w:rPr>
          <w:b/>
          <w:bCs/>
          <w:i w:val="0"/>
          <w:iCs w:val="0"/>
          <w:color w:val="000000" w:themeColor="text1"/>
          <w:sz w:val="16"/>
          <w:szCs w:val="16"/>
        </w:rPr>
      </w:pPr>
      <w:r w:rsidRPr="00FE4100">
        <w:rPr>
          <w:sz w:val="16"/>
          <w:szCs w:val="16"/>
        </w:rPr>
        <w:t>Brandursachen in Deutschland Quelle: Institut für Schadenverhütung und Schadenforschung der öffentlichen Versicherer e.V. [IFS]</w:t>
      </w:r>
    </w:p>
    <w:p w14:paraId="20E662D7" w14:textId="77777777" w:rsidR="0021635C" w:rsidRPr="00FE4100" w:rsidRDefault="0021635C" w:rsidP="0021635C">
      <w:pPr>
        <w:tabs>
          <w:tab w:val="left" w:pos="6075"/>
        </w:tabs>
        <w:rPr>
          <w:sz w:val="20"/>
        </w:rPr>
      </w:pPr>
    </w:p>
    <w:p w14:paraId="416AA3ED" w14:textId="77777777" w:rsidR="0021635C" w:rsidRPr="0021635C" w:rsidRDefault="0021635C" w:rsidP="0021635C">
      <w:pPr>
        <w:ind w:right="-144"/>
        <w:jc w:val="both"/>
        <w:rPr>
          <w:b/>
          <w:bCs/>
          <w:color w:val="000000" w:themeColor="text1"/>
          <w:sz w:val="22"/>
          <w:szCs w:val="22"/>
        </w:rPr>
      </w:pPr>
      <w:r w:rsidRPr="0021635C">
        <w:rPr>
          <w:b/>
          <w:bCs/>
          <w:color w:val="000000" w:themeColor="text1"/>
          <w:sz w:val="22"/>
          <w:szCs w:val="22"/>
        </w:rPr>
        <w:t>Grundsätze der Brandbekämpfung durch den Brandhelfer / Laien</w:t>
      </w:r>
    </w:p>
    <w:p w14:paraId="331FA26D" w14:textId="77777777" w:rsidR="0021635C" w:rsidRPr="0021635C" w:rsidRDefault="0021635C" w:rsidP="0021635C">
      <w:pPr>
        <w:ind w:right="-144"/>
        <w:jc w:val="both"/>
        <w:rPr>
          <w:b/>
          <w:bCs/>
          <w:color w:val="000000" w:themeColor="text1"/>
          <w:sz w:val="22"/>
          <w:szCs w:val="22"/>
        </w:rPr>
      </w:pPr>
    </w:p>
    <w:p w14:paraId="5FA6F594" w14:textId="77777777" w:rsidR="0021635C" w:rsidRPr="0021635C" w:rsidRDefault="0021635C" w:rsidP="0021635C">
      <w:pPr>
        <w:ind w:right="-144"/>
        <w:jc w:val="both"/>
        <w:rPr>
          <w:color w:val="000000" w:themeColor="text1"/>
          <w:sz w:val="22"/>
          <w:szCs w:val="22"/>
        </w:rPr>
      </w:pPr>
      <w:r w:rsidRPr="0021635C">
        <w:rPr>
          <w:color w:val="000000" w:themeColor="text1"/>
          <w:sz w:val="22"/>
          <w:szCs w:val="22"/>
        </w:rPr>
        <w:t>In der DGUV Information 205-001 „Arbeitssicherheit durch vorbeugenden Brandschutz“ heißt es unter Punkt 3: „Brandbekämpfung ist Sache aller“. Die Verhütung und Bekämpfung von Bränden und Explosionen ist eine Gemeinschaftsaufgabe aller im Betrieb tätigen Mitarbeiter.</w:t>
      </w:r>
    </w:p>
    <w:p w14:paraId="232821A2" w14:textId="77777777" w:rsidR="0021635C" w:rsidRPr="0021635C" w:rsidRDefault="0021635C" w:rsidP="0021635C">
      <w:pPr>
        <w:ind w:right="-144"/>
        <w:jc w:val="both"/>
        <w:rPr>
          <w:color w:val="000000" w:themeColor="text1"/>
          <w:sz w:val="22"/>
          <w:szCs w:val="22"/>
        </w:rPr>
      </w:pPr>
    </w:p>
    <w:p w14:paraId="559F08C9" w14:textId="77777777" w:rsidR="0021635C" w:rsidRPr="0021635C" w:rsidRDefault="0021635C" w:rsidP="0021635C">
      <w:pPr>
        <w:ind w:right="-144"/>
        <w:jc w:val="both"/>
        <w:rPr>
          <w:b/>
          <w:bCs/>
          <w:color w:val="000000" w:themeColor="text1"/>
          <w:sz w:val="22"/>
          <w:szCs w:val="22"/>
        </w:rPr>
      </w:pPr>
      <w:r w:rsidRPr="0021635C">
        <w:rPr>
          <w:b/>
          <w:bCs/>
          <w:color w:val="000000" w:themeColor="text1"/>
          <w:sz w:val="22"/>
          <w:szCs w:val="22"/>
        </w:rPr>
        <w:t xml:space="preserve">Brandschutzhelfer </w:t>
      </w:r>
    </w:p>
    <w:p w14:paraId="79239690" w14:textId="77777777" w:rsidR="0021635C" w:rsidRPr="0021635C" w:rsidRDefault="0021635C" w:rsidP="0021635C">
      <w:pPr>
        <w:ind w:right="-144"/>
        <w:jc w:val="both"/>
        <w:rPr>
          <w:color w:val="000000" w:themeColor="text1"/>
          <w:sz w:val="22"/>
          <w:szCs w:val="22"/>
        </w:rPr>
      </w:pPr>
    </w:p>
    <w:p w14:paraId="79830B53" w14:textId="51C12134" w:rsidR="0021635C" w:rsidRPr="0021635C" w:rsidRDefault="0021635C" w:rsidP="0021635C">
      <w:pPr>
        <w:ind w:right="-144"/>
        <w:jc w:val="both"/>
        <w:rPr>
          <w:color w:val="000000" w:themeColor="text1"/>
          <w:sz w:val="22"/>
          <w:szCs w:val="22"/>
        </w:rPr>
      </w:pPr>
      <w:r w:rsidRPr="0021635C">
        <w:rPr>
          <w:color w:val="000000" w:themeColor="text1"/>
          <w:sz w:val="22"/>
          <w:szCs w:val="22"/>
        </w:rPr>
        <w:t xml:space="preserve">Der Unternehmer hat eine ausreichende Anzahl von Versicherten durch Unterweisung und Übung im Umgang mit Feuerlöscheinrichtungen zur </w:t>
      </w:r>
      <w:r w:rsidRPr="0021635C">
        <w:rPr>
          <w:b/>
          <w:bCs/>
          <w:color w:val="000000" w:themeColor="text1"/>
          <w:sz w:val="22"/>
          <w:szCs w:val="22"/>
        </w:rPr>
        <w:t>Bekämpfung von Entstehungsbränden</w:t>
      </w:r>
      <w:r w:rsidRPr="0021635C">
        <w:rPr>
          <w:color w:val="000000" w:themeColor="text1"/>
          <w:sz w:val="22"/>
          <w:szCs w:val="22"/>
        </w:rPr>
        <w:t xml:space="preserve"> vertraut zu machen.</w:t>
      </w:r>
    </w:p>
    <w:p w14:paraId="271C9AA5" w14:textId="77777777" w:rsidR="0021635C" w:rsidRPr="0021635C" w:rsidRDefault="0021635C" w:rsidP="0021635C">
      <w:pPr>
        <w:ind w:right="-144"/>
        <w:jc w:val="both"/>
        <w:rPr>
          <w:color w:val="000000" w:themeColor="text1"/>
          <w:sz w:val="22"/>
          <w:szCs w:val="22"/>
        </w:rPr>
      </w:pPr>
    </w:p>
    <w:p w14:paraId="335662EB" w14:textId="300CBBBF" w:rsidR="0021635C" w:rsidRPr="0021635C" w:rsidRDefault="0021635C" w:rsidP="0021635C">
      <w:pPr>
        <w:ind w:right="-144"/>
        <w:jc w:val="both"/>
        <w:rPr>
          <w:b/>
          <w:bCs/>
          <w:color w:val="000000" w:themeColor="text1"/>
          <w:sz w:val="22"/>
          <w:szCs w:val="22"/>
        </w:rPr>
      </w:pPr>
      <w:r w:rsidRPr="0021635C">
        <w:rPr>
          <w:b/>
          <w:bCs/>
          <w:color w:val="000000" w:themeColor="text1"/>
          <w:sz w:val="22"/>
          <w:szCs w:val="22"/>
        </w:rPr>
        <w:t>Brandbekämpfung</w:t>
      </w:r>
    </w:p>
    <w:p w14:paraId="63BEF610" w14:textId="77777777" w:rsidR="0021635C" w:rsidRPr="0021635C" w:rsidRDefault="0021635C" w:rsidP="0021635C">
      <w:pPr>
        <w:ind w:right="-144"/>
        <w:jc w:val="both"/>
        <w:rPr>
          <w:color w:val="000000" w:themeColor="text1"/>
          <w:sz w:val="22"/>
          <w:szCs w:val="22"/>
        </w:rPr>
      </w:pPr>
    </w:p>
    <w:p w14:paraId="141D9D47" w14:textId="655407DF" w:rsidR="0021635C" w:rsidRPr="0021635C" w:rsidRDefault="0021635C" w:rsidP="0021635C">
      <w:pPr>
        <w:ind w:right="-144"/>
        <w:jc w:val="both"/>
        <w:rPr>
          <w:color w:val="000000" w:themeColor="text1"/>
          <w:sz w:val="22"/>
          <w:szCs w:val="22"/>
        </w:rPr>
      </w:pPr>
      <w:r w:rsidRPr="0021635C">
        <w:rPr>
          <w:color w:val="000000" w:themeColor="text1"/>
          <w:sz w:val="22"/>
          <w:szCs w:val="22"/>
        </w:rPr>
        <w:t>Die brennbaren Stoffe sind sehr unterschiedlich, daher gibt es auch unterschiedliche Löschmittel.</w:t>
      </w:r>
    </w:p>
    <w:p w14:paraId="4F276058" w14:textId="77777777" w:rsidR="0021635C" w:rsidRPr="0021635C" w:rsidRDefault="0021635C" w:rsidP="0021635C">
      <w:pPr>
        <w:ind w:right="-144"/>
        <w:jc w:val="both"/>
        <w:rPr>
          <w:color w:val="000000" w:themeColor="text1"/>
          <w:sz w:val="22"/>
          <w:szCs w:val="22"/>
        </w:rPr>
      </w:pPr>
      <w:r w:rsidRPr="0021635C">
        <w:rPr>
          <w:color w:val="000000" w:themeColor="text1"/>
          <w:sz w:val="22"/>
          <w:szCs w:val="22"/>
        </w:rPr>
        <w:t>Nach DIN EN 2 werden brennbare Stoffe in folgende Brandklassen unterteilt:</w:t>
      </w:r>
    </w:p>
    <w:p w14:paraId="20590F25" w14:textId="77777777" w:rsidR="0021635C" w:rsidRPr="00FE4100" w:rsidRDefault="0021635C" w:rsidP="0021635C">
      <w:pPr>
        <w:ind w:right="-144"/>
        <w:jc w:val="both"/>
        <w:rPr>
          <w:color w:val="000000" w:themeColor="text1"/>
          <w:sz w:val="20"/>
        </w:rPr>
      </w:pPr>
    </w:p>
    <w:p w14:paraId="34A7E89C" w14:textId="77777777" w:rsidR="0021635C" w:rsidRPr="00FE4100" w:rsidRDefault="0021635C" w:rsidP="0021635C">
      <w:pPr>
        <w:autoSpaceDE w:val="0"/>
        <w:autoSpaceDN w:val="0"/>
        <w:adjustRightInd w:val="0"/>
        <w:rPr>
          <w:b/>
          <w:bCs/>
          <w:color w:val="000000"/>
          <w:sz w:val="20"/>
        </w:rPr>
      </w:pPr>
      <w:r w:rsidRPr="00FE4100">
        <w:rPr>
          <w:noProof/>
          <w:sz w:val="20"/>
        </w:rPr>
        <w:drawing>
          <wp:inline distT="0" distB="0" distL="0" distR="0" wp14:anchorId="24BCCDDC" wp14:editId="7A32297D">
            <wp:extent cx="5939790" cy="993775"/>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749283" name=""/>
                    <pic:cNvPicPr/>
                  </pic:nvPicPr>
                  <pic:blipFill>
                    <a:blip r:embed="rId12"/>
                    <a:stretch>
                      <a:fillRect/>
                    </a:stretch>
                  </pic:blipFill>
                  <pic:spPr>
                    <a:xfrm>
                      <a:off x="0" y="0"/>
                      <a:ext cx="5939790" cy="993775"/>
                    </a:xfrm>
                    <a:prstGeom prst="rect">
                      <a:avLst/>
                    </a:prstGeom>
                  </pic:spPr>
                </pic:pic>
              </a:graphicData>
            </a:graphic>
          </wp:inline>
        </w:drawing>
      </w:r>
    </w:p>
    <w:p w14:paraId="28937DF1" w14:textId="77777777" w:rsidR="0021635C" w:rsidRDefault="0021635C" w:rsidP="0021635C">
      <w:pPr>
        <w:autoSpaceDE w:val="0"/>
        <w:autoSpaceDN w:val="0"/>
        <w:adjustRightInd w:val="0"/>
        <w:rPr>
          <w:b/>
          <w:bCs/>
          <w:color w:val="000000"/>
          <w:sz w:val="20"/>
        </w:rPr>
      </w:pPr>
    </w:p>
    <w:tbl>
      <w:tblPr>
        <w:tblStyle w:val="Tabellenraster"/>
        <w:tblW w:w="0" w:type="auto"/>
        <w:tblLook w:val="04A0" w:firstRow="1" w:lastRow="0" w:firstColumn="1" w:lastColumn="0" w:noHBand="0" w:noVBand="1"/>
      </w:tblPr>
      <w:tblGrid>
        <w:gridCol w:w="1891"/>
        <w:gridCol w:w="1891"/>
        <w:gridCol w:w="1891"/>
        <w:gridCol w:w="1892"/>
        <w:gridCol w:w="1892"/>
      </w:tblGrid>
      <w:tr w:rsidR="0021635C" w14:paraId="5284FE58" w14:textId="77777777" w:rsidTr="007E500D">
        <w:tc>
          <w:tcPr>
            <w:tcW w:w="1891" w:type="dxa"/>
          </w:tcPr>
          <w:p w14:paraId="11879626" w14:textId="77777777" w:rsidR="0021635C" w:rsidRPr="00FE4100" w:rsidRDefault="0021635C" w:rsidP="0021635C">
            <w:pPr>
              <w:autoSpaceDE w:val="0"/>
              <w:autoSpaceDN w:val="0"/>
              <w:adjustRightInd w:val="0"/>
              <w:rPr>
                <w:b/>
                <w:bCs/>
                <w:color w:val="000000"/>
                <w:sz w:val="16"/>
                <w:szCs w:val="16"/>
              </w:rPr>
            </w:pPr>
            <w:r w:rsidRPr="00FE4100">
              <w:rPr>
                <w:b/>
                <w:bCs/>
                <w:color w:val="000000"/>
                <w:sz w:val="16"/>
                <w:szCs w:val="16"/>
              </w:rPr>
              <w:t>Brandklasse A</w:t>
            </w:r>
          </w:p>
          <w:p w14:paraId="55891990" w14:textId="72B215EE" w:rsidR="0021635C" w:rsidRPr="0021635C" w:rsidRDefault="0021635C" w:rsidP="0021635C">
            <w:pPr>
              <w:autoSpaceDE w:val="0"/>
              <w:autoSpaceDN w:val="0"/>
              <w:adjustRightInd w:val="0"/>
              <w:rPr>
                <w:color w:val="000000"/>
                <w:sz w:val="16"/>
                <w:szCs w:val="16"/>
              </w:rPr>
            </w:pPr>
            <w:r w:rsidRPr="00FE4100">
              <w:rPr>
                <w:color w:val="000000"/>
                <w:sz w:val="16"/>
                <w:szCs w:val="16"/>
              </w:rPr>
              <w:t>Brände fester Stoffe, hauptsächlich organischer Natur, die normalerweise unter Glutbildung verbrennen, z. B. Holz, Papier, Stroh, Textilien, Kohle</w:t>
            </w:r>
          </w:p>
        </w:tc>
        <w:tc>
          <w:tcPr>
            <w:tcW w:w="1891" w:type="dxa"/>
          </w:tcPr>
          <w:p w14:paraId="4FB5837E" w14:textId="77777777" w:rsidR="0021635C" w:rsidRPr="00FE4100" w:rsidRDefault="0021635C" w:rsidP="0021635C">
            <w:pPr>
              <w:autoSpaceDE w:val="0"/>
              <w:autoSpaceDN w:val="0"/>
              <w:adjustRightInd w:val="0"/>
              <w:rPr>
                <w:b/>
                <w:bCs/>
                <w:color w:val="000000"/>
                <w:sz w:val="16"/>
                <w:szCs w:val="16"/>
              </w:rPr>
            </w:pPr>
            <w:r w:rsidRPr="00FE4100">
              <w:rPr>
                <w:b/>
                <w:bCs/>
                <w:color w:val="000000"/>
                <w:sz w:val="16"/>
                <w:szCs w:val="16"/>
              </w:rPr>
              <w:t>Brandklasse B</w:t>
            </w:r>
          </w:p>
          <w:p w14:paraId="018262CD" w14:textId="77777777" w:rsidR="0021635C" w:rsidRPr="00FE4100" w:rsidRDefault="0021635C" w:rsidP="0021635C">
            <w:pPr>
              <w:autoSpaceDE w:val="0"/>
              <w:autoSpaceDN w:val="0"/>
              <w:adjustRightInd w:val="0"/>
              <w:rPr>
                <w:color w:val="000000"/>
                <w:sz w:val="16"/>
                <w:szCs w:val="16"/>
              </w:rPr>
            </w:pPr>
            <w:r w:rsidRPr="00FE4100">
              <w:rPr>
                <w:color w:val="000000"/>
                <w:sz w:val="16"/>
                <w:szCs w:val="16"/>
              </w:rPr>
              <w:t>Brände von flüssigen oder flüssig werdenden Stoffen, z. B. Benzin, Benzol, Öle, Fette, Lacke, Teer, Äther, Alkohol, Stearin, Paraffin</w:t>
            </w:r>
          </w:p>
          <w:p w14:paraId="07A6858E" w14:textId="77777777" w:rsidR="0021635C" w:rsidRDefault="0021635C" w:rsidP="007E500D">
            <w:pPr>
              <w:ind w:right="-144"/>
              <w:jc w:val="both"/>
              <w:rPr>
                <w:color w:val="000000" w:themeColor="text1"/>
                <w:sz w:val="20"/>
              </w:rPr>
            </w:pPr>
          </w:p>
        </w:tc>
        <w:tc>
          <w:tcPr>
            <w:tcW w:w="1891" w:type="dxa"/>
          </w:tcPr>
          <w:p w14:paraId="6A0E37F6" w14:textId="77777777" w:rsidR="0021635C" w:rsidRPr="00FE4100" w:rsidRDefault="0021635C" w:rsidP="0021635C">
            <w:pPr>
              <w:autoSpaceDE w:val="0"/>
              <w:autoSpaceDN w:val="0"/>
              <w:adjustRightInd w:val="0"/>
              <w:rPr>
                <w:b/>
                <w:bCs/>
                <w:color w:val="000000"/>
                <w:sz w:val="16"/>
                <w:szCs w:val="16"/>
              </w:rPr>
            </w:pPr>
            <w:r w:rsidRPr="00FE4100">
              <w:rPr>
                <w:b/>
                <w:bCs/>
                <w:color w:val="000000"/>
                <w:sz w:val="16"/>
                <w:szCs w:val="16"/>
              </w:rPr>
              <w:t>Brandklasse C</w:t>
            </w:r>
          </w:p>
          <w:p w14:paraId="3E85C8D6" w14:textId="77777777" w:rsidR="0021635C" w:rsidRPr="00FE4100" w:rsidRDefault="0021635C" w:rsidP="0021635C">
            <w:pPr>
              <w:autoSpaceDE w:val="0"/>
              <w:autoSpaceDN w:val="0"/>
              <w:adjustRightInd w:val="0"/>
              <w:rPr>
                <w:color w:val="000000"/>
                <w:sz w:val="16"/>
                <w:szCs w:val="16"/>
              </w:rPr>
            </w:pPr>
            <w:r w:rsidRPr="00FE4100">
              <w:rPr>
                <w:color w:val="000000"/>
                <w:sz w:val="16"/>
                <w:szCs w:val="16"/>
              </w:rPr>
              <w:t>Brände von Gasen, z. B. Methan, Propan, Wasserstoff, Acetylen, Erdgas</w:t>
            </w:r>
          </w:p>
          <w:p w14:paraId="1A5E3CB4" w14:textId="77777777" w:rsidR="0021635C" w:rsidRDefault="0021635C" w:rsidP="007E500D">
            <w:pPr>
              <w:ind w:right="-144"/>
              <w:jc w:val="both"/>
              <w:rPr>
                <w:color w:val="000000" w:themeColor="text1"/>
                <w:sz w:val="20"/>
              </w:rPr>
            </w:pPr>
          </w:p>
        </w:tc>
        <w:tc>
          <w:tcPr>
            <w:tcW w:w="1892" w:type="dxa"/>
          </w:tcPr>
          <w:p w14:paraId="43B8BBDF" w14:textId="77777777" w:rsidR="0021635C" w:rsidRPr="00FE4100" w:rsidRDefault="0021635C" w:rsidP="0021635C">
            <w:pPr>
              <w:autoSpaceDE w:val="0"/>
              <w:autoSpaceDN w:val="0"/>
              <w:adjustRightInd w:val="0"/>
              <w:rPr>
                <w:b/>
                <w:bCs/>
                <w:color w:val="000000"/>
                <w:sz w:val="16"/>
                <w:szCs w:val="16"/>
              </w:rPr>
            </w:pPr>
            <w:r w:rsidRPr="00FE4100">
              <w:rPr>
                <w:b/>
                <w:bCs/>
                <w:color w:val="000000"/>
                <w:sz w:val="16"/>
                <w:szCs w:val="16"/>
              </w:rPr>
              <w:t>Brandklasse D</w:t>
            </w:r>
          </w:p>
          <w:p w14:paraId="210C3068" w14:textId="77777777" w:rsidR="0021635C" w:rsidRPr="00FE4100" w:rsidRDefault="0021635C" w:rsidP="0021635C">
            <w:pPr>
              <w:autoSpaceDE w:val="0"/>
              <w:autoSpaceDN w:val="0"/>
              <w:adjustRightInd w:val="0"/>
              <w:rPr>
                <w:color w:val="000000"/>
                <w:sz w:val="16"/>
                <w:szCs w:val="16"/>
              </w:rPr>
            </w:pPr>
            <w:r w:rsidRPr="00FE4100">
              <w:rPr>
                <w:color w:val="000000"/>
                <w:sz w:val="16"/>
                <w:szCs w:val="16"/>
              </w:rPr>
              <w:t>Brände von Metallen, z. B. Aluminium, Magnesium und ihre Legierungen, Natrium, Kalium</w:t>
            </w:r>
          </w:p>
          <w:p w14:paraId="2C4B8DFF" w14:textId="77777777" w:rsidR="0021635C" w:rsidRDefault="0021635C" w:rsidP="007E500D">
            <w:pPr>
              <w:ind w:right="-144"/>
              <w:jc w:val="both"/>
              <w:rPr>
                <w:color w:val="000000" w:themeColor="text1"/>
                <w:sz w:val="20"/>
              </w:rPr>
            </w:pPr>
          </w:p>
        </w:tc>
        <w:tc>
          <w:tcPr>
            <w:tcW w:w="1892" w:type="dxa"/>
          </w:tcPr>
          <w:p w14:paraId="60E4259B" w14:textId="77777777" w:rsidR="0021635C" w:rsidRPr="00FE4100" w:rsidRDefault="0021635C" w:rsidP="0021635C">
            <w:pPr>
              <w:autoSpaceDE w:val="0"/>
              <w:autoSpaceDN w:val="0"/>
              <w:adjustRightInd w:val="0"/>
              <w:rPr>
                <w:b/>
                <w:bCs/>
                <w:color w:val="000000"/>
                <w:sz w:val="16"/>
                <w:szCs w:val="16"/>
              </w:rPr>
            </w:pPr>
            <w:r w:rsidRPr="00FE4100">
              <w:rPr>
                <w:b/>
                <w:bCs/>
                <w:color w:val="000000"/>
                <w:sz w:val="16"/>
                <w:szCs w:val="16"/>
              </w:rPr>
              <w:t>Brandklasse F</w:t>
            </w:r>
          </w:p>
          <w:p w14:paraId="2B8386A6" w14:textId="77777777" w:rsidR="0021635C" w:rsidRPr="00FE4100" w:rsidRDefault="0021635C" w:rsidP="0021635C">
            <w:pPr>
              <w:autoSpaceDE w:val="0"/>
              <w:autoSpaceDN w:val="0"/>
              <w:adjustRightInd w:val="0"/>
              <w:rPr>
                <w:color w:val="000000"/>
                <w:sz w:val="16"/>
                <w:szCs w:val="16"/>
              </w:rPr>
            </w:pPr>
            <w:r w:rsidRPr="00FE4100">
              <w:rPr>
                <w:color w:val="000000"/>
                <w:sz w:val="16"/>
                <w:szCs w:val="16"/>
              </w:rPr>
              <w:t>Brände von Speiseölen/-fetten (pflanzliche oder tierische Öle und Fette) z. B. in Frittier- und Fettbackgeräten oder anderen Kücheneinrichtungen /-geräten</w:t>
            </w:r>
          </w:p>
          <w:p w14:paraId="699349D9" w14:textId="77777777" w:rsidR="0021635C" w:rsidRDefault="0021635C" w:rsidP="007E500D">
            <w:pPr>
              <w:ind w:right="-144"/>
              <w:jc w:val="both"/>
              <w:rPr>
                <w:color w:val="000000" w:themeColor="text1"/>
                <w:sz w:val="20"/>
              </w:rPr>
            </w:pPr>
          </w:p>
        </w:tc>
      </w:tr>
    </w:tbl>
    <w:p w14:paraId="60FAE158" w14:textId="011C71F3" w:rsidR="0021635C" w:rsidRPr="0021635C" w:rsidRDefault="0021635C" w:rsidP="0021635C">
      <w:pPr>
        <w:jc w:val="both"/>
        <w:rPr>
          <w:noProof/>
          <w:color w:val="000000" w:themeColor="text1"/>
          <w:sz w:val="22"/>
          <w:szCs w:val="22"/>
        </w:rPr>
      </w:pPr>
      <w:r w:rsidRPr="0021635C">
        <w:rPr>
          <w:b/>
          <w:bCs/>
          <w:noProof/>
          <w:color w:val="000000" w:themeColor="text1"/>
          <w:sz w:val="22"/>
          <w:szCs w:val="22"/>
        </w:rPr>
        <w:lastRenderedPageBreak/>
        <w:t>CO</w:t>
      </w:r>
      <w:r w:rsidRPr="0021635C">
        <w:rPr>
          <w:b/>
          <w:bCs/>
          <w:noProof/>
          <w:color w:val="000000" w:themeColor="text1"/>
          <w:sz w:val="22"/>
          <w:szCs w:val="22"/>
          <w:vertAlign w:val="subscript"/>
        </w:rPr>
        <w:t>2</w:t>
      </w:r>
      <w:r w:rsidRPr="0021635C">
        <w:rPr>
          <w:b/>
          <w:bCs/>
          <w:noProof/>
          <w:color w:val="000000" w:themeColor="text1"/>
          <w:sz w:val="22"/>
          <w:szCs w:val="22"/>
        </w:rPr>
        <w:t xml:space="preserve"> Löscher</w:t>
      </w:r>
      <w:r w:rsidRPr="0021635C">
        <w:rPr>
          <w:noProof/>
          <w:color w:val="000000" w:themeColor="text1"/>
          <w:sz w:val="22"/>
          <w:szCs w:val="22"/>
        </w:rPr>
        <w:t xml:space="preserve"> sind in der Regel nur für die Brandklasse B geeignet, also für den Einsatz der oben genannten flüssigen oder flüssig werdenden Stoffe</w:t>
      </w:r>
    </w:p>
    <w:p w14:paraId="13A3C83C" w14:textId="77777777" w:rsidR="0021635C" w:rsidRPr="00DF6745" w:rsidRDefault="0021635C" w:rsidP="0021635C">
      <w:pPr>
        <w:jc w:val="both"/>
        <w:rPr>
          <w:b/>
          <w:bCs/>
          <w:noProof/>
          <w:color w:val="000000" w:themeColor="text1"/>
          <w:sz w:val="22"/>
          <w:szCs w:val="22"/>
          <w:vertAlign w:val="subscript"/>
        </w:rPr>
      </w:pPr>
    </w:p>
    <w:p w14:paraId="3556E2B5" w14:textId="159FD721" w:rsidR="0021635C" w:rsidRDefault="0021635C" w:rsidP="0021635C">
      <w:pPr>
        <w:jc w:val="both"/>
        <w:rPr>
          <w:b/>
          <w:bCs/>
          <w:noProof/>
          <w:color w:val="000000" w:themeColor="text1"/>
          <w:sz w:val="22"/>
          <w:szCs w:val="22"/>
        </w:rPr>
      </w:pPr>
      <w:r w:rsidRPr="0021635C">
        <w:rPr>
          <w:b/>
          <w:bCs/>
          <w:noProof/>
          <w:color w:val="000000" w:themeColor="text1"/>
          <w:sz w:val="22"/>
          <w:szCs w:val="22"/>
        </w:rPr>
        <w:t>Eigenschaften von Kohlendioxid</w:t>
      </w:r>
    </w:p>
    <w:p w14:paraId="570B621A" w14:textId="77777777" w:rsidR="0021635C" w:rsidRPr="0021635C" w:rsidRDefault="0021635C" w:rsidP="0021635C">
      <w:pPr>
        <w:jc w:val="both"/>
        <w:rPr>
          <w:b/>
          <w:bCs/>
          <w:noProof/>
          <w:color w:val="000000" w:themeColor="text1"/>
          <w:sz w:val="22"/>
          <w:szCs w:val="22"/>
        </w:rPr>
      </w:pPr>
    </w:p>
    <w:p w14:paraId="7DF006B4" w14:textId="3E473EB0" w:rsidR="0021635C" w:rsidRPr="0021635C" w:rsidRDefault="00DF6745" w:rsidP="0021635C">
      <w:pPr>
        <w:jc w:val="both"/>
        <w:rPr>
          <w:noProof/>
          <w:color w:val="000000" w:themeColor="text1"/>
          <w:sz w:val="22"/>
          <w:szCs w:val="22"/>
        </w:rPr>
      </w:pPr>
      <w:r>
        <w:rPr>
          <w:noProof/>
          <w:color w:val="000000" w:themeColor="text1"/>
          <w:sz w:val="22"/>
          <w:szCs w:val="22"/>
        </w:rPr>
        <w:t>CO</w:t>
      </w:r>
      <w:r w:rsidRPr="00DF6745">
        <w:rPr>
          <w:noProof/>
          <w:color w:val="000000" w:themeColor="text1"/>
          <w:sz w:val="22"/>
          <w:szCs w:val="22"/>
          <w:vertAlign w:val="subscript"/>
        </w:rPr>
        <w:t>2</w:t>
      </w:r>
      <w:r w:rsidR="0021635C" w:rsidRPr="0021635C">
        <w:rPr>
          <w:noProof/>
          <w:color w:val="000000" w:themeColor="text1"/>
          <w:sz w:val="22"/>
          <w:szCs w:val="22"/>
        </w:rPr>
        <w:t xml:space="preserve"> ist ein nicht brennbares farb- und geruchsloses Gas. Es ist schwerer als Luft, sinkt nach unten, reichert sich am Boden an und kann in angrenzende Bereiche fließen.</w:t>
      </w:r>
      <w:r w:rsidR="0021635C">
        <w:rPr>
          <w:noProof/>
          <w:color w:val="000000" w:themeColor="text1"/>
          <w:sz w:val="22"/>
          <w:szCs w:val="22"/>
        </w:rPr>
        <w:t xml:space="preserve"> </w:t>
      </w:r>
      <w:r w:rsidR="0021635C" w:rsidRPr="0021635C">
        <w:rPr>
          <w:noProof/>
          <w:color w:val="000000" w:themeColor="text1"/>
          <w:sz w:val="22"/>
          <w:szCs w:val="22"/>
        </w:rPr>
        <w:t>Im Gegensatz zu anderen Löscher-Arten löschen Kohlendioxid-Löscher komplett rückstandsfrei und hinterlassen somit keine Löschschäden. Zudem ist das Löschmittel „Kohlendioxid (CO</w:t>
      </w:r>
      <w:r w:rsidR="0021635C" w:rsidRPr="00DF6745">
        <w:rPr>
          <w:noProof/>
          <w:color w:val="000000" w:themeColor="text1"/>
          <w:sz w:val="22"/>
          <w:szCs w:val="22"/>
          <w:vertAlign w:val="subscript"/>
        </w:rPr>
        <w:t>2</w:t>
      </w:r>
      <w:r w:rsidR="0021635C" w:rsidRPr="0021635C">
        <w:rPr>
          <w:noProof/>
          <w:color w:val="000000" w:themeColor="text1"/>
          <w:sz w:val="22"/>
          <w:szCs w:val="22"/>
        </w:rPr>
        <w:t xml:space="preserve">)“ elektrisch nichtleitend. Sie eignen sich daher für den Einsatz in Anlagen mit besonderen hygienischen Anforderungen (z. B. Laboratorien) auch für elektrische Anlagen. </w:t>
      </w:r>
      <w:r w:rsidR="0021635C">
        <w:rPr>
          <w:noProof/>
          <w:color w:val="000000" w:themeColor="text1"/>
          <w:sz w:val="22"/>
          <w:szCs w:val="22"/>
        </w:rPr>
        <w:t xml:space="preserve"> </w:t>
      </w:r>
      <w:r w:rsidR="0021635C" w:rsidRPr="0021635C">
        <w:rPr>
          <w:noProof/>
          <w:color w:val="000000" w:themeColor="text1"/>
          <w:sz w:val="22"/>
          <w:szCs w:val="22"/>
        </w:rPr>
        <w:t>CO</w:t>
      </w:r>
      <w:r w:rsidR="0021635C" w:rsidRPr="00DF6745">
        <w:rPr>
          <w:noProof/>
          <w:color w:val="000000" w:themeColor="text1"/>
          <w:sz w:val="22"/>
          <w:szCs w:val="22"/>
          <w:vertAlign w:val="subscript"/>
        </w:rPr>
        <w:t>2</w:t>
      </w:r>
      <w:r w:rsidR="0021635C" w:rsidRPr="0021635C">
        <w:rPr>
          <w:noProof/>
          <w:color w:val="000000" w:themeColor="text1"/>
          <w:sz w:val="22"/>
          <w:szCs w:val="22"/>
        </w:rPr>
        <w:t xml:space="preserve"> ist aber auch ein Atemgift. Aufgrund der Erstickungsgefahr kann die Verwendung von CO</w:t>
      </w:r>
      <w:r w:rsidR="0021635C" w:rsidRPr="00DF6745">
        <w:rPr>
          <w:noProof/>
          <w:color w:val="000000" w:themeColor="text1"/>
          <w:sz w:val="22"/>
          <w:szCs w:val="22"/>
          <w:vertAlign w:val="subscript"/>
        </w:rPr>
        <w:t>2</w:t>
      </w:r>
      <w:r w:rsidR="0021635C" w:rsidRPr="0021635C">
        <w:rPr>
          <w:noProof/>
          <w:color w:val="000000" w:themeColor="text1"/>
          <w:sz w:val="22"/>
          <w:szCs w:val="22"/>
        </w:rPr>
        <w:t>-Löschern deshalb in kleinen und engen Räumen lebensgefährlich sein.</w:t>
      </w:r>
    </w:p>
    <w:p w14:paraId="7C3E232B" w14:textId="77777777" w:rsidR="0021635C" w:rsidRPr="00FE4100" w:rsidRDefault="0021635C" w:rsidP="0021635C">
      <w:pPr>
        <w:jc w:val="both"/>
        <w:rPr>
          <w:b/>
          <w:bCs/>
          <w:noProof/>
          <w:color w:val="000000" w:themeColor="text1"/>
          <w:sz w:val="20"/>
        </w:rPr>
      </w:pPr>
    </w:p>
    <w:p w14:paraId="76D82B85" w14:textId="4D06B6CE" w:rsidR="0021635C" w:rsidRPr="0021635C" w:rsidRDefault="0021635C" w:rsidP="0021635C">
      <w:pPr>
        <w:jc w:val="both"/>
        <w:rPr>
          <w:rFonts w:cs="Arial"/>
          <w:b/>
          <w:bCs/>
          <w:noProof/>
          <w:color w:val="000000" w:themeColor="text1"/>
          <w:sz w:val="22"/>
          <w:szCs w:val="22"/>
        </w:rPr>
      </w:pPr>
      <w:r w:rsidRPr="0021635C">
        <w:rPr>
          <w:rFonts w:cs="Arial"/>
          <w:b/>
          <w:bCs/>
          <w:noProof/>
          <w:color w:val="000000" w:themeColor="text1"/>
          <w:sz w:val="22"/>
          <w:szCs w:val="22"/>
        </w:rPr>
        <w:t>Wirkung von Kohlendioxid auf den Menschen</w:t>
      </w:r>
    </w:p>
    <w:p w14:paraId="4416C01A" w14:textId="77777777" w:rsidR="0021635C" w:rsidRPr="0021635C" w:rsidRDefault="0021635C" w:rsidP="0021635C">
      <w:pPr>
        <w:jc w:val="both"/>
        <w:rPr>
          <w:rFonts w:cs="Arial"/>
          <w:b/>
          <w:bCs/>
          <w:noProof/>
          <w:color w:val="000000" w:themeColor="text1"/>
          <w:sz w:val="22"/>
          <w:szCs w:val="22"/>
        </w:rPr>
      </w:pPr>
    </w:p>
    <w:p w14:paraId="6B8BE310" w14:textId="1663578F" w:rsidR="0021635C" w:rsidRDefault="0021635C" w:rsidP="0021635C">
      <w:pPr>
        <w:jc w:val="both"/>
        <w:rPr>
          <w:rFonts w:cs="Arial"/>
          <w:noProof/>
          <w:color w:val="000000" w:themeColor="text1"/>
          <w:sz w:val="22"/>
          <w:szCs w:val="22"/>
        </w:rPr>
      </w:pPr>
      <w:r w:rsidRPr="0021635C">
        <w:rPr>
          <w:rFonts w:cs="Arial"/>
          <w:noProof/>
          <w:color w:val="000000" w:themeColor="text1"/>
          <w:sz w:val="22"/>
          <w:szCs w:val="22"/>
        </w:rPr>
        <w:t>Bei CO</w:t>
      </w:r>
      <w:r w:rsidRPr="00DF6745">
        <w:rPr>
          <w:rFonts w:cs="Arial"/>
          <w:noProof/>
          <w:color w:val="000000" w:themeColor="text1"/>
          <w:sz w:val="22"/>
          <w:szCs w:val="22"/>
          <w:vertAlign w:val="subscript"/>
        </w:rPr>
        <w:t>2</w:t>
      </w:r>
      <w:r w:rsidRPr="0021635C">
        <w:rPr>
          <w:rFonts w:cs="Arial"/>
          <w:noProof/>
          <w:color w:val="000000" w:themeColor="text1"/>
          <w:sz w:val="22"/>
          <w:szCs w:val="22"/>
        </w:rPr>
        <w:t xml:space="preserve"> ist ab einer Konzentration von 5 Vol.-% CO</w:t>
      </w:r>
      <w:r w:rsidRPr="00DF6745">
        <w:rPr>
          <w:rFonts w:cs="Arial"/>
          <w:noProof/>
          <w:color w:val="000000" w:themeColor="text1"/>
          <w:sz w:val="22"/>
          <w:szCs w:val="22"/>
          <w:vertAlign w:val="subscript"/>
        </w:rPr>
        <w:t>2</w:t>
      </w:r>
      <w:r w:rsidRPr="0021635C">
        <w:rPr>
          <w:rFonts w:cs="Arial"/>
          <w:noProof/>
          <w:color w:val="000000" w:themeColor="text1"/>
          <w:sz w:val="22"/>
          <w:szCs w:val="22"/>
        </w:rPr>
        <w:t xml:space="preserve"> mit Gesundheitsschäden zu rechnen und ab einer Konzentration von mehr als 8 Vol.-% CO</w:t>
      </w:r>
      <w:r w:rsidRPr="00DF6745">
        <w:rPr>
          <w:rFonts w:cs="Arial"/>
          <w:noProof/>
          <w:color w:val="000000" w:themeColor="text1"/>
          <w:sz w:val="22"/>
          <w:szCs w:val="22"/>
          <w:vertAlign w:val="subscript"/>
        </w:rPr>
        <w:t>2</w:t>
      </w:r>
      <w:r w:rsidRPr="0021635C">
        <w:rPr>
          <w:rFonts w:cs="Arial"/>
          <w:noProof/>
          <w:color w:val="000000" w:themeColor="text1"/>
          <w:sz w:val="22"/>
          <w:szCs w:val="22"/>
        </w:rPr>
        <w:t xml:space="preserve"> besteht Lebensgefahr</w:t>
      </w:r>
    </w:p>
    <w:p w14:paraId="118F9F82" w14:textId="77777777" w:rsidR="0021635C" w:rsidRDefault="0021635C" w:rsidP="0021635C">
      <w:pPr>
        <w:jc w:val="both"/>
        <w:rPr>
          <w:rFonts w:cs="Arial"/>
          <w:noProof/>
          <w:color w:val="000000" w:themeColor="text1"/>
          <w:sz w:val="22"/>
          <w:szCs w:val="22"/>
        </w:rPr>
      </w:pPr>
    </w:p>
    <w:p w14:paraId="26F0C9B3" w14:textId="7AA5FDCE" w:rsidR="0021635C" w:rsidRPr="0021635C" w:rsidRDefault="0021635C" w:rsidP="0021635C">
      <w:pPr>
        <w:jc w:val="both"/>
        <w:rPr>
          <w:rFonts w:cs="Arial"/>
          <w:b/>
          <w:bCs/>
          <w:noProof/>
          <w:color w:val="000000" w:themeColor="text1"/>
          <w:sz w:val="22"/>
          <w:szCs w:val="22"/>
        </w:rPr>
      </w:pPr>
      <w:r w:rsidRPr="0021635C">
        <w:rPr>
          <w:rFonts w:cs="Arial"/>
          <w:b/>
          <w:bCs/>
          <w:noProof/>
          <w:color w:val="000000" w:themeColor="text1"/>
          <w:sz w:val="22"/>
          <w:szCs w:val="22"/>
        </w:rPr>
        <w:t>Schutzmaßnahmen</w:t>
      </w:r>
    </w:p>
    <w:p w14:paraId="108BAFAA" w14:textId="77777777" w:rsidR="0021635C" w:rsidRPr="0021635C" w:rsidRDefault="0021635C" w:rsidP="0021635C">
      <w:pPr>
        <w:jc w:val="both"/>
        <w:rPr>
          <w:rFonts w:cs="Arial"/>
          <w:noProof/>
          <w:color w:val="000000" w:themeColor="text1"/>
          <w:sz w:val="22"/>
          <w:szCs w:val="22"/>
        </w:rPr>
      </w:pPr>
    </w:p>
    <w:p w14:paraId="658D5C02" w14:textId="4C0B31BB" w:rsidR="0021635C" w:rsidRPr="0021635C" w:rsidRDefault="0021635C" w:rsidP="0021635C">
      <w:pPr>
        <w:jc w:val="both"/>
        <w:rPr>
          <w:rFonts w:cs="Arial"/>
          <w:noProof/>
          <w:color w:val="000000" w:themeColor="text1"/>
          <w:sz w:val="22"/>
          <w:szCs w:val="22"/>
        </w:rPr>
      </w:pPr>
      <w:r w:rsidRPr="0021635C">
        <w:rPr>
          <w:rFonts w:cs="Arial"/>
          <w:noProof/>
          <w:color w:val="000000" w:themeColor="text1"/>
          <w:sz w:val="22"/>
          <w:szCs w:val="22"/>
        </w:rPr>
        <w:t>Um keiner Gefährdung durch das freigesetzte CO</w:t>
      </w:r>
      <w:r w:rsidRPr="00DF6745">
        <w:rPr>
          <w:rFonts w:cs="Arial"/>
          <w:noProof/>
          <w:color w:val="000000" w:themeColor="text1"/>
          <w:sz w:val="22"/>
          <w:szCs w:val="22"/>
          <w:vertAlign w:val="subscript"/>
        </w:rPr>
        <w:t>2</w:t>
      </w:r>
      <w:r w:rsidRPr="0021635C">
        <w:rPr>
          <w:rFonts w:cs="Arial"/>
          <w:noProof/>
          <w:color w:val="000000" w:themeColor="text1"/>
          <w:sz w:val="22"/>
          <w:szCs w:val="22"/>
        </w:rPr>
        <w:t xml:space="preserve"> ausgesetzt zu sein, muss für eine Person, die sich im Raum aufhält, um einen Brand zu löschen, pro Kilogramm CO</w:t>
      </w:r>
      <w:r w:rsidRPr="00DF6745">
        <w:rPr>
          <w:rFonts w:cs="Arial"/>
          <w:noProof/>
          <w:color w:val="000000" w:themeColor="text1"/>
          <w:sz w:val="22"/>
          <w:szCs w:val="22"/>
          <w:vertAlign w:val="subscript"/>
        </w:rPr>
        <w:t>2</w:t>
      </w:r>
      <w:r w:rsidRPr="0021635C">
        <w:rPr>
          <w:rFonts w:cs="Arial"/>
          <w:noProof/>
          <w:color w:val="000000" w:themeColor="text1"/>
          <w:sz w:val="22"/>
          <w:szCs w:val="22"/>
        </w:rPr>
        <w:t>-Löschmittel mindestens eine freie Grundfläche von 5,5 m2 vorhanden sein. Die freie Grundfläche ist die sichtbare freie Bodenfläche, dazu zählen auch Flächen unter Stühlen und Tischen sowie offene Regale. Das bedeutet, dass in einem Raum an oder in dem ein 2 kg CO</w:t>
      </w:r>
      <w:r w:rsidRPr="00DF6745">
        <w:rPr>
          <w:rFonts w:cs="Arial"/>
          <w:noProof/>
          <w:color w:val="000000" w:themeColor="text1"/>
          <w:sz w:val="22"/>
          <w:szCs w:val="22"/>
          <w:vertAlign w:val="subscript"/>
        </w:rPr>
        <w:t>2</w:t>
      </w:r>
      <w:r w:rsidRPr="0021635C">
        <w:rPr>
          <w:rFonts w:cs="Arial"/>
          <w:noProof/>
          <w:color w:val="000000" w:themeColor="text1"/>
          <w:sz w:val="22"/>
          <w:szCs w:val="22"/>
        </w:rPr>
        <w:t>-Löscher verwendet werden soll, eine freie Fläche von mindestens 11m² erforderlich ist. Bei einem 5 kg CO</w:t>
      </w:r>
      <w:r w:rsidRPr="00DF6745">
        <w:rPr>
          <w:rFonts w:cs="Arial"/>
          <w:noProof/>
          <w:color w:val="000000" w:themeColor="text1"/>
          <w:sz w:val="22"/>
          <w:szCs w:val="22"/>
          <w:vertAlign w:val="subscript"/>
        </w:rPr>
        <w:t>2</w:t>
      </w:r>
      <w:r w:rsidRPr="0021635C">
        <w:rPr>
          <w:rFonts w:cs="Arial"/>
          <w:noProof/>
          <w:color w:val="000000" w:themeColor="text1"/>
          <w:sz w:val="22"/>
          <w:szCs w:val="22"/>
        </w:rPr>
        <w:t xml:space="preserve"> Löscher wären es dann schon mindestens 27,5 m² freie Fläche.</w:t>
      </w:r>
    </w:p>
    <w:p w14:paraId="2C2D44A0" w14:textId="77777777" w:rsidR="0021635C" w:rsidRPr="0021635C" w:rsidRDefault="0021635C" w:rsidP="0021635C">
      <w:pPr>
        <w:pStyle w:val="Default"/>
        <w:rPr>
          <w:rFonts w:ascii="Arial" w:hAnsi="Arial" w:cs="Arial"/>
          <w:b/>
          <w:bCs/>
          <w:sz w:val="22"/>
          <w:szCs w:val="22"/>
        </w:rPr>
      </w:pPr>
    </w:p>
    <w:p w14:paraId="5FAE748E" w14:textId="5EB4B838" w:rsidR="0021635C" w:rsidRPr="0021635C" w:rsidRDefault="0021635C" w:rsidP="0021635C">
      <w:pPr>
        <w:jc w:val="both"/>
        <w:rPr>
          <w:rFonts w:cs="Arial"/>
          <w:noProof/>
          <w:color w:val="000000" w:themeColor="text1"/>
          <w:sz w:val="22"/>
          <w:szCs w:val="22"/>
        </w:rPr>
      </w:pPr>
      <w:r w:rsidRPr="0021635C">
        <w:rPr>
          <w:rFonts w:cs="Arial"/>
          <w:noProof/>
          <w:color w:val="000000" w:themeColor="text1"/>
          <w:sz w:val="22"/>
          <w:szCs w:val="22"/>
        </w:rPr>
        <w:drawing>
          <wp:anchor distT="0" distB="0" distL="114300" distR="114300" simplePos="0" relativeHeight="251662336" behindDoc="1" locked="0" layoutInCell="1" allowOverlap="1" wp14:anchorId="69E2CF98" wp14:editId="02899440">
            <wp:simplePos x="0" y="0"/>
            <wp:positionH relativeFrom="column">
              <wp:posOffset>5005705</wp:posOffset>
            </wp:positionH>
            <wp:positionV relativeFrom="paragraph">
              <wp:posOffset>688167</wp:posOffset>
            </wp:positionV>
            <wp:extent cx="1117600" cy="1003935"/>
            <wp:effectExtent l="0" t="0" r="0" b="0"/>
            <wp:wrapTight wrapText="bothSides">
              <wp:wrapPolygon edited="0">
                <wp:start x="0" y="0"/>
                <wp:lineTo x="0" y="21313"/>
                <wp:lineTo x="21355" y="21313"/>
                <wp:lineTo x="21355" y="0"/>
                <wp:lineTo x="0" y="0"/>
              </wp:wrapPolygon>
            </wp:wrapTight>
            <wp:docPr id="9" name="Grafik 9"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14881" name="Grafik 9" descr="Ein Bild, das Text, Schild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1117600" cy="1003935"/>
                    </a:xfrm>
                    <a:prstGeom prst="rect">
                      <a:avLst/>
                    </a:prstGeom>
                  </pic:spPr>
                </pic:pic>
              </a:graphicData>
            </a:graphic>
            <wp14:sizeRelH relativeFrom="page">
              <wp14:pctWidth>0</wp14:pctWidth>
            </wp14:sizeRelH>
            <wp14:sizeRelV relativeFrom="page">
              <wp14:pctHeight>0</wp14:pctHeight>
            </wp14:sizeRelV>
          </wp:anchor>
        </w:drawing>
      </w:r>
      <w:r w:rsidRPr="0021635C">
        <w:rPr>
          <w:rFonts w:cs="Arial"/>
          <w:noProof/>
          <w:color w:val="000000" w:themeColor="text1"/>
          <w:sz w:val="22"/>
          <w:szCs w:val="22"/>
        </w:rPr>
        <w:t>Sind die zuvor genannten Bedingungen nicht erfüllt, ist zunächst zu prüfen, ob die CO</w:t>
      </w:r>
      <w:r w:rsidRPr="00DF6745">
        <w:rPr>
          <w:rFonts w:cs="Arial"/>
          <w:noProof/>
          <w:color w:val="000000" w:themeColor="text1"/>
          <w:sz w:val="22"/>
          <w:szCs w:val="22"/>
          <w:vertAlign w:val="subscript"/>
        </w:rPr>
        <w:t>2</w:t>
      </w:r>
      <w:r w:rsidRPr="0021635C">
        <w:rPr>
          <w:rFonts w:cs="Arial"/>
          <w:noProof/>
          <w:color w:val="000000" w:themeColor="text1"/>
          <w:sz w:val="22"/>
          <w:szCs w:val="22"/>
        </w:rPr>
        <w:t xml:space="preserve">-Löschmittelmenge reduziert werden kann, d. h. können hinsichtlich des Einsatzes und der Löscheffektivität auch kleinere Löscher verwendet werden. Ist dies nicht möglich, kann das Löschen nur von außen über den Türspalt oder über die geöffnete Türe erfolgen. Der Standort der Löscher (vor oder im Raum) ist dann entsprechend anzupassen! </w:t>
      </w:r>
    </w:p>
    <w:p w14:paraId="42BA61E6" w14:textId="7CD050B2" w:rsidR="0021635C" w:rsidRPr="0021635C" w:rsidRDefault="0021635C" w:rsidP="0021635C">
      <w:pPr>
        <w:jc w:val="both"/>
        <w:rPr>
          <w:rFonts w:cs="Arial"/>
          <w:noProof/>
          <w:color w:val="000000" w:themeColor="text1"/>
          <w:sz w:val="22"/>
          <w:szCs w:val="22"/>
        </w:rPr>
      </w:pPr>
    </w:p>
    <w:p w14:paraId="5D2EB6E8" w14:textId="730902A9" w:rsidR="0021635C" w:rsidRDefault="0021635C" w:rsidP="0021635C">
      <w:pPr>
        <w:jc w:val="both"/>
        <w:rPr>
          <w:rFonts w:cs="Arial"/>
          <w:noProof/>
          <w:color w:val="000000" w:themeColor="text1"/>
          <w:sz w:val="22"/>
          <w:szCs w:val="22"/>
        </w:rPr>
      </w:pPr>
      <w:r w:rsidRPr="0021635C">
        <w:rPr>
          <w:rFonts w:cs="Arial"/>
          <w:noProof/>
          <w:color w:val="000000" w:themeColor="text1"/>
          <w:sz w:val="22"/>
          <w:szCs w:val="22"/>
        </w:rPr>
        <w:t>Die Zugänge zu den Gefahrbereichen</w:t>
      </w:r>
      <w:r>
        <w:rPr>
          <w:rFonts w:cs="Arial"/>
          <w:noProof/>
          <w:color w:val="000000" w:themeColor="text1"/>
          <w:sz w:val="22"/>
          <w:szCs w:val="22"/>
        </w:rPr>
        <w:t>, z. B. Räume mit einer CO</w:t>
      </w:r>
      <w:r w:rsidRPr="00DF6745">
        <w:rPr>
          <w:rFonts w:cs="Arial"/>
          <w:noProof/>
          <w:color w:val="000000" w:themeColor="text1"/>
          <w:sz w:val="22"/>
          <w:szCs w:val="22"/>
          <w:vertAlign w:val="subscript"/>
        </w:rPr>
        <w:t>2</w:t>
      </w:r>
      <w:r>
        <w:rPr>
          <w:rFonts w:cs="Arial"/>
          <w:noProof/>
          <w:color w:val="000000" w:themeColor="text1"/>
          <w:sz w:val="22"/>
          <w:szCs w:val="22"/>
        </w:rPr>
        <w:t xml:space="preserve">-Löschanlage </w:t>
      </w:r>
      <w:r w:rsidRPr="0021635C">
        <w:rPr>
          <w:rFonts w:cs="Arial"/>
          <w:noProof/>
          <w:color w:val="000000" w:themeColor="text1"/>
          <w:sz w:val="22"/>
          <w:szCs w:val="22"/>
        </w:rPr>
        <w:t>sollten mit dem Warnzeichen W041 „Warnung vor Erstickungsgefahr“ und einem Zusatzeichen mit</w:t>
      </w:r>
      <w:r>
        <w:rPr>
          <w:rFonts w:cs="Arial"/>
          <w:noProof/>
          <w:color w:val="000000" w:themeColor="text1"/>
          <w:sz w:val="22"/>
          <w:szCs w:val="22"/>
        </w:rPr>
        <w:t xml:space="preserve"> </w:t>
      </w:r>
      <w:r w:rsidRPr="0021635C">
        <w:rPr>
          <w:rFonts w:cs="Arial"/>
          <w:noProof/>
          <w:color w:val="000000" w:themeColor="text1"/>
          <w:sz w:val="22"/>
          <w:szCs w:val="22"/>
        </w:rPr>
        <w:t>entsprechender Aufschrift gekennzeichnet sein.</w:t>
      </w:r>
    </w:p>
    <w:p w14:paraId="1C4DED86" w14:textId="77777777" w:rsidR="0021635C" w:rsidRPr="0021635C" w:rsidRDefault="0021635C" w:rsidP="0021635C">
      <w:pPr>
        <w:jc w:val="both"/>
        <w:rPr>
          <w:rFonts w:cs="Arial"/>
          <w:noProof/>
          <w:color w:val="000000" w:themeColor="text1"/>
          <w:sz w:val="22"/>
          <w:szCs w:val="22"/>
        </w:rPr>
      </w:pPr>
    </w:p>
    <w:p w14:paraId="642BCBC8" w14:textId="38F659D5" w:rsidR="0021635C" w:rsidRDefault="0021635C" w:rsidP="0021635C">
      <w:pPr>
        <w:rPr>
          <w:rFonts w:cs="Arial"/>
          <w:b/>
          <w:bCs/>
          <w:sz w:val="22"/>
          <w:szCs w:val="22"/>
        </w:rPr>
      </w:pPr>
      <w:r w:rsidRPr="0021635C">
        <w:rPr>
          <w:rFonts w:cs="Arial"/>
          <w:b/>
          <w:bCs/>
          <w:sz w:val="22"/>
          <w:szCs w:val="22"/>
        </w:rPr>
        <w:t>Praxistipp für den Brandschutz mit CO</w:t>
      </w:r>
      <w:r w:rsidRPr="0021635C">
        <w:rPr>
          <w:rFonts w:ascii="Cambria Math" w:hAnsi="Cambria Math" w:cs="Cambria Math"/>
          <w:b/>
          <w:bCs/>
          <w:sz w:val="22"/>
          <w:szCs w:val="22"/>
        </w:rPr>
        <w:t>₂</w:t>
      </w:r>
      <w:r w:rsidRPr="0021635C">
        <w:rPr>
          <w:rFonts w:cs="Arial"/>
          <w:b/>
          <w:bCs/>
          <w:sz w:val="22"/>
          <w:szCs w:val="22"/>
        </w:rPr>
        <w:t>-Löschern</w:t>
      </w:r>
    </w:p>
    <w:p w14:paraId="20390233" w14:textId="77777777" w:rsidR="0021635C" w:rsidRPr="0021635C" w:rsidRDefault="0021635C" w:rsidP="0021635C">
      <w:pPr>
        <w:jc w:val="both"/>
        <w:rPr>
          <w:rFonts w:cs="Arial"/>
          <w:b/>
          <w:bCs/>
          <w:sz w:val="22"/>
          <w:szCs w:val="22"/>
        </w:rPr>
      </w:pPr>
    </w:p>
    <w:p w14:paraId="7F359EE7" w14:textId="19DD75E1" w:rsidR="0021635C" w:rsidRPr="0021635C" w:rsidRDefault="0021635C" w:rsidP="0021635C">
      <w:pPr>
        <w:jc w:val="both"/>
        <w:rPr>
          <w:rFonts w:cs="Arial"/>
          <w:sz w:val="22"/>
          <w:szCs w:val="22"/>
        </w:rPr>
      </w:pPr>
      <w:r>
        <w:rPr>
          <w:rFonts w:cs="Arial"/>
          <w:sz w:val="22"/>
          <w:szCs w:val="22"/>
        </w:rPr>
        <w:t>CO</w:t>
      </w:r>
      <w:r w:rsidRPr="00DF6745">
        <w:rPr>
          <w:rFonts w:cs="Arial"/>
          <w:sz w:val="22"/>
          <w:szCs w:val="22"/>
          <w:vertAlign w:val="subscript"/>
        </w:rPr>
        <w:t>2</w:t>
      </w:r>
      <w:r>
        <w:rPr>
          <w:rFonts w:cs="Arial"/>
          <w:sz w:val="22"/>
          <w:szCs w:val="22"/>
        </w:rPr>
        <w:t>-</w:t>
      </w:r>
      <w:r w:rsidRPr="0021635C">
        <w:rPr>
          <w:rFonts w:cs="Arial"/>
          <w:sz w:val="22"/>
          <w:szCs w:val="22"/>
        </w:rPr>
        <w:t xml:space="preserve">Feuerlöscher sind überwiegend geeignet zur Bekämpfung von Bränden der Brandklasse B. </w:t>
      </w:r>
    </w:p>
    <w:p w14:paraId="471E0FA9" w14:textId="77777777" w:rsidR="0021635C" w:rsidRDefault="0021635C" w:rsidP="0021635C">
      <w:pPr>
        <w:jc w:val="both"/>
        <w:rPr>
          <w:rFonts w:cs="Arial"/>
          <w:sz w:val="22"/>
          <w:szCs w:val="22"/>
        </w:rPr>
      </w:pPr>
      <w:r w:rsidRPr="0021635C">
        <w:rPr>
          <w:rFonts w:cs="Arial"/>
          <w:sz w:val="22"/>
          <w:szCs w:val="22"/>
        </w:rPr>
        <w:t xml:space="preserve">Überprüfen Sie also in Ihrem Verantwortungsbereich, wo sich tragbare Kohlendioxid-Feuerlöscher befinden. </w:t>
      </w:r>
    </w:p>
    <w:p w14:paraId="7BB641E0" w14:textId="77777777" w:rsidR="0021635C" w:rsidRPr="0021635C" w:rsidRDefault="0021635C" w:rsidP="0021635C">
      <w:pPr>
        <w:jc w:val="both"/>
        <w:rPr>
          <w:rFonts w:cs="Arial"/>
          <w:sz w:val="22"/>
          <w:szCs w:val="22"/>
        </w:rPr>
      </w:pPr>
    </w:p>
    <w:p w14:paraId="1C58F182" w14:textId="63F3216F" w:rsidR="00A766F8" w:rsidRPr="00DD7E02" w:rsidRDefault="0021635C" w:rsidP="0021635C">
      <w:pPr>
        <w:tabs>
          <w:tab w:val="left" w:pos="6075"/>
        </w:tabs>
        <w:jc w:val="both"/>
        <w:rPr>
          <w:sz w:val="22"/>
          <w:szCs w:val="22"/>
        </w:rPr>
      </w:pPr>
      <w:r w:rsidRPr="0021635C">
        <w:rPr>
          <w:rFonts w:cs="Arial"/>
          <w:sz w:val="22"/>
          <w:szCs w:val="22"/>
        </w:rPr>
        <w:t>Wie oben beschrieben, muss im Einzelfall bewertet werden, ob aufgrund des Einsatzes eines CO</w:t>
      </w:r>
      <w:r w:rsidRPr="00DF6745">
        <w:rPr>
          <w:rFonts w:cs="Arial"/>
          <w:sz w:val="22"/>
          <w:szCs w:val="22"/>
          <w:vertAlign w:val="subscript"/>
        </w:rPr>
        <w:t>2</w:t>
      </w:r>
      <w:r w:rsidRPr="0021635C">
        <w:rPr>
          <w:rFonts w:cs="Arial"/>
          <w:sz w:val="22"/>
          <w:szCs w:val="22"/>
        </w:rPr>
        <w:t>-Löschers und den damit verbundenen Gefahren, ein Handlungsbedarf besteht. Eventuell muss ein Austausch gegen geeignete Wasser-, Schaum- oder Pulverlöscher erfolgen</w:t>
      </w:r>
      <w:r>
        <w:rPr>
          <w:rFonts w:cs="Arial"/>
          <w:sz w:val="22"/>
          <w:szCs w:val="22"/>
        </w:rPr>
        <w:t>.</w:t>
      </w:r>
    </w:p>
    <w:sectPr w:rsidR="00A766F8" w:rsidRPr="00DD7E02" w:rsidSect="00D75291">
      <w:headerReference w:type="default" r:id="rId14"/>
      <w:footerReference w:type="default" r:id="rId15"/>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46A3" w14:textId="77777777" w:rsidR="00462EBE" w:rsidRDefault="00462EBE">
      <w:r>
        <w:separator/>
      </w:r>
    </w:p>
  </w:endnote>
  <w:endnote w:type="continuationSeparator" w:id="0">
    <w:p w14:paraId="66C18294" w14:textId="77777777" w:rsidR="00462EBE" w:rsidRDefault="0046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DGUV Meta-Normal">
    <w:altName w:val="Calibri"/>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32798E63" w:rsidR="00413A01" w:rsidRPr="004C1C05" w:rsidRDefault="006C0D69" w:rsidP="00413A01">
          <w:pPr>
            <w:pStyle w:val="Fuzeile"/>
            <w:ind w:right="-83"/>
            <w:rPr>
              <w:sz w:val="16"/>
              <w:szCs w:val="16"/>
            </w:rPr>
          </w:pPr>
          <w:r>
            <w:rPr>
              <w:sz w:val="16"/>
              <w:szCs w:val="16"/>
            </w:rPr>
            <w:t>01.</w:t>
          </w:r>
          <w:r w:rsidR="00413A01">
            <w:rPr>
              <w:sz w:val="16"/>
              <w:szCs w:val="16"/>
            </w:rPr>
            <w:t>0</w:t>
          </w:r>
          <w:r w:rsidR="0021635C">
            <w:rPr>
              <w:sz w:val="16"/>
              <w:szCs w:val="16"/>
            </w:rPr>
            <w:t>4</w:t>
          </w:r>
          <w:r w:rsidR="00413A01">
            <w:rPr>
              <w:sz w:val="16"/>
              <w:szCs w:val="16"/>
            </w:rPr>
            <w:t>.202</w:t>
          </w:r>
          <w:r>
            <w:rPr>
              <w:sz w:val="16"/>
              <w:szCs w:val="16"/>
            </w:rPr>
            <w:t>3</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442F" w14:textId="77777777" w:rsidR="00462EBE" w:rsidRDefault="00462EBE">
      <w:r>
        <w:separator/>
      </w:r>
    </w:p>
  </w:footnote>
  <w:footnote w:type="continuationSeparator" w:id="0">
    <w:p w14:paraId="27E888A2" w14:textId="77777777" w:rsidR="00462EBE" w:rsidRDefault="00462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1D3A8D21" w:rsidR="004F0DC2" w:rsidRPr="00E21DC0" w:rsidRDefault="004F0DC2" w:rsidP="004F0DC2">
          <w:pPr>
            <w:jc w:val="center"/>
          </w:pPr>
          <w:r w:rsidRPr="00E21DC0">
            <w:rPr>
              <w:b/>
            </w:rPr>
            <w:t>UW_ET_</w:t>
          </w:r>
          <w:r w:rsidR="007376D0">
            <w:rPr>
              <w:b/>
            </w:rPr>
            <w:t>9</w:t>
          </w:r>
          <w:r w:rsidR="0021635C">
            <w:rPr>
              <w:b/>
            </w:rPr>
            <w:t>2</w:t>
          </w:r>
        </w:p>
      </w:tc>
      <w:tc>
        <w:tcPr>
          <w:tcW w:w="5026" w:type="dxa"/>
          <w:vAlign w:val="center"/>
        </w:tcPr>
        <w:p w14:paraId="63D167E9" w14:textId="30378C8D" w:rsidR="004F0DC2" w:rsidRPr="00B2005A" w:rsidRDefault="0021635C" w:rsidP="004F0DC2">
          <w:pPr>
            <w:jc w:val="center"/>
            <w:rPr>
              <w:sz w:val="28"/>
              <w:szCs w:val="28"/>
            </w:rPr>
          </w:pPr>
          <w:r w:rsidRPr="0021635C">
            <w:rPr>
              <w:sz w:val="28"/>
              <w:szCs w:val="28"/>
            </w:rPr>
            <w:t>Brandbekämpfung mit CO</w:t>
          </w:r>
          <w:r w:rsidRPr="00DF6745">
            <w:rPr>
              <w:sz w:val="28"/>
              <w:szCs w:val="28"/>
              <w:vertAlign w:val="subscript"/>
            </w:rPr>
            <w:t>2</w:t>
          </w:r>
          <w:r w:rsidR="00EF312F">
            <w:rPr>
              <w:sz w:val="28"/>
              <w:szCs w:val="28"/>
            </w:rPr>
            <w:t>-</w:t>
          </w:r>
          <w:r w:rsidRPr="0021635C">
            <w:rPr>
              <w:sz w:val="28"/>
              <w:szCs w:val="28"/>
            </w:rPr>
            <w:t>Löschern</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E02A1C"/>
    <w:multiLevelType w:val="hybridMultilevel"/>
    <w:tmpl w:val="36A48578"/>
    <w:lvl w:ilvl="0" w:tplc="08CE306A">
      <w:numFmt w:val="bullet"/>
      <w:lvlText w:val=""/>
      <w:lvlJc w:val="left"/>
      <w:pPr>
        <w:ind w:left="720" w:hanging="360"/>
      </w:pPr>
      <w:rPr>
        <w:rFonts w:ascii="Wingdings" w:eastAsia="Times New Roman" w:hAnsi="Wingdings" w:cs="Arial" w:hint="default"/>
      </w:rPr>
    </w:lvl>
    <w:lvl w:ilvl="1" w:tplc="A09612FA" w:tentative="1">
      <w:start w:val="1"/>
      <w:numFmt w:val="bullet"/>
      <w:lvlText w:val="o"/>
      <w:lvlJc w:val="left"/>
      <w:pPr>
        <w:ind w:left="1440" w:hanging="360"/>
      </w:pPr>
      <w:rPr>
        <w:rFonts w:ascii="Courier New" w:hAnsi="Courier New" w:cs="Courier New" w:hint="default"/>
      </w:rPr>
    </w:lvl>
    <w:lvl w:ilvl="2" w:tplc="605647E6" w:tentative="1">
      <w:start w:val="1"/>
      <w:numFmt w:val="bullet"/>
      <w:lvlText w:val=""/>
      <w:lvlJc w:val="left"/>
      <w:pPr>
        <w:ind w:left="2160" w:hanging="360"/>
      </w:pPr>
      <w:rPr>
        <w:rFonts w:ascii="Wingdings" w:hAnsi="Wingdings" w:hint="default"/>
      </w:rPr>
    </w:lvl>
    <w:lvl w:ilvl="3" w:tplc="A642E136" w:tentative="1">
      <w:start w:val="1"/>
      <w:numFmt w:val="bullet"/>
      <w:lvlText w:val=""/>
      <w:lvlJc w:val="left"/>
      <w:pPr>
        <w:ind w:left="2880" w:hanging="360"/>
      </w:pPr>
      <w:rPr>
        <w:rFonts w:ascii="Symbol" w:hAnsi="Symbol" w:hint="default"/>
      </w:rPr>
    </w:lvl>
    <w:lvl w:ilvl="4" w:tplc="6ADCD7BC" w:tentative="1">
      <w:start w:val="1"/>
      <w:numFmt w:val="bullet"/>
      <w:lvlText w:val="o"/>
      <w:lvlJc w:val="left"/>
      <w:pPr>
        <w:ind w:left="3600" w:hanging="360"/>
      </w:pPr>
      <w:rPr>
        <w:rFonts w:ascii="Courier New" w:hAnsi="Courier New" w:cs="Courier New" w:hint="default"/>
      </w:rPr>
    </w:lvl>
    <w:lvl w:ilvl="5" w:tplc="E69A38DC" w:tentative="1">
      <w:start w:val="1"/>
      <w:numFmt w:val="bullet"/>
      <w:lvlText w:val=""/>
      <w:lvlJc w:val="left"/>
      <w:pPr>
        <w:ind w:left="4320" w:hanging="360"/>
      </w:pPr>
      <w:rPr>
        <w:rFonts w:ascii="Wingdings" w:hAnsi="Wingdings" w:hint="default"/>
      </w:rPr>
    </w:lvl>
    <w:lvl w:ilvl="6" w:tplc="D71CE38C" w:tentative="1">
      <w:start w:val="1"/>
      <w:numFmt w:val="bullet"/>
      <w:lvlText w:val=""/>
      <w:lvlJc w:val="left"/>
      <w:pPr>
        <w:ind w:left="5040" w:hanging="360"/>
      </w:pPr>
      <w:rPr>
        <w:rFonts w:ascii="Symbol" w:hAnsi="Symbol" w:hint="default"/>
      </w:rPr>
    </w:lvl>
    <w:lvl w:ilvl="7" w:tplc="353E178A" w:tentative="1">
      <w:start w:val="1"/>
      <w:numFmt w:val="bullet"/>
      <w:lvlText w:val="o"/>
      <w:lvlJc w:val="left"/>
      <w:pPr>
        <w:ind w:left="5760" w:hanging="360"/>
      </w:pPr>
      <w:rPr>
        <w:rFonts w:ascii="Courier New" w:hAnsi="Courier New" w:cs="Courier New" w:hint="default"/>
      </w:rPr>
    </w:lvl>
    <w:lvl w:ilvl="8" w:tplc="7B282FEA" w:tentative="1">
      <w:start w:val="1"/>
      <w:numFmt w:val="bullet"/>
      <w:lvlText w:val=""/>
      <w:lvlJc w:val="left"/>
      <w:pPr>
        <w:ind w:left="6480" w:hanging="360"/>
      </w:pPr>
      <w:rPr>
        <w:rFonts w:ascii="Wingdings" w:hAnsi="Wingdings" w:hint="default"/>
      </w:rPr>
    </w:lvl>
  </w:abstractNum>
  <w:abstractNum w:abstractNumId="2"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B551CC"/>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8A16339"/>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16cid:durableId="1015809858">
    <w:abstractNumId w:val="0"/>
  </w:num>
  <w:num w:numId="2" w16cid:durableId="1386223540">
    <w:abstractNumId w:val="4"/>
  </w:num>
  <w:num w:numId="3" w16cid:durableId="1696270670">
    <w:abstractNumId w:val="6"/>
  </w:num>
  <w:num w:numId="4" w16cid:durableId="398405917">
    <w:abstractNumId w:val="9"/>
  </w:num>
  <w:num w:numId="5" w16cid:durableId="1115758492">
    <w:abstractNumId w:val="2"/>
  </w:num>
  <w:num w:numId="6" w16cid:durableId="767040991">
    <w:abstractNumId w:val="8"/>
  </w:num>
  <w:num w:numId="7" w16cid:durableId="265188367">
    <w:abstractNumId w:val="11"/>
  </w:num>
  <w:num w:numId="8" w16cid:durableId="1114789958">
    <w:abstractNumId w:val="12"/>
  </w:num>
  <w:num w:numId="9" w16cid:durableId="1522278410">
    <w:abstractNumId w:val="10"/>
  </w:num>
  <w:num w:numId="10" w16cid:durableId="2002613182">
    <w:abstractNumId w:val="7"/>
  </w:num>
  <w:num w:numId="11" w16cid:durableId="1073701921">
    <w:abstractNumId w:val="5"/>
  </w:num>
  <w:num w:numId="12" w16cid:durableId="1301959806">
    <w:abstractNumId w:val="3"/>
  </w:num>
  <w:num w:numId="13" w16cid:durableId="152902647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1596B"/>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3DE8"/>
    <w:rsid w:val="000F6291"/>
    <w:rsid w:val="000F705B"/>
    <w:rsid w:val="00103F17"/>
    <w:rsid w:val="00107C09"/>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35C"/>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2EBE"/>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6A7A"/>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D69"/>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376D0"/>
    <w:rsid w:val="00741CA7"/>
    <w:rsid w:val="00743BA5"/>
    <w:rsid w:val="00743FCC"/>
    <w:rsid w:val="00746D1A"/>
    <w:rsid w:val="0074764B"/>
    <w:rsid w:val="00752650"/>
    <w:rsid w:val="007542F2"/>
    <w:rsid w:val="00754F27"/>
    <w:rsid w:val="0075535C"/>
    <w:rsid w:val="00757336"/>
    <w:rsid w:val="007626E8"/>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0A12"/>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0F67"/>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D7E02"/>
    <w:rsid w:val="00DE18CE"/>
    <w:rsid w:val="00DE58F5"/>
    <w:rsid w:val="00DE62FC"/>
    <w:rsid w:val="00DF0998"/>
    <w:rsid w:val="00DF4627"/>
    <w:rsid w:val="00DF6745"/>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024E"/>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312F"/>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1577"/>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5" ma:contentTypeDescription="Ein neues Dokument erstellen." ma:contentTypeScope="" ma:versionID="0b39e5702182e974ccde272fccd93eae">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98fa3217a72f84450bf2d55b48d5cd67"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95010-E65F-40B7-988F-12D39370CACD}">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2.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customXml/itemProps3.xml><?xml version="1.0" encoding="utf-8"?>
<ds:datastoreItem xmlns:ds="http://schemas.openxmlformats.org/officeDocument/2006/customXml" ds:itemID="{5FD266CB-3340-4949-B9EF-C957A83509AD}">
  <ds:schemaRefs>
    <ds:schemaRef ds:uri="http://schemas.microsoft.com/sharepoint/v3/contenttype/forms"/>
  </ds:schemaRefs>
</ds:datastoreItem>
</file>

<file path=customXml/itemProps4.xml><?xml version="1.0" encoding="utf-8"?>
<ds:datastoreItem xmlns:ds="http://schemas.openxmlformats.org/officeDocument/2006/customXml" ds:itemID="{23898EEB-ADA0-449B-85B4-03A7D95ED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613</Words>
  <Characters>3863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7</cp:revision>
  <cp:lastPrinted>2023-03-30T12:05:00Z</cp:lastPrinted>
  <dcterms:created xsi:type="dcterms:W3CDTF">2023-03-30T11:50:00Z</dcterms:created>
  <dcterms:modified xsi:type="dcterms:W3CDTF">2023-03-30T12:05:00Z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ies>
</file>