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C003" w14:textId="4C0C8F52" w:rsidR="00D2216A" w:rsidRPr="000770FC" w:rsidRDefault="00E81349" w:rsidP="000770FC">
      <w:pPr>
        <w:spacing w:line="360" w:lineRule="auto"/>
        <w:rPr>
          <w:b/>
          <w:bCs/>
          <w:sz w:val="22"/>
          <w:szCs w:val="18"/>
        </w:rPr>
      </w:pPr>
      <w:r w:rsidRPr="000770FC">
        <w:rPr>
          <w:b/>
          <w:bCs/>
          <w:sz w:val="22"/>
          <w:szCs w:val="18"/>
        </w:rPr>
        <w:t>Einleitung und Einteilung</w:t>
      </w:r>
    </w:p>
    <w:p w14:paraId="3BC58AAA" w14:textId="06877C69" w:rsidR="00DA3947" w:rsidRPr="00DA3947" w:rsidRDefault="00E81349" w:rsidP="00E81349">
      <w:pPr>
        <w:rPr>
          <w:rFonts w:cs="Arial"/>
        </w:rPr>
      </w:pPr>
      <w:r>
        <w:t>Eine Blitzschutzanlage umfasst die</w:t>
      </w:r>
    </w:p>
    <w:p w14:paraId="0226EED0" w14:textId="6A661420" w:rsidR="00D2216A" w:rsidRPr="00DA3947" w:rsidRDefault="00E81349" w:rsidP="00D2216A">
      <w:pPr>
        <w:pStyle w:val="KeinLeerraum"/>
        <w:numPr>
          <w:ilvl w:val="0"/>
          <w:numId w:val="13"/>
        </w:numPr>
        <w:spacing w:before="60" w:after="60"/>
        <w:rPr>
          <w:rFonts w:ascii="Arial" w:hAnsi="Arial" w:cs="Arial"/>
        </w:rPr>
      </w:pPr>
      <w:r>
        <w:rPr>
          <w:rFonts w:ascii="Arial" w:hAnsi="Arial" w:cs="Arial"/>
        </w:rPr>
        <w:t>Äußere Blitzschutzanlage mit ihren Fangeinrichtungen und Ableitungen. Die Erdungsanlage ist sowohl Teil des äußeren Blitzschutzes als auch der Elektroanlage des Gebäudes</w:t>
      </w:r>
    </w:p>
    <w:p w14:paraId="1DE093EF" w14:textId="77777777" w:rsidR="00487D5D" w:rsidRDefault="00E81349" w:rsidP="00D2216A">
      <w:pPr>
        <w:pStyle w:val="KeinLeerraum"/>
        <w:numPr>
          <w:ilvl w:val="0"/>
          <w:numId w:val="13"/>
        </w:numPr>
        <w:spacing w:before="60" w:after="60"/>
        <w:rPr>
          <w:rFonts w:ascii="Arial" w:hAnsi="Arial" w:cs="Arial"/>
        </w:rPr>
      </w:pPr>
      <w:r>
        <w:rPr>
          <w:rFonts w:ascii="Arial" w:hAnsi="Arial" w:cs="Arial"/>
        </w:rPr>
        <w:t>Innere Blitzschutzanlage mit ihrem Blitzschutz-Potentialausgleich, de</w:t>
      </w:r>
      <w:r w:rsidR="00487D5D">
        <w:rPr>
          <w:rFonts w:ascii="Arial" w:hAnsi="Arial" w:cs="Arial"/>
        </w:rPr>
        <w:t xml:space="preserve">n Überspannungs-Schutzeinrichtungen und Schirmungsmaßnahmen. </w:t>
      </w:r>
    </w:p>
    <w:p w14:paraId="3F3CDBFE" w14:textId="77777777" w:rsidR="000770FC" w:rsidRDefault="000770FC" w:rsidP="00487D5D">
      <w:pPr>
        <w:pStyle w:val="KeinLeerraum"/>
        <w:spacing w:before="60" w:after="60"/>
        <w:rPr>
          <w:rFonts w:ascii="Arial" w:hAnsi="Arial" w:cs="Arial"/>
        </w:rPr>
      </w:pPr>
    </w:p>
    <w:p w14:paraId="1809E50A" w14:textId="29EB3429" w:rsidR="00D2216A" w:rsidRDefault="00487D5D" w:rsidP="00487D5D">
      <w:pPr>
        <w:pStyle w:val="KeinLeerraum"/>
        <w:spacing w:before="60" w:after="60"/>
        <w:rPr>
          <w:rFonts w:ascii="Arial" w:hAnsi="Arial" w:cs="Arial"/>
        </w:rPr>
      </w:pPr>
      <w:r w:rsidRPr="00487D5D">
        <w:rPr>
          <w:rFonts w:ascii="Arial" w:hAnsi="Arial" w:cs="Arial"/>
        </w:rPr>
        <w:t xml:space="preserve">Der Innere </w:t>
      </w:r>
      <w:r>
        <w:rPr>
          <w:rFonts w:ascii="Arial" w:hAnsi="Arial" w:cs="Arial"/>
        </w:rPr>
        <w:t xml:space="preserve">und Äußere </w:t>
      </w:r>
      <w:r w:rsidRPr="00487D5D">
        <w:rPr>
          <w:rFonts w:ascii="Arial" w:hAnsi="Arial" w:cs="Arial"/>
        </w:rPr>
        <w:t>Blitzschutz w</w:t>
      </w:r>
      <w:r>
        <w:rPr>
          <w:rFonts w:ascii="Arial" w:hAnsi="Arial" w:cs="Arial"/>
        </w:rPr>
        <w:t>erden</w:t>
      </w:r>
      <w:r w:rsidRPr="00487D5D">
        <w:rPr>
          <w:rFonts w:ascii="Arial" w:hAnsi="Arial" w:cs="Arial"/>
        </w:rPr>
        <w:t xml:space="preserve"> üblicherweise gesondert betrachtet und ni</w:t>
      </w:r>
      <w:r>
        <w:rPr>
          <w:rFonts w:ascii="Arial" w:hAnsi="Arial" w:cs="Arial"/>
        </w:rPr>
        <w:t>cht durch die gleiche befähigte Person geprüft.</w:t>
      </w:r>
    </w:p>
    <w:p w14:paraId="74B472D4" w14:textId="25462C0C" w:rsidR="00487D5D" w:rsidRDefault="00487D5D" w:rsidP="00487D5D">
      <w:pPr>
        <w:pStyle w:val="KeinLeerraum"/>
        <w:spacing w:before="60" w:after="60"/>
        <w:rPr>
          <w:rFonts w:ascii="Arial" w:hAnsi="Arial" w:cs="Arial"/>
        </w:rPr>
      </w:pPr>
      <w:r>
        <w:rPr>
          <w:rFonts w:ascii="Arial" w:hAnsi="Arial" w:cs="Arial"/>
        </w:rPr>
        <w:t>Für Änderungen an allen Teilen der Blitzschutzanlage ist eine Blitzschutz-Fachkraft erforderlich, die ebenso wie die Elektrofachkraft qualifiziert sein muss – nur im Bereich des Blitzschutzes.</w:t>
      </w:r>
    </w:p>
    <w:p w14:paraId="1014A14D" w14:textId="760716F2" w:rsidR="00487D5D" w:rsidRDefault="00487D5D" w:rsidP="00487D5D">
      <w:pPr>
        <w:pStyle w:val="KeinLeerraum"/>
        <w:spacing w:before="60" w:after="60"/>
        <w:rPr>
          <w:rFonts w:ascii="Arial" w:hAnsi="Arial" w:cs="Arial"/>
        </w:rPr>
      </w:pPr>
      <w:r>
        <w:rPr>
          <w:rFonts w:ascii="Arial" w:hAnsi="Arial" w:cs="Arial"/>
        </w:rPr>
        <w:t xml:space="preserve">Zusätzlich gibt es den Blitzschutz-Sachkundigen nach </w:t>
      </w:r>
      <w:proofErr w:type="spellStart"/>
      <w:r>
        <w:rPr>
          <w:rFonts w:ascii="Arial" w:hAnsi="Arial" w:cs="Arial"/>
        </w:rPr>
        <w:t>VdS</w:t>
      </w:r>
      <w:proofErr w:type="spellEnd"/>
      <w:r>
        <w:rPr>
          <w:rFonts w:ascii="Arial" w:hAnsi="Arial" w:cs="Arial"/>
        </w:rPr>
        <w:t xml:space="preserve"> 2596</w:t>
      </w:r>
      <w:r w:rsidR="001F18E6">
        <w:rPr>
          <w:rFonts w:ascii="Arial" w:hAnsi="Arial" w:cs="Arial"/>
        </w:rPr>
        <w:t>, die Personen zertifizieren sowie</w:t>
      </w:r>
      <w:r>
        <w:rPr>
          <w:rFonts w:ascii="Arial" w:hAnsi="Arial" w:cs="Arial"/>
        </w:rPr>
        <w:t xml:space="preserve"> die Branchenverbände des VdB </w:t>
      </w:r>
      <w:r w:rsidR="001F18E6">
        <w:rPr>
          <w:rFonts w:ascii="Arial" w:hAnsi="Arial" w:cs="Arial"/>
        </w:rPr>
        <w:t>und die RAL Gütegemeinschaft Blitzschutz.</w:t>
      </w:r>
    </w:p>
    <w:p w14:paraId="09082CD7" w14:textId="50B7CA3B" w:rsidR="001F18E6" w:rsidRPr="00487D5D" w:rsidRDefault="001F18E6" w:rsidP="00487D5D">
      <w:pPr>
        <w:pStyle w:val="KeinLeerraum"/>
        <w:spacing w:before="60" w:after="60"/>
        <w:rPr>
          <w:rFonts w:ascii="Arial" w:hAnsi="Arial" w:cs="Arial"/>
        </w:rPr>
      </w:pPr>
      <w:r>
        <w:rPr>
          <w:rFonts w:ascii="Arial" w:hAnsi="Arial" w:cs="Arial"/>
        </w:rPr>
        <w:t>Schützt der Blitzschutz eine überwachungsbedürftige Anlage nach BetrSichV, dann muss die Blitzschutz-Fachkraft zusätzlich auch befähigte Person sein.</w:t>
      </w:r>
    </w:p>
    <w:p w14:paraId="4F7CD422" w14:textId="77777777" w:rsidR="00DA3947" w:rsidRPr="00DA3947" w:rsidRDefault="00DA3947" w:rsidP="00D2216A">
      <w:pPr>
        <w:pStyle w:val="Titel"/>
        <w:rPr>
          <w:rFonts w:ascii="Arial" w:hAnsi="Arial" w:cs="Arial"/>
          <w:sz w:val="22"/>
          <w:szCs w:val="22"/>
        </w:rPr>
      </w:pPr>
    </w:p>
    <w:p w14:paraId="4EA48141" w14:textId="7EB00CF1" w:rsidR="00D2216A" w:rsidRDefault="007D58FE" w:rsidP="00DA3947">
      <w:pPr>
        <w:spacing w:line="360" w:lineRule="auto"/>
        <w:rPr>
          <w:b/>
          <w:bCs/>
          <w:sz w:val="22"/>
          <w:szCs w:val="18"/>
        </w:rPr>
      </w:pPr>
      <w:r>
        <w:rPr>
          <w:b/>
          <w:bCs/>
          <w:sz w:val="22"/>
          <w:szCs w:val="18"/>
        </w:rPr>
        <w:t>Notwenigkeit von Blitzschutz</w:t>
      </w:r>
    </w:p>
    <w:p w14:paraId="40B2BA54" w14:textId="00349D6A" w:rsidR="00D2216A" w:rsidRDefault="007D58FE" w:rsidP="00DA3947">
      <w:pPr>
        <w:jc w:val="both"/>
        <w:rPr>
          <w:sz w:val="22"/>
          <w:szCs w:val="18"/>
        </w:rPr>
      </w:pPr>
      <w:r>
        <w:rPr>
          <w:sz w:val="22"/>
          <w:szCs w:val="18"/>
        </w:rPr>
        <w:t>Siehe auch DIN EN 62305-3 Beiblatt 6 (VDE 0185-305-3 Beiblatt 6):2022-06 „zusätzliche Informationen über das Erfordernis von Blitzschutzmaßnahmen.</w:t>
      </w:r>
    </w:p>
    <w:p w14:paraId="018A2454" w14:textId="77777777" w:rsidR="000770FC" w:rsidRDefault="000770FC" w:rsidP="00DA3947">
      <w:pPr>
        <w:jc w:val="both"/>
        <w:rPr>
          <w:sz w:val="22"/>
          <w:szCs w:val="18"/>
        </w:rPr>
      </w:pPr>
    </w:p>
    <w:p w14:paraId="7D87965D" w14:textId="1CD0639C" w:rsidR="007D58FE" w:rsidRDefault="007D58FE" w:rsidP="00DA3947">
      <w:pPr>
        <w:jc w:val="both"/>
        <w:rPr>
          <w:sz w:val="22"/>
          <w:szCs w:val="18"/>
        </w:rPr>
      </w:pPr>
      <w:r>
        <w:rPr>
          <w:sz w:val="22"/>
          <w:szCs w:val="18"/>
        </w:rPr>
        <w:t xml:space="preserve">Maßnahmen des Blitzschutzes (egal ob äußerer oder innerer Blitzschutz) können zunächst durch das Baurecht grundsätzlich gefordert werden. In den Sonderbauverordnungen ist ggf. auch eine mindest-Blitzschutzklasse vorgegeben. </w:t>
      </w:r>
      <w:r w:rsidR="00A8031F">
        <w:rPr>
          <w:sz w:val="22"/>
          <w:szCs w:val="18"/>
        </w:rPr>
        <w:t>Dies trifft etwa auf Krankenhäuser, Schulen oder Hochhäuser zu. Die Landesbauordnung kann auch Blitzschutz fordern, wenn Gebäude besonders exponiert für Blitzeinschläge sind oder besondere Gefährdungen durch einen Blitzeinschlag entstehen können (z.B. Reetgedeckte Häuser)</w:t>
      </w:r>
      <w:r w:rsidR="000770FC">
        <w:rPr>
          <w:sz w:val="22"/>
          <w:szCs w:val="18"/>
        </w:rPr>
        <w:t xml:space="preserve">. </w:t>
      </w:r>
      <w:r>
        <w:rPr>
          <w:sz w:val="22"/>
          <w:szCs w:val="18"/>
        </w:rPr>
        <w:t>Bindend ist die Umsetzung im Brandschutz-Gutachten zur Baugenehmigung.</w:t>
      </w:r>
      <w:r w:rsidR="00A8031F">
        <w:rPr>
          <w:sz w:val="22"/>
          <w:szCs w:val="18"/>
        </w:rPr>
        <w:t xml:space="preserve"> </w:t>
      </w:r>
    </w:p>
    <w:p w14:paraId="1287EBA9" w14:textId="03685E88" w:rsidR="00A8031F" w:rsidRDefault="00A8031F" w:rsidP="00DA3947">
      <w:pPr>
        <w:jc w:val="both"/>
        <w:rPr>
          <w:sz w:val="22"/>
          <w:szCs w:val="18"/>
        </w:rPr>
      </w:pPr>
    </w:p>
    <w:p w14:paraId="29179AD1" w14:textId="77777777" w:rsidR="000770FC" w:rsidRDefault="00A8031F" w:rsidP="00DA3947">
      <w:pPr>
        <w:jc w:val="both"/>
        <w:rPr>
          <w:sz w:val="22"/>
          <w:szCs w:val="18"/>
        </w:rPr>
      </w:pPr>
      <w:r>
        <w:rPr>
          <w:sz w:val="22"/>
          <w:szCs w:val="18"/>
        </w:rPr>
        <w:t xml:space="preserve">Auch der </w:t>
      </w:r>
      <w:proofErr w:type="spellStart"/>
      <w:r>
        <w:rPr>
          <w:sz w:val="22"/>
          <w:szCs w:val="18"/>
        </w:rPr>
        <w:t>VdS</w:t>
      </w:r>
      <w:proofErr w:type="spellEnd"/>
      <w:r>
        <w:rPr>
          <w:sz w:val="22"/>
          <w:szCs w:val="18"/>
        </w:rPr>
        <w:t xml:space="preserve"> kann über die Gebäudeversicherung einen Blitzschutz fordern, dazu ist die </w:t>
      </w:r>
      <w:proofErr w:type="spellStart"/>
      <w:r>
        <w:rPr>
          <w:sz w:val="22"/>
          <w:szCs w:val="18"/>
        </w:rPr>
        <w:t>VdS</w:t>
      </w:r>
      <w:proofErr w:type="spellEnd"/>
      <w:r>
        <w:rPr>
          <w:sz w:val="22"/>
          <w:szCs w:val="18"/>
        </w:rPr>
        <w:t xml:space="preserve"> 2010 maßgeblich.</w:t>
      </w:r>
      <w:r w:rsidR="000770FC">
        <w:rPr>
          <w:sz w:val="22"/>
          <w:szCs w:val="18"/>
        </w:rPr>
        <w:t xml:space="preserve"> </w:t>
      </w:r>
    </w:p>
    <w:p w14:paraId="1C762C0A" w14:textId="77777777" w:rsidR="000770FC" w:rsidRDefault="000770FC" w:rsidP="00DA3947">
      <w:pPr>
        <w:jc w:val="both"/>
        <w:rPr>
          <w:sz w:val="22"/>
          <w:szCs w:val="18"/>
        </w:rPr>
      </w:pPr>
    </w:p>
    <w:p w14:paraId="5E7829E5" w14:textId="099B0E09" w:rsidR="00BE61DC" w:rsidRDefault="00BE61DC" w:rsidP="00DA3947">
      <w:pPr>
        <w:jc w:val="both"/>
        <w:rPr>
          <w:sz w:val="22"/>
          <w:szCs w:val="18"/>
        </w:rPr>
      </w:pPr>
      <w:r>
        <w:rPr>
          <w:sz w:val="22"/>
          <w:szCs w:val="18"/>
        </w:rPr>
        <w:t>Für Gebäude der öffentlichen Infrastruktur gelten zusätzliche Festlegungen (Flughafen-Tower, Stellwerke der Bahn, Mobilfunk-Maste usw.)</w:t>
      </w:r>
    </w:p>
    <w:p w14:paraId="290BE606" w14:textId="4884385D" w:rsidR="00BE61DC" w:rsidRDefault="00BE61DC" w:rsidP="00DA3947">
      <w:pPr>
        <w:jc w:val="both"/>
        <w:rPr>
          <w:sz w:val="22"/>
          <w:szCs w:val="18"/>
        </w:rPr>
      </w:pPr>
    </w:p>
    <w:p w14:paraId="13732CDE" w14:textId="46D9E7A3" w:rsidR="00BE61DC" w:rsidRDefault="00BE61DC" w:rsidP="0030168A">
      <w:pPr>
        <w:jc w:val="both"/>
        <w:rPr>
          <w:sz w:val="22"/>
          <w:szCs w:val="18"/>
        </w:rPr>
      </w:pPr>
      <w:r>
        <w:rPr>
          <w:sz w:val="22"/>
          <w:szCs w:val="18"/>
        </w:rPr>
        <w:t>Für Explosionsgeschützte Bereiche ist nicht zwangsläufig ein Blitzschutz erforderlich,</w:t>
      </w:r>
      <w:r w:rsidR="00C00049">
        <w:rPr>
          <w:sz w:val="22"/>
          <w:szCs w:val="18"/>
        </w:rPr>
        <w:t xml:space="preserve"> die TRGS 723 </w:t>
      </w:r>
      <w:r w:rsidR="0030168A">
        <w:rPr>
          <w:sz w:val="22"/>
          <w:szCs w:val="18"/>
        </w:rPr>
        <w:t>„</w:t>
      </w:r>
      <w:r w:rsidR="0030168A" w:rsidRPr="0030168A">
        <w:rPr>
          <w:sz w:val="22"/>
          <w:szCs w:val="18"/>
        </w:rPr>
        <w:t>Gefährliche explosionsfähige Gemische –</w:t>
      </w:r>
      <w:r w:rsidR="0030168A">
        <w:rPr>
          <w:sz w:val="22"/>
          <w:szCs w:val="18"/>
        </w:rPr>
        <w:t xml:space="preserve"> </w:t>
      </w:r>
      <w:r w:rsidR="0030168A" w:rsidRPr="0030168A">
        <w:rPr>
          <w:sz w:val="22"/>
          <w:szCs w:val="18"/>
        </w:rPr>
        <w:t>Vermeidung der Entzündung gefährlicher</w:t>
      </w:r>
      <w:r w:rsidR="0030168A">
        <w:rPr>
          <w:sz w:val="22"/>
          <w:szCs w:val="18"/>
        </w:rPr>
        <w:t xml:space="preserve"> </w:t>
      </w:r>
      <w:r w:rsidR="0030168A" w:rsidRPr="0030168A">
        <w:rPr>
          <w:sz w:val="22"/>
          <w:szCs w:val="18"/>
        </w:rPr>
        <w:t>explosionsfähiger Gemische“</w:t>
      </w:r>
      <w:r w:rsidR="0030168A">
        <w:rPr>
          <w:sz w:val="22"/>
          <w:szCs w:val="18"/>
        </w:rPr>
        <w:t xml:space="preserve"> fordert hierzu im Abschnitt 5.8 ein Gefährdungsbeurteilung.</w:t>
      </w:r>
    </w:p>
    <w:p w14:paraId="309824DE" w14:textId="57CB36FB" w:rsidR="0030168A" w:rsidRDefault="0030168A" w:rsidP="0030168A">
      <w:pPr>
        <w:jc w:val="both"/>
        <w:rPr>
          <w:sz w:val="22"/>
          <w:szCs w:val="18"/>
        </w:rPr>
      </w:pPr>
    </w:p>
    <w:p w14:paraId="2A092F53" w14:textId="4DC7FB7C" w:rsidR="0030168A" w:rsidRDefault="0030168A" w:rsidP="0030168A">
      <w:pPr>
        <w:jc w:val="both"/>
        <w:rPr>
          <w:sz w:val="22"/>
          <w:szCs w:val="18"/>
        </w:rPr>
      </w:pPr>
      <w:r>
        <w:rPr>
          <w:sz w:val="22"/>
          <w:szCs w:val="18"/>
        </w:rPr>
        <w:t xml:space="preserve">Allgemein sind alle Maßnahmen des Blitz- und Überspannungsschutzes auch </w:t>
      </w:r>
      <w:r w:rsidR="002D194A">
        <w:rPr>
          <w:sz w:val="22"/>
          <w:szCs w:val="18"/>
        </w:rPr>
        <w:t xml:space="preserve">über </w:t>
      </w:r>
      <w:r>
        <w:rPr>
          <w:sz w:val="22"/>
          <w:szCs w:val="18"/>
        </w:rPr>
        <w:t>eine Risikobewertung nach DIN EN 62305-2 festzulegen und zu optimieren. Die Risikobewertung ist schon während der Planung eines Gebäudes durchzuführen, sobald alle Eingangsparameter zur Berechnung bekannt sind</w:t>
      </w:r>
      <w:r w:rsidR="002D194A">
        <w:rPr>
          <w:sz w:val="22"/>
          <w:szCs w:val="18"/>
        </w:rPr>
        <w:t>.</w:t>
      </w:r>
    </w:p>
    <w:p w14:paraId="0C07B3D8" w14:textId="1E8B193F" w:rsidR="002D194A" w:rsidRDefault="002D194A" w:rsidP="0030168A">
      <w:pPr>
        <w:jc w:val="both"/>
        <w:rPr>
          <w:sz w:val="22"/>
          <w:szCs w:val="18"/>
        </w:rPr>
      </w:pPr>
    </w:p>
    <w:p w14:paraId="6004FA8C" w14:textId="77777777" w:rsidR="000770FC" w:rsidRDefault="000770FC" w:rsidP="002D194A">
      <w:pPr>
        <w:spacing w:line="360" w:lineRule="auto"/>
        <w:rPr>
          <w:b/>
          <w:bCs/>
          <w:sz w:val="22"/>
          <w:szCs w:val="18"/>
        </w:rPr>
      </w:pPr>
      <w:r>
        <w:rPr>
          <w:b/>
          <w:bCs/>
          <w:sz w:val="22"/>
          <w:szCs w:val="18"/>
        </w:rPr>
        <w:br w:type="page"/>
      </w:r>
    </w:p>
    <w:p w14:paraId="59544D11" w14:textId="77D92247" w:rsidR="002D194A" w:rsidRPr="002D194A" w:rsidRDefault="002D194A" w:rsidP="002D194A">
      <w:pPr>
        <w:spacing w:line="360" w:lineRule="auto"/>
        <w:rPr>
          <w:b/>
          <w:bCs/>
          <w:sz w:val="22"/>
          <w:szCs w:val="18"/>
        </w:rPr>
      </w:pPr>
      <w:r>
        <w:rPr>
          <w:b/>
          <w:bCs/>
          <w:sz w:val="22"/>
          <w:szCs w:val="18"/>
        </w:rPr>
        <w:lastRenderedPageBreak/>
        <w:t>Idee des Blitzschutzes</w:t>
      </w:r>
    </w:p>
    <w:p w14:paraId="190DE3C0" w14:textId="015CD9AE" w:rsidR="002D194A" w:rsidRDefault="002D194A" w:rsidP="00DA3947">
      <w:pPr>
        <w:jc w:val="both"/>
        <w:rPr>
          <w:sz w:val="22"/>
          <w:szCs w:val="18"/>
        </w:rPr>
      </w:pPr>
      <w:r>
        <w:rPr>
          <w:sz w:val="22"/>
          <w:szCs w:val="18"/>
        </w:rPr>
        <w:t xml:space="preserve">Bei allen Maßnahmen des Blitzschutzes geht es darum, gefährliche Spannungsunterschiede zu vermeiden. Die trifft sowohl auf gefährliche </w:t>
      </w:r>
      <w:proofErr w:type="spellStart"/>
      <w:r>
        <w:rPr>
          <w:sz w:val="22"/>
          <w:szCs w:val="18"/>
        </w:rPr>
        <w:t>Körperdurchströmungen</w:t>
      </w:r>
      <w:proofErr w:type="spellEnd"/>
      <w:r>
        <w:rPr>
          <w:sz w:val="22"/>
          <w:szCs w:val="18"/>
        </w:rPr>
        <w:t xml:space="preserve"> als auch auf Überschläge und Brandzündungen zu.</w:t>
      </w:r>
      <w:r w:rsidR="000770FC">
        <w:rPr>
          <w:sz w:val="22"/>
          <w:szCs w:val="18"/>
        </w:rPr>
        <w:t xml:space="preserve"> </w:t>
      </w:r>
      <w:r>
        <w:rPr>
          <w:sz w:val="22"/>
          <w:szCs w:val="18"/>
        </w:rPr>
        <w:t xml:space="preserve">Dabei stellt man sich den Blitz als eine Kugel vor, die vom Himmel fällt. Je nach Stärke des Blitzes (maximaler Blitzstrom) ist diese Kugel mal kleiner oder mal größer. Dort, wo diese Kugel dann </w:t>
      </w:r>
      <w:r w:rsidR="0049687C">
        <w:rPr>
          <w:sz w:val="22"/>
          <w:szCs w:val="18"/>
        </w:rPr>
        <w:t>zuerst das Gebäude oder eine seiner technischen Einrichtungen berührt, muss ein Blitzschutz vorgesehen werden, der in der Lage ist</w:t>
      </w:r>
      <w:r w:rsidR="00F61113">
        <w:rPr>
          <w:sz w:val="22"/>
          <w:szCs w:val="18"/>
        </w:rPr>
        <w:t>,</w:t>
      </w:r>
      <w:r w:rsidR="0049687C">
        <w:rPr>
          <w:sz w:val="22"/>
          <w:szCs w:val="18"/>
        </w:rPr>
        <w:t xml:space="preserve"> den Blitzstrom wirksam zu verteilen.</w:t>
      </w:r>
    </w:p>
    <w:p w14:paraId="63704C94" w14:textId="6636BC67" w:rsidR="0049687C" w:rsidRDefault="0049687C" w:rsidP="00DA3947">
      <w:pPr>
        <w:jc w:val="both"/>
        <w:rPr>
          <w:sz w:val="22"/>
          <w:szCs w:val="18"/>
        </w:rPr>
      </w:pPr>
    </w:p>
    <w:p w14:paraId="5CE6B82C" w14:textId="43513196" w:rsidR="0049687C" w:rsidRPr="00C57481" w:rsidRDefault="0049687C" w:rsidP="00C57481">
      <w:pPr>
        <w:spacing w:line="360" w:lineRule="auto"/>
        <w:rPr>
          <w:b/>
          <w:bCs/>
          <w:sz w:val="22"/>
          <w:szCs w:val="18"/>
        </w:rPr>
      </w:pPr>
      <w:r w:rsidRPr="00C57481">
        <w:rPr>
          <w:b/>
          <w:bCs/>
          <w:sz w:val="22"/>
          <w:szCs w:val="18"/>
        </w:rPr>
        <w:t>Arten des Blitzschutzes</w:t>
      </w:r>
    </w:p>
    <w:p w14:paraId="1CE8198B" w14:textId="431A28C3" w:rsidR="0049687C" w:rsidRDefault="0049687C" w:rsidP="00DA3947">
      <w:pPr>
        <w:jc w:val="both"/>
        <w:rPr>
          <w:sz w:val="22"/>
          <w:szCs w:val="18"/>
        </w:rPr>
      </w:pPr>
      <w:r>
        <w:rPr>
          <w:sz w:val="22"/>
          <w:szCs w:val="18"/>
        </w:rPr>
        <w:t>Im Laufe der vergangenen Jahrzehnte durchlebte die Ausführung von Äußerem Blitzschutz mehrmals grundsätzliche Änderungen des Konzeptes. Diese werden heute noch mit den relevanten Regelwerken in Prüfprotokollen angegeben:</w:t>
      </w:r>
    </w:p>
    <w:p w14:paraId="5D9A8C24" w14:textId="77777777" w:rsidR="000770FC" w:rsidRDefault="000770FC" w:rsidP="00DA3947">
      <w:pPr>
        <w:jc w:val="both"/>
        <w:rPr>
          <w:sz w:val="22"/>
          <w:szCs w:val="18"/>
        </w:rPr>
      </w:pPr>
    </w:p>
    <w:p w14:paraId="73BC0A31" w14:textId="190DBB33" w:rsidR="0049687C" w:rsidRDefault="0049687C" w:rsidP="000770FC">
      <w:pPr>
        <w:pStyle w:val="Listenabsatz"/>
        <w:numPr>
          <w:ilvl w:val="0"/>
          <w:numId w:val="16"/>
        </w:numPr>
        <w:ind w:left="426"/>
        <w:jc w:val="both"/>
        <w:rPr>
          <w:sz w:val="22"/>
          <w:szCs w:val="18"/>
        </w:rPr>
      </w:pPr>
      <w:r>
        <w:rPr>
          <w:sz w:val="22"/>
          <w:szCs w:val="18"/>
        </w:rPr>
        <w:t xml:space="preserve">ABB </w:t>
      </w:r>
      <w:r w:rsidR="00F61113">
        <w:rPr>
          <w:sz w:val="22"/>
          <w:szCs w:val="18"/>
        </w:rPr>
        <w:t>8</w:t>
      </w:r>
      <w:r>
        <w:rPr>
          <w:sz w:val="22"/>
          <w:szCs w:val="18"/>
        </w:rPr>
        <w:t xml:space="preserve">: </w:t>
      </w:r>
      <w:r w:rsidR="00F61113">
        <w:rPr>
          <w:sz w:val="22"/>
          <w:szCs w:val="18"/>
        </w:rPr>
        <w:t>8</w:t>
      </w:r>
      <w:r>
        <w:rPr>
          <w:sz w:val="22"/>
          <w:szCs w:val="18"/>
        </w:rPr>
        <w:t xml:space="preserve">. Auflage des </w:t>
      </w:r>
      <w:r w:rsidR="00F61113">
        <w:rPr>
          <w:sz w:val="22"/>
          <w:szCs w:val="18"/>
        </w:rPr>
        <w:t>Buches „Blitzschutz“ vom Ausschuss für Blitzableiterbau (ABB), Stand etwa 1971</w:t>
      </w:r>
    </w:p>
    <w:p w14:paraId="3ED34162" w14:textId="01CDB65D" w:rsidR="00F61113" w:rsidRDefault="00F61113" w:rsidP="000770FC">
      <w:pPr>
        <w:pStyle w:val="Listenabsatz"/>
        <w:numPr>
          <w:ilvl w:val="0"/>
          <w:numId w:val="16"/>
        </w:numPr>
        <w:ind w:left="426"/>
        <w:jc w:val="both"/>
        <w:rPr>
          <w:sz w:val="22"/>
          <w:szCs w:val="18"/>
        </w:rPr>
      </w:pPr>
      <w:r>
        <w:rPr>
          <w:sz w:val="22"/>
          <w:szCs w:val="18"/>
        </w:rPr>
        <w:t>VDE 0185:1982: erstes Regelwerk vom VDE herausgegeben</w:t>
      </w:r>
    </w:p>
    <w:p w14:paraId="6C5523C7" w14:textId="4BD9C216" w:rsidR="00F61113" w:rsidRDefault="00F61113" w:rsidP="000770FC">
      <w:pPr>
        <w:pStyle w:val="Listenabsatz"/>
        <w:numPr>
          <w:ilvl w:val="0"/>
          <w:numId w:val="16"/>
        </w:numPr>
        <w:ind w:left="426"/>
        <w:jc w:val="both"/>
        <w:rPr>
          <w:sz w:val="22"/>
          <w:szCs w:val="18"/>
        </w:rPr>
      </w:pPr>
      <w:r>
        <w:rPr>
          <w:sz w:val="22"/>
          <w:szCs w:val="18"/>
        </w:rPr>
        <w:t>TGL</w:t>
      </w:r>
      <w:r w:rsidR="00864D5F">
        <w:rPr>
          <w:sz w:val="22"/>
          <w:szCs w:val="18"/>
        </w:rPr>
        <w:t xml:space="preserve"> 200-616:1985: letztes Regelwerk nach TGL der DDR</w:t>
      </w:r>
    </w:p>
    <w:p w14:paraId="45EEDF5A" w14:textId="7BF79797" w:rsidR="00864D5F" w:rsidRDefault="00864D5F" w:rsidP="000770FC">
      <w:pPr>
        <w:pStyle w:val="Listenabsatz"/>
        <w:numPr>
          <w:ilvl w:val="0"/>
          <w:numId w:val="16"/>
        </w:numPr>
        <w:ind w:left="426"/>
        <w:jc w:val="both"/>
        <w:rPr>
          <w:sz w:val="22"/>
          <w:szCs w:val="18"/>
        </w:rPr>
      </w:pPr>
      <w:r>
        <w:rPr>
          <w:sz w:val="22"/>
          <w:szCs w:val="18"/>
        </w:rPr>
        <w:t xml:space="preserve">VDE 0185-305-3:2006: erstes modernes Regelwerk </w:t>
      </w:r>
    </w:p>
    <w:p w14:paraId="1190B74E" w14:textId="647F6547" w:rsidR="00864D5F" w:rsidRDefault="00864D5F" w:rsidP="000770FC">
      <w:pPr>
        <w:pStyle w:val="Listenabsatz"/>
        <w:numPr>
          <w:ilvl w:val="0"/>
          <w:numId w:val="16"/>
        </w:numPr>
        <w:ind w:left="426"/>
        <w:jc w:val="both"/>
        <w:rPr>
          <w:sz w:val="22"/>
          <w:szCs w:val="18"/>
        </w:rPr>
      </w:pPr>
      <w:r>
        <w:rPr>
          <w:sz w:val="22"/>
          <w:szCs w:val="18"/>
        </w:rPr>
        <w:t>VDE 0185-305-3:2011: aktuelles Regelwerk</w:t>
      </w:r>
    </w:p>
    <w:p w14:paraId="393F59CC" w14:textId="065D4484" w:rsidR="00864D5F" w:rsidRDefault="00864D5F" w:rsidP="000770FC">
      <w:pPr>
        <w:pStyle w:val="Listenabsatz"/>
        <w:numPr>
          <w:ilvl w:val="0"/>
          <w:numId w:val="16"/>
        </w:numPr>
        <w:ind w:left="426"/>
        <w:jc w:val="both"/>
        <w:rPr>
          <w:sz w:val="22"/>
          <w:szCs w:val="18"/>
        </w:rPr>
      </w:pPr>
      <w:r>
        <w:rPr>
          <w:sz w:val="22"/>
          <w:szCs w:val="18"/>
        </w:rPr>
        <w:t>VDE 0185-305-3:2023: zukünftiges Regelwerk, vermutlich ab 2025 verbindlich</w:t>
      </w:r>
    </w:p>
    <w:p w14:paraId="407FCC4F" w14:textId="77777777" w:rsidR="000770FC" w:rsidRDefault="000770FC" w:rsidP="003764A4">
      <w:pPr>
        <w:jc w:val="both"/>
        <w:rPr>
          <w:sz w:val="22"/>
          <w:szCs w:val="18"/>
        </w:rPr>
      </w:pPr>
    </w:p>
    <w:p w14:paraId="3337CF14" w14:textId="2C45E546" w:rsidR="00704555" w:rsidRPr="003764A4" w:rsidRDefault="003764A4" w:rsidP="003764A4">
      <w:pPr>
        <w:jc w:val="both"/>
        <w:rPr>
          <w:sz w:val="22"/>
          <w:szCs w:val="18"/>
        </w:rPr>
      </w:pPr>
      <w:r>
        <w:rPr>
          <w:sz w:val="22"/>
          <w:szCs w:val="18"/>
        </w:rPr>
        <w:t xml:space="preserve">Früher wurde alles </w:t>
      </w:r>
      <w:proofErr w:type="gramStart"/>
      <w:r>
        <w:rPr>
          <w:sz w:val="22"/>
          <w:szCs w:val="18"/>
        </w:rPr>
        <w:t>leitfähige</w:t>
      </w:r>
      <w:proofErr w:type="gramEnd"/>
      <w:r>
        <w:rPr>
          <w:sz w:val="22"/>
          <w:szCs w:val="18"/>
        </w:rPr>
        <w:t xml:space="preserve"> auf dem Dach mit in den Blitzschutz einbezogen</w:t>
      </w:r>
      <w:r w:rsidR="00EC2F45">
        <w:rPr>
          <w:sz w:val="22"/>
          <w:szCs w:val="18"/>
        </w:rPr>
        <w:t xml:space="preserve">, genannt „verbundener </w:t>
      </w:r>
      <w:proofErr w:type="spellStart"/>
      <w:r w:rsidR="00EC2F45">
        <w:rPr>
          <w:sz w:val="22"/>
          <w:szCs w:val="18"/>
        </w:rPr>
        <w:t>Biltzschutz</w:t>
      </w:r>
      <w:proofErr w:type="spellEnd"/>
      <w:r w:rsidR="00EC2F45">
        <w:rPr>
          <w:sz w:val="22"/>
          <w:szCs w:val="18"/>
        </w:rPr>
        <w:t>“</w:t>
      </w:r>
      <w:r>
        <w:rPr>
          <w:sz w:val="22"/>
          <w:szCs w:val="18"/>
        </w:rPr>
        <w:t xml:space="preserve">. Dies führte </w:t>
      </w:r>
      <w:proofErr w:type="gramStart"/>
      <w:r>
        <w:rPr>
          <w:sz w:val="22"/>
          <w:szCs w:val="18"/>
        </w:rPr>
        <w:t>zu erheblichen Blitz</w:t>
      </w:r>
      <w:proofErr w:type="gramEnd"/>
      <w:r w:rsidR="000770FC">
        <w:rPr>
          <w:sz w:val="22"/>
          <w:szCs w:val="18"/>
        </w:rPr>
        <w:t xml:space="preserve"> </w:t>
      </w:r>
      <w:r>
        <w:rPr>
          <w:sz w:val="22"/>
          <w:szCs w:val="18"/>
        </w:rPr>
        <w:t>(Teil-)Strömen durch das Gebäude und durch die technischen Anlagen. 1982 (VDE) wurden dann zwischen den leitfähigen Teilen des Gebäudes und dem Blitzschutz Trennfunkenstrecken verwendet. In der Praxis war dies jedoch nicht erfolgreich. Mit der VDE von 2006 ist man dann zum isolierten Blitzschutz als Standardlösung übergegangen</w:t>
      </w:r>
      <w:r w:rsidR="00704555">
        <w:rPr>
          <w:sz w:val="22"/>
          <w:szCs w:val="18"/>
        </w:rPr>
        <w:t xml:space="preserve">, bei der </w:t>
      </w:r>
      <w:proofErr w:type="gramStart"/>
      <w:r w:rsidR="00704555">
        <w:rPr>
          <w:sz w:val="22"/>
          <w:szCs w:val="18"/>
        </w:rPr>
        <w:t>Blitz quasi</w:t>
      </w:r>
      <w:proofErr w:type="gramEnd"/>
      <w:r w:rsidR="00704555">
        <w:rPr>
          <w:sz w:val="22"/>
          <w:szCs w:val="18"/>
        </w:rPr>
        <w:t xml:space="preserve"> auf Abstand zum Gebäude gehalten wird</w:t>
      </w:r>
      <w:r>
        <w:rPr>
          <w:sz w:val="22"/>
          <w:szCs w:val="18"/>
        </w:rPr>
        <w:t>.</w:t>
      </w:r>
      <w:r w:rsidR="00704555">
        <w:rPr>
          <w:sz w:val="22"/>
          <w:szCs w:val="18"/>
        </w:rPr>
        <w:t xml:space="preserve"> Wesentlich dabei ist, dass der sog. Trennungsabstand berechnet und eigehalten wird.</w:t>
      </w:r>
      <w:r w:rsidR="000770FC">
        <w:rPr>
          <w:sz w:val="22"/>
          <w:szCs w:val="18"/>
        </w:rPr>
        <w:t xml:space="preserve"> </w:t>
      </w:r>
      <w:r w:rsidR="00704555">
        <w:rPr>
          <w:sz w:val="22"/>
          <w:szCs w:val="18"/>
        </w:rPr>
        <w:t xml:space="preserve">Sowohl der verbundene Blitzschutz als auch der Isolierte Blitzschutz </w:t>
      </w:r>
      <w:r w:rsidR="00EC2F45">
        <w:rPr>
          <w:sz w:val="22"/>
          <w:szCs w:val="18"/>
        </w:rPr>
        <w:t>sind aktuell und nach dem Stand der Technik anwendbar.</w:t>
      </w:r>
    </w:p>
    <w:p w14:paraId="58DEA1DB" w14:textId="1CF2BCA5" w:rsidR="007D58FE" w:rsidRDefault="007D58FE" w:rsidP="00DA3947">
      <w:pPr>
        <w:jc w:val="both"/>
        <w:rPr>
          <w:sz w:val="22"/>
          <w:szCs w:val="18"/>
        </w:rPr>
      </w:pPr>
    </w:p>
    <w:p w14:paraId="273BBCF1" w14:textId="275EED31" w:rsidR="00EC2F45" w:rsidRPr="00C57481" w:rsidRDefault="00EC2F45" w:rsidP="00C57481">
      <w:pPr>
        <w:spacing w:line="360" w:lineRule="auto"/>
        <w:rPr>
          <w:b/>
          <w:bCs/>
          <w:sz w:val="22"/>
          <w:szCs w:val="18"/>
        </w:rPr>
      </w:pPr>
      <w:r w:rsidRPr="00C57481">
        <w:rPr>
          <w:b/>
          <w:bCs/>
          <w:sz w:val="22"/>
          <w:szCs w:val="18"/>
        </w:rPr>
        <w:t>Trennungsabstand</w:t>
      </w:r>
    </w:p>
    <w:p w14:paraId="7FBE4371" w14:textId="67E175BB" w:rsidR="00EC2F45" w:rsidRDefault="00EC2F45" w:rsidP="00DA3947">
      <w:pPr>
        <w:jc w:val="both"/>
        <w:rPr>
          <w:sz w:val="22"/>
          <w:szCs w:val="18"/>
        </w:rPr>
      </w:pPr>
      <w:r>
        <w:rPr>
          <w:sz w:val="22"/>
          <w:szCs w:val="18"/>
        </w:rPr>
        <w:t xml:space="preserve">Der Trennungsabstand bezeichnet den Abstand, bei dem zwischen Teilen der äußeren Blitzschutzanlage und anderen </w:t>
      </w:r>
      <w:r w:rsidR="009563BD">
        <w:rPr>
          <w:sz w:val="22"/>
          <w:szCs w:val="18"/>
        </w:rPr>
        <w:t>l</w:t>
      </w:r>
      <w:r>
        <w:rPr>
          <w:sz w:val="22"/>
          <w:szCs w:val="18"/>
        </w:rPr>
        <w:t>eitfähigen Teilen kein Überschlag oder gefährliche Beeinflussung durch elektromagnetische Felder erfolgen kann. Der Trennungsabstand wird für Luftstrecken als auch für Strecken durch Materialien berechnet.</w:t>
      </w:r>
      <w:r w:rsidR="0014574C">
        <w:rPr>
          <w:sz w:val="22"/>
          <w:szCs w:val="18"/>
        </w:rPr>
        <w:t xml:space="preserve"> Per Definition ist der Trennungsabstand auf Höhe des Erdboden</w:t>
      </w:r>
      <w:r w:rsidR="00CA515D">
        <w:rPr>
          <w:sz w:val="22"/>
          <w:szCs w:val="18"/>
        </w:rPr>
        <w:t>s</w:t>
      </w:r>
      <w:r w:rsidR="0014574C">
        <w:rPr>
          <w:sz w:val="22"/>
          <w:szCs w:val="18"/>
        </w:rPr>
        <w:t xml:space="preserve"> gleich null, er nimmt linear bis zur Gebäudespitze zu. </w:t>
      </w:r>
      <w:r w:rsidR="00025A69">
        <w:rPr>
          <w:sz w:val="22"/>
          <w:szCs w:val="18"/>
        </w:rPr>
        <w:t xml:space="preserve">Er ist abhängig von der Geometrie er Fangeinrichtungen, der Vermaschung auf dem Gebäude und der Anzahl und Anordnung der Ableiter. Eine kleine Änderung des Blitzschutzes auf dem Dach kann also </w:t>
      </w:r>
      <w:r w:rsidR="00C57481">
        <w:rPr>
          <w:sz w:val="22"/>
          <w:szCs w:val="18"/>
        </w:rPr>
        <w:t>eine große Auswirkung</w:t>
      </w:r>
      <w:r w:rsidR="00025A69">
        <w:rPr>
          <w:sz w:val="22"/>
          <w:szCs w:val="18"/>
        </w:rPr>
        <w:t xml:space="preserve"> auf d</w:t>
      </w:r>
      <w:r w:rsidR="00215BCC">
        <w:rPr>
          <w:sz w:val="22"/>
          <w:szCs w:val="18"/>
        </w:rPr>
        <w:t xml:space="preserve">ie Wirksamkeit des Blitzschutzes haben. Üblicherweise wird der Trennungsabstand </w:t>
      </w:r>
      <w:r w:rsidR="00E92B5D">
        <w:rPr>
          <w:sz w:val="22"/>
          <w:szCs w:val="18"/>
        </w:rPr>
        <w:t>anhand eines 3D-Gebäudemodell berechnet.</w:t>
      </w:r>
    </w:p>
    <w:p w14:paraId="595AF3E7" w14:textId="77777777" w:rsidR="009563BD" w:rsidRDefault="009563BD" w:rsidP="009563BD">
      <w:pPr>
        <w:jc w:val="both"/>
        <w:rPr>
          <w:sz w:val="22"/>
          <w:szCs w:val="18"/>
        </w:rPr>
      </w:pPr>
      <w:r w:rsidRPr="00C57481">
        <w:rPr>
          <w:noProof/>
          <w:sz w:val="22"/>
          <w:szCs w:val="18"/>
        </w:rPr>
        <w:lastRenderedPageBreak/>
        <w:drawing>
          <wp:inline distT="0" distB="0" distL="0" distR="0" wp14:anchorId="217D4EAD" wp14:editId="5F401305">
            <wp:extent cx="4314825" cy="2616741"/>
            <wp:effectExtent l="0" t="0" r="0" b="0"/>
            <wp:docPr id="67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 name="Picture 2"/>
                    <pic:cNvPicPr>
                      <a:picLocks noChangeAspect="1" noChangeArrowheads="1"/>
                    </pic:cNvPicPr>
                  </pic:nvPicPr>
                  <pic:blipFill>
                    <a:blip r:embed="rId9"/>
                    <a:srcRect/>
                    <a:stretch>
                      <a:fillRect/>
                    </a:stretch>
                  </pic:blipFill>
                  <pic:spPr bwMode="auto">
                    <a:xfrm>
                      <a:off x="0" y="0"/>
                      <a:ext cx="4322847" cy="2621606"/>
                    </a:xfrm>
                    <a:prstGeom prst="rect">
                      <a:avLst/>
                    </a:prstGeom>
                    <a:noFill/>
                    <a:ln w="9525">
                      <a:noFill/>
                      <a:miter lim="800000"/>
                      <a:headEnd/>
                      <a:tailEnd/>
                    </a:ln>
                  </pic:spPr>
                </pic:pic>
              </a:graphicData>
            </a:graphic>
          </wp:inline>
        </w:drawing>
      </w:r>
    </w:p>
    <w:p w14:paraId="3A2DA72B" w14:textId="77777777" w:rsidR="009563BD" w:rsidRDefault="009563BD" w:rsidP="009563BD">
      <w:pPr>
        <w:jc w:val="both"/>
        <w:rPr>
          <w:rStyle w:val="IntensiveHervorhebung"/>
          <w:color w:val="000000" w:themeColor="text1"/>
          <w:sz w:val="16"/>
          <w:szCs w:val="16"/>
        </w:rPr>
      </w:pPr>
    </w:p>
    <w:p w14:paraId="114BBC23" w14:textId="38268E4B" w:rsidR="009563BD" w:rsidRPr="009563BD" w:rsidRDefault="009563BD" w:rsidP="009563BD">
      <w:pPr>
        <w:jc w:val="both"/>
        <w:rPr>
          <w:rStyle w:val="IntensiveHervorhebung"/>
          <w:color w:val="000000" w:themeColor="text1"/>
          <w:sz w:val="16"/>
          <w:szCs w:val="16"/>
        </w:rPr>
      </w:pPr>
      <w:r w:rsidRPr="009563BD">
        <w:rPr>
          <w:rStyle w:val="IntensiveHervorhebung"/>
          <w:color w:val="000000" w:themeColor="text1"/>
          <w:sz w:val="16"/>
          <w:szCs w:val="16"/>
        </w:rPr>
        <w:t>Bild 1: Einfaches Modell eines Einfamilien-Hauses mit Garage, zwei Fangeinrichtungen und Ableitungen an den Konturen des Gebäudes. Es ergibt sich am Dachfirst ein Trennungsabstand von 33 cm (durch Material)</w:t>
      </w:r>
    </w:p>
    <w:p w14:paraId="38942ECB" w14:textId="27D3ED20" w:rsidR="00CA515D" w:rsidRDefault="00CA515D" w:rsidP="00DA3947">
      <w:pPr>
        <w:jc w:val="both"/>
        <w:rPr>
          <w:sz w:val="22"/>
          <w:szCs w:val="18"/>
        </w:rPr>
      </w:pPr>
    </w:p>
    <w:p w14:paraId="083CB421" w14:textId="3A703EE4" w:rsidR="00CA515D" w:rsidRPr="000770FC" w:rsidRDefault="00CA515D" w:rsidP="000770FC">
      <w:pPr>
        <w:spacing w:line="360" w:lineRule="auto"/>
        <w:rPr>
          <w:b/>
          <w:bCs/>
          <w:sz w:val="22"/>
          <w:szCs w:val="18"/>
        </w:rPr>
      </w:pPr>
      <w:r w:rsidRPr="000770FC">
        <w:rPr>
          <w:b/>
          <w:bCs/>
          <w:sz w:val="22"/>
          <w:szCs w:val="18"/>
        </w:rPr>
        <w:t>Dokumentation</w:t>
      </w:r>
    </w:p>
    <w:p w14:paraId="35E82A46" w14:textId="0472E0E2" w:rsidR="00317B37" w:rsidRDefault="00CA515D" w:rsidP="00DA3947">
      <w:pPr>
        <w:jc w:val="both"/>
        <w:rPr>
          <w:sz w:val="22"/>
          <w:szCs w:val="18"/>
        </w:rPr>
      </w:pPr>
      <w:r>
        <w:rPr>
          <w:sz w:val="22"/>
          <w:szCs w:val="18"/>
        </w:rPr>
        <w:t>Für den Betrieb des Gebäudes mit seiner Blitzschutzanlage ist in Deutschland ein „Blitzschutz-</w:t>
      </w:r>
      <w:proofErr w:type="spellStart"/>
      <w:r>
        <w:rPr>
          <w:sz w:val="22"/>
          <w:szCs w:val="18"/>
        </w:rPr>
        <w:t>Prüfbuch</w:t>
      </w:r>
      <w:proofErr w:type="spellEnd"/>
      <w:r>
        <w:rPr>
          <w:sz w:val="22"/>
          <w:szCs w:val="18"/>
        </w:rPr>
        <w:t>“ üblich. Es enthält neben den Berichten der vorausgegangenen Prüfungen der Blitzschutzanlage auch Ausführungsunterlagen und Planungsgrundlagen</w:t>
      </w:r>
      <w:r w:rsidR="00317B37">
        <w:rPr>
          <w:sz w:val="22"/>
          <w:szCs w:val="18"/>
        </w:rPr>
        <w:t xml:space="preserve"> (insbesondere die Trennungsabstandsberechnung). Im Detail sollten folgende Dokumente enthalten sein:</w:t>
      </w:r>
    </w:p>
    <w:p w14:paraId="462A03C9" w14:textId="77777777" w:rsidR="009563BD" w:rsidRDefault="009563BD" w:rsidP="00DA3947">
      <w:pPr>
        <w:jc w:val="both"/>
        <w:rPr>
          <w:sz w:val="22"/>
          <w:szCs w:val="18"/>
        </w:rPr>
      </w:pPr>
    </w:p>
    <w:p w14:paraId="6A2B8609" w14:textId="77777777" w:rsidR="00317B37" w:rsidRDefault="00317B37" w:rsidP="000770FC">
      <w:pPr>
        <w:pStyle w:val="Listenabsatz"/>
        <w:numPr>
          <w:ilvl w:val="0"/>
          <w:numId w:val="16"/>
        </w:numPr>
        <w:ind w:left="426"/>
        <w:jc w:val="both"/>
        <w:rPr>
          <w:sz w:val="22"/>
          <w:szCs w:val="18"/>
        </w:rPr>
      </w:pPr>
      <w:r>
        <w:rPr>
          <w:sz w:val="22"/>
          <w:szCs w:val="18"/>
        </w:rPr>
        <w:t>Prüfberichte der Erdungsanlage nach DIN 18014 oder VDE 0101-2</w:t>
      </w:r>
    </w:p>
    <w:p w14:paraId="53AC1F5B" w14:textId="77777777" w:rsidR="00317B37" w:rsidRDefault="00317B37" w:rsidP="000770FC">
      <w:pPr>
        <w:pStyle w:val="Listenabsatz"/>
        <w:numPr>
          <w:ilvl w:val="0"/>
          <w:numId w:val="16"/>
        </w:numPr>
        <w:ind w:left="426"/>
        <w:jc w:val="both"/>
        <w:rPr>
          <w:sz w:val="22"/>
          <w:szCs w:val="18"/>
        </w:rPr>
      </w:pPr>
      <w:r>
        <w:rPr>
          <w:sz w:val="22"/>
          <w:szCs w:val="18"/>
        </w:rPr>
        <w:t>Gefährdungsbeurteilung zu der Blitzgefährdung an Ex-Anlagen nach TRGS 723</w:t>
      </w:r>
    </w:p>
    <w:p w14:paraId="23D3454A" w14:textId="77777777" w:rsidR="00317B37" w:rsidRDefault="00317B37" w:rsidP="000770FC">
      <w:pPr>
        <w:pStyle w:val="Listenabsatz"/>
        <w:numPr>
          <w:ilvl w:val="0"/>
          <w:numId w:val="16"/>
        </w:numPr>
        <w:ind w:left="426"/>
        <w:jc w:val="both"/>
        <w:rPr>
          <w:sz w:val="22"/>
          <w:szCs w:val="18"/>
        </w:rPr>
      </w:pPr>
      <w:r>
        <w:rPr>
          <w:sz w:val="22"/>
          <w:szCs w:val="18"/>
        </w:rPr>
        <w:t>Ergebnis der Risikobewertung nach VDE 0185-305-2</w:t>
      </w:r>
    </w:p>
    <w:p w14:paraId="54C28664" w14:textId="77777777" w:rsidR="00317B37" w:rsidRDefault="00317B37" w:rsidP="000770FC">
      <w:pPr>
        <w:pStyle w:val="Listenabsatz"/>
        <w:numPr>
          <w:ilvl w:val="0"/>
          <w:numId w:val="16"/>
        </w:numPr>
        <w:ind w:left="426"/>
        <w:jc w:val="both"/>
        <w:rPr>
          <w:sz w:val="22"/>
          <w:szCs w:val="18"/>
        </w:rPr>
      </w:pPr>
      <w:r>
        <w:rPr>
          <w:sz w:val="22"/>
          <w:szCs w:val="18"/>
        </w:rPr>
        <w:t>Auszug aus dem Brandschutzgutachten zur Baugenehmigung, wenn es für den Blitzschutz relevante Teile enthält.</w:t>
      </w:r>
    </w:p>
    <w:p w14:paraId="7C3A3F8C" w14:textId="77777777" w:rsidR="000770FC" w:rsidRDefault="000770FC" w:rsidP="000770FC">
      <w:pPr>
        <w:jc w:val="both"/>
        <w:rPr>
          <w:sz w:val="22"/>
          <w:szCs w:val="18"/>
        </w:rPr>
      </w:pPr>
    </w:p>
    <w:p w14:paraId="7F29923B" w14:textId="4934735B" w:rsidR="00CA515D" w:rsidRPr="007E407A" w:rsidRDefault="007E407A" w:rsidP="000770FC">
      <w:pPr>
        <w:jc w:val="both"/>
        <w:rPr>
          <w:sz w:val="22"/>
          <w:szCs w:val="18"/>
        </w:rPr>
      </w:pPr>
      <w:r>
        <w:rPr>
          <w:sz w:val="22"/>
          <w:szCs w:val="18"/>
        </w:rPr>
        <w:t>Das Blitzschutz-</w:t>
      </w:r>
      <w:proofErr w:type="spellStart"/>
      <w:r>
        <w:rPr>
          <w:sz w:val="22"/>
          <w:szCs w:val="18"/>
        </w:rPr>
        <w:t>Prüfbuch</w:t>
      </w:r>
      <w:proofErr w:type="spellEnd"/>
      <w:r>
        <w:rPr>
          <w:sz w:val="22"/>
          <w:szCs w:val="18"/>
        </w:rPr>
        <w:t xml:space="preserve"> </w:t>
      </w:r>
      <w:r w:rsidR="00317B37" w:rsidRPr="007E407A">
        <w:rPr>
          <w:sz w:val="22"/>
          <w:szCs w:val="18"/>
        </w:rPr>
        <w:t xml:space="preserve">ist Basis für alle Änderungen der Blitzschutzanlage und </w:t>
      </w:r>
      <w:r>
        <w:rPr>
          <w:sz w:val="22"/>
          <w:szCs w:val="18"/>
        </w:rPr>
        <w:t>für einen sicheren Betrieb.</w:t>
      </w:r>
    </w:p>
    <w:p w14:paraId="34304CCD" w14:textId="76EC7C3B" w:rsidR="00DA3947" w:rsidRPr="00FE2C3A" w:rsidRDefault="00D2216A" w:rsidP="00FE2C3A">
      <w:pPr>
        <w:spacing w:line="360" w:lineRule="auto"/>
        <w:rPr>
          <w:rFonts w:cs="Arial"/>
          <w:sz w:val="22"/>
          <w:szCs w:val="22"/>
        </w:rPr>
      </w:pPr>
      <w:r w:rsidRPr="00DA3947">
        <w:rPr>
          <w:rFonts w:cs="Arial"/>
        </w:rPr>
        <w:br/>
      </w:r>
      <w:r w:rsidR="007E407A">
        <w:rPr>
          <w:b/>
          <w:bCs/>
          <w:sz w:val="22"/>
          <w:szCs w:val="18"/>
        </w:rPr>
        <w:t>Prüfungen</w:t>
      </w:r>
    </w:p>
    <w:p w14:paraId="4EDB1FCD" w14:textId="4D7DE316" w:rsidR="009B4093" w:rsidRDefault="009B4093" w:rsidP="009B4093">
      <w:pPr>
        <w:jc w:val="both"/>
        <w:rPr>
          <w:sz w:val="22"/>
          <w:szCs w:val="18"/>
        </w:rPr>
      </w:pPr>
      <w:r w:rsidRPr="009B4093">
        <w:rPr>
          <w:sz w:val="22"/>
          <w:szCs w:val="18"/>
        </w:rPr>
        <w:t xml:space="preserve">Prüfungen von Blitzschutzanlagen gliedern sich klassisch in Sichtprüfungen und umfassende Prüfungen. </w:t>
      </w:r>
      <w:r>
        <w:rPr>
          <w:sz w:val="22"/>
          <w:szCs w:val="18"/>
        </w:rPr>
        <w:t>Folgende Fristen haben sich in Deutschland etabliert:</w:t>
      </w:r>
    </w:p>
    <w:p w14:paraId="717D9B08" w14:textId="77777777" w:rsidR="000770FC" w:rsidRPr="009B4093" w:rsidRDefault="000770FC" w:rsidP="009B4093">
      <w:pPr>
        <w:jc w:val="both"/>
        <w:rPr>
          <w:sz w:val="22"/>
          <w:szCs w:val="18"/>
        </w:rPr>
      </w:pPr>
    </w:p>
    <w:tbl>
      <w:tblPr>
        <w:tblStyle w:val="Tabellenraster"/>
        <w:tblW w:w="0" w:type="auto"/>
        <w:tblLook w:val="04A0" w:firstRow="1" w:lastRow="0" w:firstColumn="1" w:lastColumn="0" w:noHBand="0" w:noVBand="1"/>
      </w:tblPr>
      <w:tblGrid>
        <w:gridCol w:w="2407"/>
        <w:gridCol w:w="1699"/>
        <w:gridCol w:w="2693"/>
      </w:tblGrid>
      <w:tr w:rsidR="009B4093" w:rsidRPr="000770FC" w14:paraId="0882AD70" w14:textId="77777777" w:rsidTr="000770FC">
        <w:tc>
          <w:tcPr>
            <w:tcW w:w="2407" w:type="dxa"/>
          </w:tcPr>
          <w:p w14:paraId="5BE663DA" w14:textId="33E4150E" w:rsidR="009B4093" w:rsidRPr="000770FC" w:rsidRDefault="009B4093" w:rsidP="009B4093">
            <w:pPr>
              <w:jc w:val="both"/>
              <w:rPr>
                <w:b/>
                <w:bCs/>
                <w:sz w:val="22"/>
                <w:szCs w:val="18"/>
              </w:rPr>
            </w:pPr>
            <w:r w:rsidRPr="000770FC">
              <w:rPr>
                <w:b/>
                <w:bCs/>
                <w:sz w:val="22"/>
                <w:szCs w:val="18"/>
              </w:rPr>
              <w:t>Blitzschutzklasse</w:t>
            </w:r>
          </w:p>
        </w:tc>
        <w:tc>
          <w:tcPr>
            <w:tcW w:w="1699" w:type="dxa"/>
          </w:tcPr>
          <w:p w14:paraId="309198BC" w14:textId="00FB6C95" w:rsidR="009B4093" w:rsidRPr="000770FC" w:rsidRDefault="009B4093" w:rsidP="009B4093">
            <w:pPr>
              <w:jc w:val="both"/>
              <w:rPr>
                <w:b/>
                <w:bCs/>
                <w:sz w:val="22"/>
                <w:szCs w:val="18"/>
              </w:rPr>
            </w:pPr>
            <w:r w:rsidRPr="000770FC">
              <w:rPr>
                <w:b/>
                <w:bCs/>
                <w:sz w:val="22"/>
                <w:szCs w:val="18"/>
              </w:rPr>
              <w:t>Sichtprüfung</w:t>
            </w:r>
          </w:p>
        </w:tc>
        <w:tc>
          <w:tcPr>
            <w:tcW w:w="2693" w:type="dxa"/>
          </w:tcPr>
          <w:p w14:paraId="5C9D2568" w14:textId="58573114" w:rsidR="009B4093" w:rsidRPr="000770FC" w:rsidRDefault="009B4093" w:rsidP="009B4093">
            <w:pPr>
              <w:jc w:val="both"/>
              <w:rPr>
                <w:b/>
                <w:bCs/>
                <w:sz w:val="22"/>
                <w:szCs w:val="18"/>
              </w:rPr>
            </w:pPr>
            <w:r w:rsidRPr="000770FC">
              <w:rPr>
                <w:b/>
                <w:bCs/>
                <w:sz w:val="22"/>
                <w:szCs w:val="18"/>
              </w:rPr>
              <w:t>Umfassende Prüfung</w:t>
            </w:r>
          </w:p>
        </w:tc>
      </w:tr>
      <w:tr w:rsidR="009B4093" w14:paraId="634E2AA7" w14:textId="77777777" w:rsidTr="000770FC">
        <w:tc>
          <w:tcPr>
            <w:tcW w:w="2407" w:type="dxa"/>
          </w:tcPr>
          <w:p w14:paraId="18446760" w14:textId="7A153A93" w:rsidR="009B4093" w:rsidRDefault="009B4093" w:rsidP="009B4093">
            <w:pPr>
              <w:jc w:val="both"/>
              <w:rPr>
                <w:sz w:val="22"/>
                <w:szCs w:val="18"/>
              </w:rPr>
            </w:pPr>
            <w:r>
              <w:rPr>
                <w:sz w:val="22"/>
                <w:szCs w:val="18"/>
              </w:rPr>
              <w:t>I und II</w:t>
            </w:r>
          </w:p>
        </w:tc>
        <w:tc>
          <w:tcPr>
            <w:tcW w:w="1699" w:type="dxa"/>
          </w:tcPr>
          <w:p w14:paraId="133E7E82" w14:textId="42CA9BAC" w:rsidR="009B4093" w:rsidRDefault="009B4093" w:rsidP="009B4093">
            <w:pPr>
              <w:jc w:val="both"/>
              <w:rPr>
                <w:sz w:val="22"/>
                <w:szCs w:val="18"/>
              </w:rPr>
            </w:pPr>
            <w:r>
              <w:rPr>
                <w:sz w:val="22"/>
                <w:szCs w:val="18"/>
              </w:rPr>
              <w:t>1 Jahr</w:t>
            </w:r>
          </w:p>
        </w:tc>
        <w:tc>
          <w:tcPr>
            <w:tcW w:w="2693" w:type="dxa"/>
          </w:tcPr>
          <w:p w14:paraId="5F87F048" w14:textId="3E29BA0D" w:rsidR="009B4093" w:rsidRDefault="009B4093" w:rsidP="009B4093">
            <w:pPr>
              <w:jc w:val="both"/>
              <w:rPr>
                <w:sz w:val="22"/>
                <w:szCs w:val="18"/>
              </w:rPr>
            </w:pPr>
            <w:r>
              <w:rPr>
                <w:sz w:val="22"/>
                <w:szCs w:val="18"/>
              </w:rPr>
              <w:t>2 Jahre</w:t>
            </w:r>
          </w:p>
        </w:tc>
      </w:tr>
      <w:tr w:rsidR="009B4093" w14:paraId="133FA073" w14:textId="77777777" w:rsidTr="000770FC">
        <w:tc>
          <w:tcPr>
            <w:tcW w:w="2407" w:type="dxa"/>
          </w:tcPr>
          <w:p w14:paraId="48C7274D" w14:textId="6980C99D" w:rsidR="009B4093" w:rsidRDefault="009B4093" w:rsidP="009B4093">
            <w:pPr>
              <w:jc w:val="both"/>
              <w:rPr>
                <w:sz w:val="22"/>
                <w:szCs w:val="18"/>
              </w:rPr>
            </w:pPr>
            <w:r>
              <w:rPr>
                <w:sz w:val="22"/>
                <w:szCs w:val="18"/>
              </w:rPr>
              <w:t>III und IV</w:t>
            </w:r>
          </w:p>
        </w:tc>
        <w:tc>
          <w:tcPr>
            <w:tcW w:w="1699" w:type="dxa"/>
          </w:tcPr>
          <w:p w14:paraId="1B3B9EA0" w14:textId="29B767FE" w:rsidR="009B4093" w:rsidRDefault="009B4093" w:rsidP="009B4093">
            <w:pPr>
              <w:jc w:val="both"/>
              <w:rPr>
                <w:sz w:val="22"/>
                <w:szCs w:val="18"/>
              </w:rPr>
            </w:pPr>
            <w:r>
              <w:rPr>
                <w:sz w:val="22"/>
                <w:szCs w:val="18"/>
              </w:rPr>
              <w:t>2 Jahre</w:t>
            </w:r>
          </w:p>
        </w:tc>
        <w:tc>
          <w:tcPr>
            <w:tcW w:w="2693" w:type="dxa"/>
          </w:tcPr>
          <w:p w14:paraId="594117F2" w14:textId="25B00A76" w:rsidR="009B4093" w:rsidRDefault="009B4093" w:rsidP="009B4093">
            <w:pPr>
              <w:jc w:val="both"/>
              <w:rPr>
                <w:sz w:val="22"/>
                <w:szCs w:val="18"/>
              </w:rPr>
            </w:pPr>
            <w:r>
              <w:rPr>
                <w:sz w:val="22"/>
                <w:szCs w:val="18"/>
              </w:rPr>
              <w:t>4 Jahre</w:t>
            </w:r>
          </w:p>
        </w:tc>
      </w:tr>
    </w:tbl>
    <w:p w14:paraId="09EBFFFD" w14:textId="77777777" w:rsidR="000770FC" w:rsidRDefault="000770FC" w:rsidP="00AB24B8">
      <w:pPr>
        <w:jc w:val="both"/>
        <w:rPr>
          <w:rFonts w:cs="Arial"/>
          <w:bCs/>
          <w:sz w:val="22"/>
          <w:szCs w:val="22"/>
        </w:rPr>
      </w:pPr>
    </w:p>
    <w:p w14:paraId="16A87860" w14:textId="6FF18330" w:rsidR="0070689A" w:rsidRDefault="00F67E7D" w:rsidP="00AB24B8">
      <w:pPr>
        <w:jc w:val="both"/>
        <w:rPr>
          <w:rFonts w:cs="Arial"/>
          <w:bCs/>
          <w:sz w:val="22"/>
          <w:szCs w:val="22"/>
        </w:rPr>
      </w:pPr>
      <w:r w:rsidRPr="00FE2C3A">
        <w:rPr>
          <w:rFonts w:cs="Arial"/>
          <w:bCs/>
          <w:sz w:val="22"/>
          <w:szCs w:val="22"/>
        </w:rPr>
        <w:t>Für Anlagen mit Ex-Bereichen sind die Prüffristen und Prüfumfänge nach TRGS 723 und VDE 0105-305-3 Anhang D besonders zu ermitteln.</w:t>
      </w:r>
      <w:r w:rsidR="009563BD">
        <w:rPr>
          <w:rFonts w:cs="Arial"/>
          <w:bCs/>
          <w:sz w:val="22"/>
          <w:szCs w:val="22"/>
        </w:rPr>
        <w:t xml:space="preserve"> </w:t>
      </w:r>
      <w:r w:rsidRPr="00FE2C3A">
        <w:rPr>
          <w:rFonts w:cs="Arial"/>
          <w:bCs/>
          <w:sz w:val="22"/>
          <w:szCs w:val="22"/>
        </w:rPr>
        <w:t>Mit Hilfe einer Gefährdungsbeurteilung kann auch an allen anderen Blitzschutzanlagen die Prüffrist ermittelt werden.</w:t>
      </w:r>
    </w:p>
    <w:p w14:paraId="4D363385" w14:textId="1F42CD4A" w:rsidR="0070689A" w:rsidRDefault="0070689A" w:rsidP="00AB24B8">
      <w:pPr>
        <w:jc w:val="both"/>
        <w:rPr>
          <w:rFonts w:cs="Arial"/>
          <w:bCs/>
          <w:sz w:val="22"/>
          <w:szCs w:val="22"/>
        </w:rPr>
      </w:pPr>
      <w:r>
        <w:rPr>
          <w:rFonts w:cs="Arial"/>
          <w:bCs/>
          <w:sz w:val="22"/>
          <w:szCs w:val="22"/>
        </w:rPr>
        <w:lastRenderedPageBreak/>
        <w:t xml:space="preserve">Bei der messtechnischen Prüfung sind die Erdungswiderstände aller </w:t>
      </w:r>
      <w:proofErr w:type="spellStart"/>
      <w:r>
        <w:rPr>
          <w:rFonts w:cs="Arial"/>
          <w:bCs/>
          <w:sz w:val="22"/>
          <w:szCs w:val="22"/>
        </w:rPr>
        <w:t>Einzelerder</w:t>
      </w:r>
      <w:proofErr w:type="spellEnd"/>
      <w:r>
        <w:rPr>
          <w:rFonts w:cs="Arial"/>
          <w:bCs/>
          <w:sz w:val="22"/>
          <w:szCs w:val="22"/>
        </w:rPr>
        <w:t xml:space="preserve"> zu ermitteln, die Durchgängigkeit der Ableiter und der Verbindungen im Erdungssystem. Dazu kann auch eine „Doppelzange“ oder „Erdungsmesszange“ benutzt werden. Sofern möglich ist auch der gesamt-Erdungswiderstand zu ermitteln, dies erfolgt dann mit einem Erdungsprüfgerät oder Installationstester nach DIN EN 61557-4.</w:t>
      </w:r>
    </w:p>
    <w:p w14:paraId="4AD1AEBB" w14:textId="77777777" w:rsidR="009563BD" w:rsidRDefault="009563BD" w:rsidP="00AB24B8">
      <w:pPr>
        <w:jc w:val="both"/>
        <w:rPr>
          <w:rFonts w:cs="Arial"/>
          <w:bCs/>
          <w:sz w:val="22"/>
          <w:szCs w:val="22"/>
        </w:rPr>
      </w:pPr>
    </w:p>
    <w:p w14:paraId="02850590" w14:textId="60CA454E" w:rsidR="004A0C51" w:rsidRPr="00DA3947" w:rsidRDefault="0070689A" w:rsidP="00AB24B8">
      <w:pPr>
        <w:jc w:val="both"/>
        <w:rPr>
          <w:rFonts w:cs="Arial"/>
          <w:b/>
          <w:sz w:val="22"/>
          <w:szCs w:val="22"/>
        </w:rPr>
      </w:pPr>
      <w:r>
        <w:rPr>
          <w:rFonts w:cs="Arial"/>
          <w:bCs/>
          <w:sz w:val="22"/>
          <w:szCs w:val="22"/>
        </w:rPr>
        <w:t xml:space="preserve">Je nach Alter und Zustand der Anlage sind auch probeweise Aufgrabungen der Erdungsanlage </w:t>
      </w:r>
      <w:proofErr w:type="gramStart"/>
      <w:r>
        <w:rPr>
          <w:rFonts w:cs="Arial"/>
          <w:bCs/>
          <w:sz w:val="22"/>
          <w:szCs w:val="22"/>
        </w:rPr>
        <w:t>vorzusehen</w:t>
      </w:r>
      <w:proofErr w:type="gramEnd"/>
      <w:r>
        <w:rPr>
          <w:rFonts w:cs="Arial"/>
          <w:bCs/>
          <w:sz w:val="22"/>
          <w:szCs w:val="22"/>
        </w:rPr>
        <w:t xml:space="preserve"> um den Korrosionszustand zu bewerten. </w:t>
      </w:r>
      <w:r w:rsidR="004A0C51" w:rsidRPr="00DA3947">
        <w:rPr>
          <w:rFonts w:cs="Arial"/>
          <w:b/>
          <w:sz w:val="22"/>
          <w:szCs w:val="22"/>
        </w:rPr>
        <w:br w:type="page"/>
      </w:r>
    </w:p>
    <w:p w14:paraId="2268C552" w14:textId="77777777" w:rsidR="009712F5" w:rsidRPr="00AB24B8" w:rsidRDefault="009712F5" w:rsidP="00AB24B8">
      <w:pPr>
        <w:jc w:val="both"/>
        <w:rPr>
          <w:noProof/>
          <w:color w:val="000000" w:themeColor="text1"/>
        </w:rPr>
      </w:pPr>
    </w:p>
    <w:tbl>
      <w:tblPr>
        <w:tblW w:w="9618"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1"/>
        <w:gridCol w:w="2970"/>
        <w:gridCol w:w="3667"/>
      </w:tblGrid>
      <w:tr w:rsidR="00AB24B8" w:rsidRPr="00AB24B8" w14:paraId="2D91FDB2" w14:textId="77777777" w:rsidTr="00CF57D9">
        <w:trPr>
          <w:trHeight w:hRule="exact" w:val="765"/>
        </w:trPr>
        <w:tc>
          <w:tcPr>
            <w:tcW w:w="2981" w:type="dxa"/>
            <w:tcBorders>
              <w:top w:val="single" w:sz="12" w:space="0" w:color="auto"/>
              <w:bottom w:val="single" w:sz="12" w:space="0" w:color="auto"/>
            </w:tcBorders>
            <w:vAlign w:val="center"/>
          </w:tcPr>
          <w:p w14:paraId="45642F14" w14:textId="178FCBAA"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Teilnehmer</w:t>
            </w:r>
          </w:p>
        </w:tc>
        <w:tc>
          <w:tcPr>
            <w:tcW w:w="2970" w:type="dxa"/>
            <w:tcBorders>
              <w:top w:val="single" w:sz="12" w:space="0" w:color="auto"/>
              <w:bottom w:val="single" w:sz="12" w:space="0" w:color="auto"/>
            </w:tcBorders>
            <w:vAlign w:val="center"/>
          </w:tcPr>
          <w:p w14:paraId="2F6EE0B8"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4BAFAD23" w14:textId="77777777" w:rsidR="00F87883" w:rsidRPr="00AB24B8" w:rsidRDefault="00F87883" w:rsidP="00AB24B8">
            <w:pPr>
              <w:ind w:right="-1"/>
              <w:jc w:val="both"/>
              <w:rPr>
                <w:rFonts w:cs="Arial"/>
                <w:b/>
                <w:color w:val="000000" w:themeColor="text1"/>
                <w:sz w:val="22"/>
                <w:szCs w:val="22"/>
              </w:rPr>
            </w:pPr>
            <w:r w:rsidRPr="00AB24B8">
              <w:rPr>
                <w:rFonts w:cs="Arial"/>
                <w:b/>
                <w:color w:val="000000" w:themeColor="text1"/>
                <w:sz w:val="22"/>
                <w:szCs w:val="22"/>
              </w:rPr>
              <w:t xml:space="preserve">Unterschrift </w:t>
            </w:r>
            <w:r w:rsidRPr="00AB24B8">
              <w:rPr>
                <w:rFonts w:cs="Arial"/>
                <w:color w:val="000000" w:themeColor="text1"/>
                <w:sz w:val="22"/>
                <w:szCs w:val="22"/>
              </w:rPr>
              <w:t>*)</w:t>
            </w:r>
          </w:p>
        </w:tc>
      </w:tr>
      <w:tr w:rsidR="00AB24B8" w:rsidRPr="00AB24B8" w14:paraId="4817344F" w14:textId="77777777" w:rsidTr="00CF57D9">
        <w:trPr>
          <w:trHeight w:val="572"/>
        </w:trPr>
        <w:tc>
          <w:tcPr>
            <w:tcW w:w="2981" w:type="dxa"/>
            <w:tcBorders>
              <w:top w:val="single" w:sz="12" w:space="0" w:color="auto"/>
            </w:tcBorders>
            <w:vAlign w:val="center"/>
          </w:tcPr>
          <w:p w14:paraId="54BE514E" w14:textId="77777777" w:rsidR="00F87883" w:rsidRPr="00AB24B8" w:rsidRDefault="00F87883" w:rsidP="00AB24B8">
            <w:pPr>
              <w:ind w:right="-1"/>
              <w:jc w:val="both"/>
              <w:rPr>
                <w:rFonts w:cs="Arial"/>
                <w:color w:val="000000" w:themeColor="text1"/>
                <w:sz w:val="22"/>
                <w:szCs w:val="22"/>
              </w:rPr>
            </w:pPr>
          </w:p>
        </w:tc>
        <w:tc>
          <w:tcPr>
            <w:tcW w:w="2970" w:type="dxa"/>
            <w:tcBorders>
              <w:top w:val="single" w:sz="12" w:space="0" w:color="auto"/>
            </w:tcBorders>
            <w:vAlign w:val="center"/>
          </w:tcPr>
          <w:p w14:paraId="24420DA8" w14:textId="77777777" w:rsidR="00F87883" w:rsidRPr="00AB24B8" w:rsidRDefault="00F87883" w:rsidP="00AB24B8">
            <w:pPr>
              <w:ind w:right="-1"/>
              <w:jc w:val="both"/>
              <w:rPr>
                <w:rFonts w:cs="Arial"/>
                <w:color w:val="000000" w:themeColor="text1"/>
                <w:sz w:val="22"/>
                <w:szCs w:val="22"/>
              </w:rPr>
            </w:pPr>
          </w:p>
        </w:tc>
        <w:tc>
          <w:tcPr>
            <w:tcW w:w="3667" w:type="dxa"/>
            <w:tcBorders>
              <w:top w:val="single" w:sz="12" w:space="0" w:color="auto"/>
            </w:tcBorders>
            <w:vAlign w:val="center"/>
          </w:tcPr>
          <w:p w14:paraId="1512A43A" w14:textId="77777777" w:rsidR="00F87883" w:rsidRPr="00AB24B8" w:rsidRDefault="00F87883" w:rsidP="00AB24B8">
            <w:pPr>
              <w:ind w:right="-1"/>
              <w:jc w:val="both"/>
              <w:rPr>
                <w:rFonts w:cs="Arial"/>
                <w:color w:val="000000" w:themeColor="text1"/>
                <w:sz w:val="22"/>
                <w:szCs w:val="22"/>
              </w:rPr>
            </w:pPr>
          </w:p>
          <w:p w14:paraId="0732EF69" w14:textId="77777777" w:rsidR="00F87883" w:rsidRPr="00AB24B8" w:rsidRDefault="00F87883" w:rsidP="00AB24B8">
            <w:pPr>
              <w:ind w:right="-1"/>
              <w:jc w:val="both"/>
              <w:rPr>
                <w:rFonts w:cs="Arial"/>
                <w:color w:val="000000" w:themeColor="text1"/>
                <w:sz w:val="22"/>
                <w:szCs w:val="22"/>
              </w:rPr>
            </w:pPr>
          </w:p>
        </w:tc>
      </w:tr>
      <w:tr w:rsidR="00AB24B8" w:rsidRPr="00AB24B8" w14:paraId="52977B13" w14:textId="77777777" w:rsidTr="00CF57D9">
        <w:trPr>
          <w:trHeight w:val="572"/>
        </w:trPr>
        <w:tc>
          <w:tcPr>
            <w:tcW w:w="2981" w:type="dxa"/>
            <w:vAlign w:val="center"/>
          </w:tcPr>
          <w:p w14:paraId="3D3E982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255F3D99"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51CAE9FA" w14:textId="77777777" w:rsidR="00F87883" w:rsidRPr="00AB24B8" w:rsidRDefault="00F87883" w:rsidP="00AB24B8">
            <w:pPr>
              <w:ind w:right="-1"/>
              <w:jc w:val="both"/>
              <w:rPr>
                <w:rFonts w:cs="Arial"/>
                <w:color w:val="000000" w:themeColor="text1"/>
                <w:sz w:val="22"/>
                <w:szCs w:val="22"/>
              </w:rPr>
            </w:pPr>
          </w:p>
          <w:p w14:paraId="707EFC07" w14:textId="77777777" w:rsidR="00F87883" w:rsidRPr="00AB24B8" w:rsidRDefault="00F87883" w:rsidP="00AB24B8">
            <w:pPr>
              <w:ind w:right="-1"/>
              <w:jc w:val="both"/>
              <w:rPr>
                <w:rFonts w:cs="Arial"/>
                <w:color w:val="000000" w:themeColor="text1"/>
                <w:sz w:val="22"/>
                <w:szCs w:val="22"/>
              </w:rPr>
            </w:pPr>
          </w:p>
        </w:tc>
      </w:tr>
      <w:tr w:rsidR="00AB24B8" w:rsidRPr="00AB24B8" w14:paraId="0123FA40" w14:textId="77777777" w:rsidTr="00CF57D9">
        <w:trPr>
          <w:trHeight w:val="557"/>
        </w:trPr>
        <w:tc>
          <w:tcPr>
            <w:tcW w:w="2981" w:type="dxa"/>
            <w:vAlign w:val="center"/>
          </w:tcPr>
          <w:p w14:paraId="18595C59"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7389102"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01FC8EE" w14:textId="77777777" w:rsidR="00F87883" w:rsidRPr="00AB24B8" w:rsidRDefault="00F87883" w:rsidP="00AB24B8">
            <w:pPr>
              <w:ind w:right="-1"/>
              <w:jc w:val="both"/>
              <w:rPr>
                <w:rFonts w:cs="Arial"/>
                <w:color w:val="000000" w:themeColor="text1"/>
                <w:sz w:val="22"/>
                <w:szCs w:val="22"/>
              </w:rPr>
            </w:pPr>
          </w:p>
          <w:p w14:paraId="2E6C05B7" w14:textId="77777777" w:rsidR="00F87883" w:rsidRPr="00AB24B8" w:rsidRDefault="00F87883" w:rsidP="00AB24B8">
            <w:pPr>
              <w:ind w:right="-1"/>
              <w:jc w:val="both"/>
              <w:rPr>
                <w:rFonts w:cs="Arial"/>
                <w:color w:val="000000" w:themeColor="text1"/>
                <w:sz w:val="22"/>
                <w:szCs w:val="22"/>
              </w:rPr>
            </w:pPr>
          </w:p>
        </w:tc>
      </w:tr>
      <w:tr w:rsidR="00AB24B8" w:rsidRPr="00AB24B8" w14:paraId="45B9A57E" w14:textId="77777777" w:rsidTr="00CF57D9">
        <w:trPr>
          <w:trHeight w:val="557"/>
        </w:trPr>
        <w:tc>
          <w:tcPr>
            <w:tcW w:w="2981" w:type="dxa"/>
            <w:vAlign w:val="center"/>
          </w:tcPr>
          <w:p w14:paraId="5C4428A3"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D7E8A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1F063CFF" w14:textId="77777777" w:rsidR="00F87883" w:rsidRPr="00AB24B8" w:rsidRDefault="00F87883" w:rsidP="00AB24B8">
            <w:pPr>
              <w:ind w:right="-1"/>
              <w:jc w:val="both"/>
              <w:rPr>
                <w:rFonts w:cs="Arial"/>
                <w:color w:val="000000" w:themeColor="text1"/>
                <w:sz w:val="22"/>
                <w:szCs w:val="22"/>
              </w:rPr>
            </w:pPr>
          </w:p>
          <w:p w14:paraId="4D5EB7AF" w14:textId="77777777" w:rsidR="00F87883" w:rsidRPr="00AB24B8" w:rsidRDefault="00F87883" w:rsidP="00AB24B8">
            <w:pPr>
              <w:ind w:right="-1"/>
              <w:jc w:val="both"/>
              <w:rPr>
                <w:rFonts w:cs="Arial"/>
                <w:color w:val="000000" w:themeColor="text1"/>
                <w:sz w:val="22"/>
                <w:szCs w:val="22"/>
              </w:rPr>
            </w:pPr>
          </w:p>
        </w:tc>
      </w:tr>
      <w:tr w:rsidR="00AB24B8" w:rsidRPr="00AB24B8" w14:paraId="6E158E36" w14:textId="77777777" w:rsidTr="00CF57D9">
        <w:trPr>
          <w:trHeight w:val="572"/>
        </w:trPr>
        <w:tc>
          <w:tcPr>
            <w:tcW w:w="2981" w:type="dxa"/>
            <w:vAlign w:val="center"/>
          </w:tcPr>
          <w:p w14:paraId="7E0EA258"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1277066E"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7B3E5232" w14:textId="77777777" w:rsidR="00F87883" w:rsidRPr="00AB24B8" w:rsidRDefault="00F87883" w:rsidP="00AB24B8">
            <w:pPr>
              <w:ind w:right="-1"/>
              <w:jc w:val="both"/>
              <w:rPr>
                <w:rFonts w:cs="Arial"/>
                <w:color w:val="000000" w:themeColor="text1"/>
                <w:sz w:val="22"/>
                <w:szCs w:val="22"/>
              </w:rPr>
            </w:pPr>
          </w:p>
          <w:p w14:paraId="20E436C3" w14:textId="77777777" w:rsidR="00F87883" w:rsidRPr="00AB24B8" w:rsidRDefault="00F87883" w:rsidP="00AB24B8">
            <w:pPr>
              <w:ind w:right="-1"/>
              <w:jc w:val="both"/>
              <w:rPr>
                <w:rFonts w:cs="Arial"/>
                <w:color w:val="000000" w:themeColor="text1"/>
                <w:sz w:val="22"/>
                <w:szCs w:val="22"/>
              </w:rPr>
            </w:pPr>
          </w:p>
        </w:tc>
      </w:tr>
      <w:tr w:rsidR="00AB24B8" w:rsidRPr="00AB24B8" w14:paraId="684CB588" w14:textId="77777777" w:rsidTr="00CF57D9">
        <w:trPr>
          <w:trHeight w:val="557"/>
        </w:trPr>
        <w:tc>
          <w:tcPr>
            <w:tcW w:w="2981" w:type="dxa"/>
            <w:vAlign w:val="center"/>
          </w:tcPr>
          <w:p w14:paraId="4BFD905F"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599875EF"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48F14178" w14:textId="77777777" w:rsidR="00F87883" w:rsidRPr="00AB24B8" w:rsidRDefault="00F87883" w:rsidP="00AB24B8">
            <w:pPr>
              <w:ind w:right="-1"/>
              <w:jc w:val="both"/>
              <w:rPr>
                <w:rFonts w:cs="Arial"/>
                <w:color w:val="000000" w:themeColor="text1"/>
                <w:sz w:val="22"/>
                <w:szCs w:val="22"/>
              </w:rPr>
            </w:pPr>
          </w:p>
          <w:p w14:paraId="6A6964CB" w14:textId="77777777" w:rsidR="00F87883" w:rsidRPr="00AB24B8" w:rsidRDefault="00F87883" w:rsidP="00AB24B8">
            <w:pPr>
              <w:ind w:right="-1"/>
              <w:jc w:val="both"/>
              <w:rPr>
                <w:rFonts w:cs="Arial"/>
                <w:color w:val="000000" w:themeColor="text1"/>
                <w:sz w:val="22"/>
                <w:szCs w:val="22"/>
              </w:rPr>
            </w:pPr>
          </w:p>
        </w:tc>
      </w:tr>
      <w:tr w:rsidR="00AB24B8" w:rsidRPr="00AB24B8" w14:paraId="2406A8D9" w14:textId="77777777" w:rsidTr="00CF57D9">
        <w:trPr>
          <w:trHeight w:val="572"/>
        </w:trPr>
        <w:tc>
          <w:tcPr>
            <w:tcW w:w="2981" w:type="dxa"/>
            <w:vAlign w:val="center"/>
          </w:tcPr>
          <w:p w14:paraId="61DD10E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8DF2ADD"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247C472A" w14:textId="77777777" w:rsidR="00F87883" w:rsidRPr="00AB24B8" w:rsidRDefault="00F87883" w:rsidP="00AB24B8">
            <w:pPr>
              <w:ind w:right="-1"/>
              <w:jc w:val="both"/>
              <w:rPr>
                <w:rFonts w:cs="Arial"/>
                <w:color w:val="000000" w:themeColor="text1"/>
                <w:sz w:val="22"/>
                <w:szCs w:val="22"/>
              </w:rPr>
            </w:pPr>
          </w:p>
          <w:p w14:paraId="4EC2D8DE" w14:textId="77777777" w:rsidR="00F87883" w:rsidRPr="00AB24B8" w:rsidRDefault="00F87883" w:rsidP="00AB24B8">
            <w:pPr>
              <w:ind w:right="-1"/>
              <w:jc w:val="both"/>
              <w:rPr>
                <w:rFonts w:cs="Arial"/>
                <w:color w:val="000000" w:themeColor="text1"/>
                <w:sz w:val="22"/>
                <w:szCs w:val="22"/>
              </w:rPr>
            </w:pPr>
          </w:p>
        </w:tc>
      </w:tr>
      <w:tr w:rsidR="00AB24B8" w:rsidRPr="00AB24B8" w14:paraId="5DCD1ACE" w14:textId="77777777" w:rsidTr="00CF57D9">
        <w:trPr>
          <w:trHeight w:val="557"/>
        </w:trPr>
        <w:tc>
          <w:tcPr>
            <w:tcW w:w="2981" w:type="dxa"/>
            <w:vAlign w:val="center"/>
          </w:tcPr>
          <w:p w14:paraId="2E884B66"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DC1553B"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CEF95B8" w14:textId="77777777" w:rsidR="00F87883" w:rsidRPr="00AB24B8" w:rsidRDefault="00F87883" w:rsidP="00AB24B8">
            <w:pPr>
              <w:ind w:right="-1"/>
              <w:jc w:val="both"/>
              <w:rPr>
                <w:rFonts w:cs="Arial"/>
                <w:color w:val="000000" w:themeColor="text1"/>
                <w:sz w:val="22"/>
                <w:szCs w:val="22"/>
              </w:rPr>
            </w:pPr>
          </w:p>
          <w:p w14:paraId="4E4F9327" w14:textId="77777777" w:rsidR="00F87883" w:rsidRPr="00AB24B8" w:rsidRDefault="00F87883" w:rsidP="00AB24B8">
            <w:pPr>
              <w:ind w:right="-1"/>
              <w:jc w:val="both"/>
              <w:rPr>
                <w:rFonts w:cs="Arial"/>
                <w:color w:val="000000" w:themeColor="text1"/>
                <w:sz w:val="22"/>
                <w:szCs w:val="22"/>
              </w:rPr>
            </w:pPr>
          </w:p>
        </w:tc>
      </w:tr>
      <w:tr w:rsidR="00AB24B8" w:rsidRPr="00AB24B8" w14:paraId="1D8BD99D" w14:textId="77777777" w:rsidTr="00CF57D9">
        <w:trPr>
          <w:trHeight w:val="572"/>
        </w:trPr>
        <w:tc>
          <w:tcPr>
            <w:tcW w:w="2981" w:type="dxa"/>
            <w:vAlign w:val="center"/>
          </w:tcPr>
          <w:p w14:paraId="208A304C"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706B96D1"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6A85CD81" w14:textId="77777777" w:rsidR="00F87883" w:rsidRPr="00AB24B8" w:rsidRDefault="00F87883" w:rsidP="00AB24B8">
            <w:pPr>
              <w:ind w:right="-1"/>
              <w:jc w:val="both"/>
              <w:rPr>
                <w:rFonts w:cs="Arial"/>
                <w:color w:val="000000" w:themeColor="text1"/>
                <w:sz w:val="22"/>
                <w:szCs w:val="22"/>
              </w:rPr>
            </w:pPr>
          </w:p>
          <w:p w14:paraId="2A29B830" w14:textId="77777777" w:rsidR="00F87883" w:rsidRPr="00AB24B8" w:rsidRDefault="00F87883" w:rsidP="00AB24B8">
            <w:pPr>
              <w:ind w:right="-1"/>
              <w:jc w:val="both"/>
              <w:rPr>
                <w:rFonts w:cs="Arial"/>
                <w:color w:val="000000" w:themeColor="text1"/>
                <w:sz w:val="22"/>
                <w:szCs w:val="22"/>
              </w:rPr>
            </w:pPr>
          </w:p>
        </w:tc>
      </w:tr>
      <w:tr w:rsidR="00AB24B8" w:rsidRPr="00AB24B8" w14:paraId="787FCACD" w14:textId="77777777" w:rsidTr="00CF57D9">
        <w:trPr>
          <w:trHeight w:val="557"/>
        </w:trPr>
        <w:tc>
          <w:tcPr>
            <w:tcW w:w="2981" w:type="dxa"/>
            <w:vAlign w:val="center"/>
          </w:tcPr>
          <w:p w14:paraId="19281D27" w14:textId="77777777" w:rsidR="00F87883" w:rsidRPr="00AB24B8" w:rsidRDefault="00F87883" w:rsidP="00AB24B8">
            <w:pPr>
              <w:ind w:right="-1"/>
              <w:jc w:val="both"/>
              <w:rPr>
                <w:rFonts w:cs="Arial"/>
                <w:color w:val="000000" w:themeColor="text1"/>
                <w:sz w:val="22"/>
                <w:szCs w:val="22"/>
              </w:rPr>
            </w:pPr>
          </w:p>
        </w:tc>
        <w:tc>
          <w:tcPr>
            <w:tcW w:w="2970" w:type="dxa"/>
            <w:vAlign w:val="center"/>
          </w:tcPr>
          <w:p w14:paraId="32F30EBA" w14:textId="77777777" w:rsidR="00F87883" w:rsidRPr="00AB24B8" w:rsidRDefault="00F87883" w:rsidP="00AB24B8">
            <w:pPr>
              <w:ind w:right="-1"/>
              <w:jc w:val="both"/>
              <w:rPr>
                <w:rFonts w:cs="Arial"/>
                <w:color w:val="000000" w:themeColor="text1"/>
                <w:sz w:val="22"/>
                <w:szCs w:val="22"/>
              </w:rPr>
            </w:pPr>
          </w:p>
        </w:tc>
        <w:tc>
          <w:tcPr>
            <w:tcW w:w="3667" w:type="dxa"/>
            <w:vAlign w:val="center"/>
          </w:tcPr>
          <w:p w14:paraId="3188B9D5" w14:textId="77777777" w:rsidR="00F87883" w:rsidRPr="00AB24B8" w:rsidRDefault="00F87883" w:rsidP="00AB24B8">
            <w:pPr>
              <w:ind w:right="-1"/>
              <w:jc w:val="both"/>
              <w:rPr>
                <w:rFonts w:cs="Arial"/>
                <w:color w:val="000000" w:themeColor="text1"/>
                <w:sz w:val="22"/>
                <w:szCs w:val="22"/>
              </w:rPr>
            </w:pPr>
          </w:p>
          <w:p w14:paraId="654DE60F" w14:textId="77777777" w:rsidR="00F87883" w:rsidRPr="00AB24B8" w:rsidRDefault="00F87883" w:rsidP="00AB24B8">
            <w:pPr>
              <w:ind w:right="-1"/>
              <w:jc w:val="both"/>
              <w:rPr>
                <w:rFonts w:cs="Arial"/>
                <w:color w:val="000000" w:themeColor="text1"/>
                <w:sz w:val="22"/>
                <w:szCs w:val="22"/>
              </w:rPr>
            </w:pPr>
          </w:p>
        </w:tc>
      </w:tr>
      <w:tr w:rsidR="00AB24B8" w:rsidRPr="00AB24B8" w14:paraId="36080E2B" w14:textId="77777777" w:rsidTr="00CF57D9">
        <w:trPr>
          <w:trHeight w:val="572"/>
        </w:trPr>
        <w:tc>
          <w:tcPr>
            <w:tcW w:w="2981" w:type="dxa"/>
            <w:tcBorders>
              <w:bottom w:val="single" w:sz="12" w:space="0" w:color="auto"/>
            </w:tcBorders>
            <w:vAlign w:val="center"/>
          </w:tcPr>
          <w:p w14:paraId="59941641" w14:textId="77777777" w:rsidR="00F87883" w:rsidRPr="00AB24B8" w:rsidRDefault="00F87883" w:rsidP="00AB24B8">
            <w:pPr>
              <w:ind w:right="-1"/>
              <w:jc w:val="both"/>
              <w:rPr>
                <w:rFonts w:cs="Arial"/>
                <w:color w:val="000000" w:themeColor="text1"/>
                <w:sz w:val="22"/>
                <w:szCs w:val="22"/>
              </w:rPr>
            </w:pPr>
          </w:p>
        </w:tc>
        <w:tc>
          <w:tcPr>
            <w:tcW w:w="2970" w:type="dxa"/>
            <w:tcBorders>
              <w:bottom w:val="single" w:sz="12" w:space="0" w:color="auto"/>
            </w:tcBorders>
            <w:vAlign w:val="center"/>
          </w:tcPr>
          <w:p w14:paraId="21269827" w14:textId="77777777" w:rsidR="00F87883" w:rsidRPr="00AB24B8" w:rsidRDefault="00F87883" w:rsidP="00AB24B8">
            <w:pPr>
              <w:ind w:right="-1"/>
              <w:jc w:val="both"/>
              <w:rPr>
                <w:rFonts w:cs="Arial"/>
                <w:color w:val="000000" w:themeColor="text1"/>
                <w:sz w:val="22"/>
                <w:szCs w:val="22"/>
              </w:rPr>
            </w:pPr>
          </w:p>
        </w:tc>
        <w:tc>
          <w:tcPr>
            <w:tcW w:w="3667" w:type="dxa"/>
            <w:tcBorders>
              <w:bottom w:val="single" w:sz="12" w:space="0" w:color="auto"/>
            </w:tcBorders>
            <w:vAlign w:val="center"/>
          </w:tcPr>
          <w:p w14:paraId="60A7D028" w14:textId="77777777" w:rsidR="00F87883" w:rsidRPr="00AB24B8" w:rsidRDefault="00F87883" w:rsidP="00AB24B8">
            <w:pPr>
              <w:ind w:right="-1"/>
              <w:jc w:val="both"/>
              <w:rPr>
                <w:rFonts w:cs="Arial"/>
                <w:color w:val="000000" w:themeColor="text1"/>
                <w:sz w:val="22"/>
                <w:szCs w:val="22"/>
              </w:rPr>
            </w:pPr>
          </w:p>
          <w:p w14:paraId="20E96D05" w14:textId="77777777" w:rsidR="00F87883" w:rsidRPr="00AB24B8" w:rsidRDefault="00F87883" w:rsidP="00AB24B8">
            <w:pPr>
              <w:ind w:right="-1"/>
              <w:jc w:val="both"/>
              <w:rPr>
                <w:rFonts w:cs="Arial"/>
                <w:color w:val="000000" w:themeColor="text1"/>
                <w:sz w:val="22"/>
                <w:szCs w:val="22"/>
              </w:rPr>
            </w:pPr>
          </w:p>
        </w:tc>
      </w:tr>
    </w:tbl>
    <w:p w14:paraId="6E1447AF" w14:textId="77777777" w:rsidR="00F87883" w:rsidRPr="00AB24B8" w:rsidRDefault="00F87883" w:rsidP="00AB24B8">
      <w:pPr>
        <w:ind w:right="-1"/>
        <w:jc w:val="both"/>
        <w:rPr>
          <w:rFonts w:cs="Arial"/>
          <w:color w:val="000000" w:themeColor="text1"/>
          <w:sz w:val="22"/>
          <w:szCs w:val="22"/>
        </w:rPr>
      </w:pPr>
    </w:p>
    <w:p w14:paraId="1B0EEA08" w14:textId="77777777" w:rsidR="00F87883" w:rsidRPr="00AB24B8" w:rsidRDefault="00F87883" w:rsidP="00AB24B8">
      <w:pPr>
        <w:ind w:right="-1"/>
        <w:jc w:val="both"/>
        <w:rPr>
          <w:color w:val="000000" w:themeColor="text1"/>
          <w:sz w:val="22"/>
          <w:szCs w:val="22"/>
        </w:rPr>
      </w:pPr>
      <w:r w:rsidRPr="00AB24B8">
        <w:rPr>
          <w:color w:val="000000" w:themeColor="text1"/>
          <w:sz w:val="22"/>
          <w:szCs w:val="22"/>
        </w:rPr>
        <w:t xml:space="preserve">*) Mit seiner Unterschrift bestätigt der/die Teilnehmer/in, dass der Inhalt der Schulung verstanden wurde. </w:t>
      </w:r>
    </w:p>
    <w:p w14:paraId="2634E649" w14:textId="77777777" w:rsidR="00F87883" w:rsidRPr="00AB24B8" w:rsidRDefault="00F87883" w:rsidP="00AB24B8">
      <w:pPr>
        <w:ind w:right="-1"/>
        <w:jc w:val="both"/>
        <w:rPr>
          <w:rFonts w:cs="Arial"/>
          <w:color w:val="000000" w:themeColor="text1"/>
          <w:sz w:val="22"/>
          <w:szCs w:val="22"/>
        </w:rPr>
      </w:pPr>
    </w:p>
    <w:p w14:paraId="6D67E25E" w14:textId="11586C35" w:rsidR="00B03014" w:rsidRPr="00AB24B8" w:rsidRDefault="00F87883" w:rsidP="00AB24B8">
      <w:pPr>
        <w:ind w:right="-1"/>
        <w:jc w:val="both"/>
        <w:rPr>
          <w:rFonts w:cs="Arial"/>
          <w:color w:val="000000" w:themeColor="text1"/>
          <w:sz w:val="22"/>
          <w:szCs w:val="22"/>
        </w:rPr>
      </w:pPr>
      <w:r w:rsidRPr="00AB24B8">
        <w:rPr>
          <w:rFonts w:cs="Arial"/>
          <w:b/>
          <w:color w:val="000000" w:themeColor="text1"/>
          <w:sz w:val="22"/>
          <w:szCs w:val="22"/>
        </w:rPr>
        <w:t xml:space="preserve">Ablauf: </w:t>
      </w:r>
      <w:r w:rsidRPr="00AB24B8">
        <w:rPr>
          <w:rFonts w:cs="Arial"/>
          <w:color w:val="000000" w:themeColor="text1"/>
          <w:sz w:val="22"/>
          <w:szCs w:val="22"/>
        </w:rPr>
        <w:t>Die Elektrokurzschulungen sind für die verantwortlichen Elektrofachkräfte (VEFK) gedacht, um diese in Ihrer Schulungs- und Unterweisungsarbeit zu unterstützten. Die Kurzschulungen können von der VEF</w:t>
      </w:r>
      <w:r w:rsidR="001D1C35" w:rsidRPr="00AB24B8">
        <w:rPr>
          <w:rFonts w:cs="Arial"/>
          <w:color w:val="000000" w:themeColor="text1"/>
          <w:sz w:val="22"/>
          <w:szCs w:val="22"/>
        </w:rPr>
        <w:t xml:space="preserve">K selbst oder von entsprechend </w:t>
      </w:r>
      <w:r w:rsidRPr="00AB24B8">
        <w:rPr>
          <w:rFonts w:cs="Arial"/>
          <w:color w:val="000000" w:themeColor="text1"/>
          <w:sz w:val="22"/>
          <w:szCs w:val="22"/>
        </w:rPr>
        <w:t>befähigten Beschäftigten durchgeführt werden. Es ist darauf zu achten, dass nicht nur die eigenen Elektro-Mitarbeiter, sondern auch die Leiharbeiter geschult werden.</w:t>
      </w:r>
    </w:p>
    <w:sectPr w:rsidR="00B03014" w:rsidRPr="00AB24B8" w:rsidSect="000D0A32">
      <w:headerReference w:type="default" r:id="rId10"/>
      <w:footerReference w:type="default" r:id="rId11"/>
      <w:pgSz w:w="11906" w:h="16838"/>
      <w:pgMar w:top="1418" w:right="1134" w:bottom="1134" w:left="1134"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E41E" w14:textId="77777777" w:rsidR="00537777" w:rsidRDefault="00537777">
      <w:r>
        <w:separator/>
      </w:r>
    </w:p>
  </w:endnote>
  <w:endnote w:type="continuationSeparator" w:id="0">
    <w:p w14:paraId="7531F2B1" w14:textId="77777777" w:rsidR="00537777" w:rsidRDefault="0053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1113"/>
      <w:gridCol w:w="1114"/>
      <w:gridCol w:w="1114"/>
      <w:gridCol w:w="1114"/>
      <w:gridCol w:w="1114"/>
      <w:gridCol w:w="1114"/>
      <w:gridCol w:w="1114"/>
    </w:tblGrid>
    <w:tr w:rsidR="000D3F83" w:rsidRPr="00FA3A35" w14:paraId="380CFD4D" w14:textId="77777777" w:rsidTr="006618CF">
      <w:trPr>
        <w:trHeight w:val="132"/>
      </w:trPr>
      <w:tc>
        <w:tcPr>
          <w:tcW w:w="1811" w:type="dxa"/>
          <w:vAlign w:val="center"/>
        </w:tcPr>
        <w:p w14:paraId="454E0CE0" w14:textId="77777777" w:rsidR="000D3F83" w:rsidRPr="00FA3A35" w:rsidRDefault="000D3F83" w:rsidP="00474259">
          <w:pPr>
            <w:pStyle w:val="Fuzeile"/>
            <w:ind w:right="-83"/>
            <w:rPr>
              <w:rFonts w:cs="Arial"/>
              <w:sz w:val="16"/>
              <w:szCs w:val="16"/>
            </w:rPr>
          </w:pPr>
          <w:r w:rsidRPr="00FA3A35">
            <w:rPr>
              <w:rFonts w:cs="Arial"/>
              <w:sz w:val="16"/>
              <w:szCs w:val="16"/>
            </w:rPr>
            <w:t>Ausgabe/Revision:</w:t>
          </w:r>
        </w:p>
      </w:tc>
      <w:tc>
        <w:tcPr>
          <w:tcW w:w="1113" w:type="dxa"/>
          <w:vAlign w:val="center"/>
        </w:tcPr>
        <w:p w14:paraId="5E50C2F1" w14:textId="77777777" w:rsidR="000D3F83" w:rsidRPr="00FA3A35" w:rsidRDefault="00856444" w:rsidP="00474259">
          <w:pPr>
            <w:pStyle w:val="Fuzeile"/>
            <w:ind w:right="-83"/>
            <w:rPr>
              <w:rFonts w:cs="Arial"/>
              <w:sz w:val="16"/>
              <w:szCs w:val="16"/>
            </w:rPr>
          </w:pPr>
          <w:r w:rsidRPr="00FA3A35">
            <w:rPr>
              <w:rFonts w:cs="Arial"/>
              <w:sz w:val="16"/>
              <w:szCs w:val="16"/>
            </w:rPr>
            <w:t>0</w:t>
          </w:r>
        </w:p>
      </w:tc>
      <w:tc>
        <w:tcPr>
          <w:tcW w:w="1114" w:type="dxa"/>
          <w:vAlign w:val="center"/>
        </w:tcPr>
        <w:p w14:paraId="5B538206" w14:textId="77777777" w:rsidR="000D3F83" w:rsidRPr="00FA3A35" w:rsidRDefault="000D3F83" w:rsidP="00474259">
          <w:pPr>
            <w:pStyle w:val="Fuzeile"/>
            <w:ind w:right="-83"/>
            <w:rPr>
              <w:rFonts w:cs="Arial"/>
              <w:sz w:val="16"/>
              <w:szCs w:val="16"/>
            </w:rPr>
          </w:pPr>
        </w:p>
      </w:tc>
      <w:tc>
        <w:tcPr>
          <w:tcW w:w="1114" w:type="dxa"/>
          <w:vAlign w:val="center"/>
        </w:tcPr>
        <w:p w14:paraId="2DAFFE4B" w14:textId="77777777" w:rsidR="000D3F83" w:rsidRPr="00FA3A35" w:rsidRDefault="000D3F83" w:rsidP="00474259">
          <w:pPr>
            <w:pStyle w:val="Fuzeile"/>
            <w:ind w:right="-83"/>
            <w:rPr>
              <w:rFonts w:cs="Arial"/>
              <w:sz w:val="16"/>
              <w:szCs w:val="16"/>
            </w:rPr>
          </w:pPr>
        </w:p>
      </w:tc>
      <w:tc>
        <w:tcPr>
          <w:tcW w:w="1114" w:type="dxa"/>
          <w:vAlign w:val="center"/>
        </w:tcPr>
        <w:p w14:paraId="53BB3C1E" w14:textId="77777777" w:rsidR="000D3F83" w:rsidRPr="00FA3A35" w:rsidRDefault="000D3F83" w:rsidP="00474259">
          <w:pPr>
            <w:pStyle w:val="Fuzeile"/>
            <w:ind w:right="-83"/>
            <w:rPr>
              <w:rFonts w:cs="Arial"/>
              <w:sz w:val="16"/>
              <w:szCs w:val="16"/>
            </w:rPr>
          </w:pPr>
        </w:p>
      </w:tc>
      <w:tc>
        <w:tcPr>
          <w:tcW w:w="1114" w:type="dxa"/>
          <w:vAlign w:val="center"/>
        </w:tcPr>
        <w:p w14:paraId="50FE1F91" w14:textId="77777777" w:rsidR="000D3F83" w:rsidRPr="00FA3A35" w:rsidRDefault="000D3F83" w:rsidP="00474259">
          <w:pPr>
            <w:pStyle w:val="Fuzeile"/>
            <w:ind w:right="-83"/>
            <w:rPr>
              <w:rFonts w:cs="Arial"/>
              <w:sz w:val="16"/>
              <w:szCs w:val="16"/>
            </w:rPr>
          </w:pPr>
        </w:p>
      </w:tc>
      <w:tc>
        <w:tcPr>
          <w:tcW w:w="1114" w:type="dxa"/>
          <w:vAlign w:val="center"/>
        </w:tcPr>
        <w:p w14:paraId="400DE141" w14:textId="77777777" w:rsidR="000D3F83" w:rsidRPr="00FA3A35" w:rsidRDefault="000D3F83" w:rsidP="00474259">
          <w:pPr>
            <w:pStyle w:val="Fuzeile"/>
            <w:ind w:right="-83"/>
            <w:rPr>
              <w:rFonts w:cs="Arial"/>
              <w:sz w:val="16"/>
              <w:szCs w:val="16"/>
            </w:rPr>
          </w:pPr>
          <w:r w:rsidRPr="00FA3A35">
            <w:rPr>
              <w:rFonts w:cs="Arial"/>
              <w:sz w:val="16"/>
              <w:szCs w:val="16"/>
            </w:rPr>
            <w:t>Seite:</w:t>
          </w:r>
        </w:p>
      </w:tc>
      <w:tc>
        <w:tcPr>
          <w:tcW w:w="1114" w:type="dxa"/>
          <w:vAlign w:val="center"/>
        </w:tcPr>
        <w:p w14:paraId="6F8763CF" w14:textId="77777777" w:rsidR="000D3F83" w:rsidRPr="00FA3A35" w:rsidRDefault="000D3F83" w:rsidP="00474259">
          <w:pPr>
            <w:pStyle w:val="Fuzeile"/>
            <w:ind w:right="-83"/>
            <w:rPr>
              <w:rFonts w:cs="Arial"/>
              <w:sz w:val="16"/>
              <w:szCs w:val="16"/>
            </w:rPr>
          </w:pP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PAGE</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r w:rsidRPr="00FA3A35">
            <w:rPr>
              <w:rFonts w:cs="Arial"/>
              <w:sz w:val="16"/>
              <w:szCs w:val="16"/>
            </w:rPr>
            <w:t xml:space="preserve"> von </w:t>
          </w:r>
          <w:r w:rsidRPr="00FA3A35">
            <w:rPr>
              <w:rFonts w:cs="Arial"/>
              <w:sz w:val="16"/>
              <w:szCs w:val="16"/>
            </w:rPr>
            <w:fldChar w:fldCharType="begin"/>
          </w:r>
          <w:r w:rsidRPr="00FA3A35">
            <w:rPr>
              <w:rFonts w:cs="Arial"/>
              <w:sz w:val="16"/>
              <w:szCs w:val="16"/>
            </w:rPr>
            <w:instrText xml:space="preserve"> </w:instrText>
          </w:r>
          <w:r w:rsidR="00974928" w:rsidRPr="00FA3A35">
            <w:rPr>
              <w:rFonts w:cs="Arial"/>
              <w:sz w:val="16"/>
              <w:szCs w:val="16"/>
            </w:rPr>
            <w:instrText>NUMPAGES</w:instrText>
          </w:r>
          <w:r w:rsidRPr="00FA3A35">
            <w:rPr>
              <w:rFonts w:cs="Arial"/>
              <w:sz w:val="16"/>
              <w:szCs w:val="16"/>
            </w:rPr>
            <w:instrText xml:space="preserve">  \* Arabic  \* MERGEFORMAT </w:instrText>
          </w:r>
          <w:r w:rsidRPr="00FA3A35">
            <w:rPr>
              <w:rFonts w:cs="Arial"/>
              <w:sz w:val="16"/>
              <w:szCs w:val="16"/>
            </w:rPr>
            <w:fldChar w:fldCharType="separate"/>
          </w:r>
          <w:r w:rsidR="00434A4B">
            <w:rPr>
              <w:rFonts w:cs="Arial"/>
              <w:noProof/>
              <w:sz w:val="16"/>
              <w:szCs w:val="16"/>
            </w:rPr>
            <w:t>1</w:t>
          </w:r>
          <w:r w:rsidRPr="00FA3A35">
            <w:rPr>
              <w:rFonts w:cs="Arial"/>
              <w:sz w:val="16"/>
              <w:szCs w:val="16"/>
            </w:rPr>
            <w:fldChar w:fldCharType="end"/>
          </w:r>
        </w:p>
      </w:tc>
    </w:tr>
    <w:tr w:rsidR="000D3F83" w:rsidRPr="00FA3A35" w14:paraId="5456E345" w14:textId="77777777" w:rsidTr="006618CF">
      <w:tc>
        <w:tcPr>
          <w:tcW w:w="1811" w:type="dxa"/>
          <w:vAlign w:val="center"/>
        </w:tcPr>
        <w:p w14:paraId="655E4B9C" w14:textId="77777777" w:rsidR="000D3F83" w:rsidRPr="00FA3A35" w:rsidRDefault="000D3F83" w:rsidP="00474259">
          <w:pPr>
            <w:pStyle w:val="Fuzeile"/>
            <w:ind w:right="-83"/>
            <w:rPr>
              <w:rFonts w:cs="Arial"/>
              <w:sz w:val="16"/>
              <w:szCs w:val="16"/>
            </w:rPr>
          </w:pPr>
          <w:r w:rsidRPr="00FA3A35">
            <w:rPr>
              <w:rFonts w:cs="Arial"/>
              <w:sz w:val="16"/>
              <w:szCs w:val="16"/>
            </w:rPr>
            <w:t>Datum:</w:t>
          </w:r>
        </w:p>
      </w:tc>
      <w:tc>
        <w:tcPr>
          <w:tcW w:w="1113" w:type="dxa"/>
          <w:vAlign w:val="center"/>
        </w:tcPr>
        <w:p w14:paraId="6D879B4D" w14:textId="126B34FD" w:rsidR="000D3F83" w:rsidRPr="00FA3A35" w:rsidRDefault="00B242E3" w:rsidP="00474259">
          <w:pPr>
            <w:pStyle w:val="Fuzeile"/>
            <w:ind w:right="-83"/>
            <w:rPr>
              <w:rFonts w:cs="Arial"/>
              <w:sz w:val="16"/>
              <w:szCs w:val="16"/>
            </w:rPr>
          </w:pPr>
          <w:r>
            <w:rPr>
              <w:rFonts w:cs="Arial"/>
              <w:sz w:val="16"/>
              <w:szCs w:val="16"/>
            </w:rPr>
            <w:t>01.01.2023</w:t>
          </w:r>
        </w:p>
      </w:tc>
      <w:tc>
        <w:tcPr>
          <w:tcW w:w="1114" w:type="dxa"/>
          <w:vAlign w:val="center"/>
        </w:tcPr>
        <w:p w14:paraId="065DCDF1" w14:textId="77777777" w:rsidR="000D3F83" w:rsidRPr="00FA3A35" w:rsidRDefault="000D3F83" w:rsidP="00474259">
          <w:pPr>
            <w:pStyle w:val="Fuzeile"/>
            <w:ind w:right="-83"/>
            <w:rPr>
              <w:rFonts w:cs="Arial"/>
              <w:sz w:val="16"/>
              <w:szCs w:val="16"/>
            </w:rPr>
          </w:pPr>
        </w:p>
      </w:tc>
      <w:tc>
        <w:tcPr>
          <w:tcW w:w="1114" w:type="dxa"/>
          <w:vAlign w:val="center"/>
        </w:tcPr>
        <w:p w14:paraId="57B2387E" w14:textId="77777777" w:rsidR="000D3F83" w:rsidRPr="00FA3A35" w:rsidRDefault="000D3F83" w:rsidP="00474259">
          <w:pPr>
            <w:pStyle w:val="Fuzeile"/>
            <w:ind w:right="-83"/>
            <w:rPr>
              <w:rFonts w:cs="Arial"/>
              <w:sz w:val="16"/>
              <w:szCs w:val="16"/>
            </w:rPr>
          </w:pPr>
        </w:p>
      </w:tc>
      <w:tc>
        <w:tcPr>
          <w:tcW w:w="1114" w:type="dxa"/>
          <w:vAlign w:val="center"/>
        </w:tcPr>
        <w:p w14:paraId="6B2E1E7A" w14:textId="77777777" w:rsidR="000D3F83" w:rsidRPr="00FA3A35" w:rsidRDefault="000D3F83" w:rsidP="00474259">
          <w:pPr>
            <w:pStyle w:val="Fuzeile"/>
            <w:ind w:right="-83"/>
            <w:rPr>
              <w:rFonts w:cs="Arial"/>
              <w:sz w:val="16"/>
              <w:szCs w:val="16"/>
            </w:rPr>
          </w:pPr>
        </w:p>
      </w:tc>
      <w:tc>
        <w:tcPr>
          <w:tcW w:w="1114" w:type="dxa"/>
          <w:vAlign w:val="center"/>
        </w:tcPr>
        <w:p w14:paraId="63540CF4" w14:textId="77777777" w:rsidR="000D3F83" w:rsidRPr="00FA3A35" w:rsidRDefault="000D3F83" w:rsidP="00474259">
          <w:pPr>
            <w:pStyle w:val="Fuzeile"/>
            <w:ind w:right="-83"/>
            <w:rPr>
              <w:rFonts w:cs="Arial"/>
              <w:sz w:val="16"/>
              <w:szCs w:val="16"/>
            </w:rPr>
          </w:pPr>
        </w:p>
      </w:tc>
      <w:tc>
        <w:tcPr>
          <w:tcW w:w="1114" w:type="dxa"/>
          <w:vAlign w:val="center"/>
        </w:tcPr>
        <w:p w14:paraId="2A81D65E" w14:textId="77777777" w:rsidR="000D3F83" w:rsidRPr="00FA3A35" w:rsidRDefault="000D3F83" w:rsidP="00474259">
          <w:pPr>
            <w:pStyle w:val="Fuzeile"/>
            <w:ind w:right="-83"/>
            <w:rPr>
              <w:rFonts w:cs="Arial"/>
              <w:sz w:val="16"/>
              <w:szCs w:val="16"/>
            </w:rPr>
          </w:pPr>
          <w:r w:rsidRPr="00FA3A35">
            <w:rPr>
              <w:rFonts w:cs="Arial"/>
              <w:sz w:val="16"/>
              <w:szCs w:val="16"/>
            </w:rPr>
            <w:t>Gültig ab:</w:t>
          </w:r>
        </w:p>
      </w:tc>
      <w:tc>
        <w:tcPr>
          <w:tcW w:w="1114" w:type="dxa"/>
          <w:vAlign w:val="center"/>
        </w:tcPr>
        <w:p w14:paraId="520992F0" w14:textId="77777777" w:rsidR="000D3F83" w:rsidRPr="00FA3A35" w:rsidRDefault="000D3F83" w:rsidP="00474259">
          <w:pPr>
            <w:pStyle w:val="Fuzeile"/>
            <w:ind w:right="-83"/>
            <w:rPr>
              <w:rFonts w:cs="Arial"/>
              <w:sz w:val="16"/>
              <w:szCs w:val="16"/>
            </w:rPr>
          </w:pPr>
        </w:p>
      </w:tc>
    </w:tr>
    <w:tr w:rsidR="000D3F83" w:rsidRPr="00FA3A35" w14:paraId="02D8B56F" w14:textId="77777777" w:rsidTr="006618CF">
      <w:tc>
        <w:tcPr>
          <w:tcW w:w="1811" w:type="dxa"/>
          <w:vAlign w:val="center"/>
        </w:tcPr>
        <w:p w14:paraId="24599EFE" w14:textId="77777777" w:rsidR="000D3F83" w:rsidRPr="00FA3A35" w:rsidRDefault="000D3F83" w:rsidP="00474259">
          <w:pPr>
            <w:pStyle w:val="Fuzeile"/>
            <w:ind w:right="-83"/>
            <w:rPr>
              <w:rFonts w:cs="Arial"/>
              <w:sz w:val="16"/>
              <w:szCs w:val="16"/>
            </w:rPr>
          </w:pPr>
          <w:r w:rsidRPr="00FA3A35">
            <w:rPr>
              <w:rFonts w:cs="Arial"/>
              <w:sz w:val="16"/>
              <w:szCs w:val="16"/>
            </w:rPr>
            <w:t>Erstellt/geändert:</w:t>
          </w:r>
        </w:p>
      </w:tc>
      <w:tc>
        <w:tcPr>
          <w:tcW w:w="1113" w:type="dxa"/>
          <w:vAlign w:val="center"/>
        </w:tcPr>
        <w:p w14:paraId="1D353058" w14:textId="77777777" w:rsidR="000D3F83" w:rsidRPr="00FA3A35" w:rsidRDefault="00856444" w:rsidP="00474259">
          <w:pPr>
            <w:pStyle w:val="Fuzeile"/>
            <w:ind w:right="-83"/>
            <w:rPr>
              <w:rFonts w:cs="Arial"/>
              <w:sz w:val="15"/>
              <w:szCs w:val="16"/>
            </w:rPr>
          </w:pPr>
          <w:r w:rsidRPr="00FA3A35">
            <w:rPr>
              <w:rFonts w:cs="Arial"/>
              <w:sz w:val="15"/>
              <w:szCs w:val="16"/>
            </w:rPr>
            <w:t>R.O.E. GmbH</w:t>
          </w:r>
        </w:p>
      </w:tc>
      <w:tc>
        <w:tcPr>
          <w:tcW w:w="1114" w:type="dxa"/>
          <w:vAlign w:val="center"/>
        </w:tcPr>
        <w:p w14:paraId="1C8C710B" w14:textId="77777777" w:rsidR="000D3F83" w:rsidRPr="00FA3A35" w:rsidRDefault="000D3F83" w:rsidP="00474259">
          <w:pPr>
            <w:pStyle w:val="Fuzeile"/>
            <w:ind w:right="-83"/>
            <w:rPr>
              <w:rFonts w:cs="Arial"/>
              <w:sz w:val="16"/>
              <w:szCs w:val="16"/>
            </w:rPr>
          </w:pPr>
        </w:p>
      </w:tc>
      <w:tc>
        <w:tcPr>
          <w:tcW w:w="1114" w:type="dxa"/>
          <w:vAlign w:val="center"/>
        </w:tcPr>
        <w:p w14:paraId="52D97B00" w14:textId="77777777" w:rsidR="000D3F83" w:rsidRPr="00FA3A35" w:rsidRDefault="000D3F83" w:rsidP="00474259">
          <w:pPr>
            <w:pStyle w:val="Fuzeile"/>
            <w:ind w:right="-83"/>
            <w:rPr>
              <w:rFonts w:cs="Arial"/>
              <w:sz w:val="16"/>
              <w:szCs w:val="16"/>
            </w:rPr>
          </w:pPr>
        </w:p>
      </w:tc>
      <w:tc>
        <w:tcPr>
          <w:tcW w:w="1114" w:type="dxa"/>
          <w:vAlign w:val="center"/>
        </w:tcPr>
        <w:p w14:paraId="7C509E31" w14:textId="77777777" w:rsidR="000D3F83" w:rsidRPr="00FA3A35" w:rsidRDefault="000D3F83" w:rsidP="00474259">
          <w:pPr>
            <w:pStyle w:val="Fuzeile"/>
            <w:ind w:right="-83"/>
            <w:rPr>
              <w:rFonts w:cs="Arial"/>
              <w:sz w:val="16"/>
              <w:szCs w:val="16"/>
            </w:rPr>
          </w:pPr>
        </w:p>
      </w:tc>
      <w:tc>
        <w:tcPr>
          <w:tcW w:w="1114" w:type="dxa"/>
          <w:vAlign w:val="center"/>
        </w:tcPr>
        <w:p w14:paraId="3BD1ACEC" w14:textId="77777777" w:rsidR="000D3F83" w:rsidRPr="00FA3A35" w:rsidRDefault="000D3F83" w:rsidP="00474259">
          <w:pPr>
            <w:pStyle w:val="Fuzeile"/>
            <w:ind w:right="-83"/>
            <w:rPr>
              <w:rFonts w:cs="Arial"/>
              <w:sz w:val="16"/>
              <w:szCs w:val="16"/>
            </w:rPr>
          </w:pPr>
        </w:p>
      </w:tc>
      <w:tc>
        <w:tcPr>
          <w:tcW w:w="1114" w:type="dxa"/>
          <w:shd w:val="clear" w:color="auto" w:fill="auto"/>
          <w:vAlign w:val="center"/>
        </w:tcPr>
        <w:p w14:paraId="75E39B98" w14:textId="77777777" w:rsidR="000D3F83" w:rsidRPr="00FA3A35" w:rsidRDefault="000D3F83" w:rsidP="00474259">
          <w:pPr>
            <w:pStyle w:val="Fuzeile"/>
            <w:ind w:right="-83"/>
            <w:rPr>
              <w:rFonts w:cs="Arial"/>
              <w:sz w:val="16"/>
              <w:szCs w:val="16"/>
            </w:rPr>
          </w:pPr>
        </w:p>
      </w:tc>
      <w:tc>
        <w:tcPr>
          <w:tcW w:w="1114" w:type="dxa"/>
          <w:vAlign w:val="center"/>
        </w:tcPr>
        <w:p w14:paraId="37D50976" w14:textId="77777777" w:rsidR="000D3F83" w:rsidRPr="00FA3A35" w:rsidRDefault="000D3F83" w:rsidP="00474259">
          <w:pPr>
            <w:pStyle w:val="Fuzeile"/>
            <w:ind w:right="-83"/>
            <w:rPr>
              <w:rFonts w:cs="Arial"/>
              <w:sz w:val="16"/>
              <w:szCs w:val="16"/>
            </w:rPr>
          </w:pPr>
        </w:p>
      </w:tc>
    </w:tr>
    <w:tr w:rsidR="000D3F83" w:rsidRPr="00FA3A35" w14:paraId="6F58E370" w14:textId="77777777" w:rsidTr="006618CF">
      <w:tc>
        <w:tcPr>
          <w:tcW w:w="1811" w:type="dxa"/>
          <w:vAlign w:val="center"/>
        </w:tcPr>
        <w:p w14:paraId="4EB51454" w14:textId="77777777" w:rsidR="000D3F83" w:rsidRPr="00FA3A35" w:rsidRDefault="000D3F83" w:rsidP="00474259">
          <w:pPr>
            <w:pStyle w:val="Fuzeile"/>
            <w:ind w:right="-83"/>
            <w:rPr>
              <w:rFonts w:cs="Arial"/>
              <w:sz w:val="16"/>
              <w:szCs w:val="16"/>
            </w:rPr>
          </w:pPr>
          <w:r w:rsidRPr="00FA3A35">
            <w:rPr>
              <w:rFonts w:cs="Arial"/>
              <w:sz w:val="16"/>
              <w:szCs w:val="16"/>
            </w:rPr>
            <w:t>Genehmigt:</w:t>
          </w:r>
        </w:p>
      </w:tc>
      <w:tc>
        <w:tcPr>
          <w:tcW w:w="1113" w:type="dxa"/>
          <w:vAlign w:val="center"/>
        </w:tcPr>
        <w:p w14:paraId="13D9AC6B" w14:textId="77777777" w:rsidR="000D3F83" w:rsidRPr="00FA3A35" w:rsidRDefault="000D3F83" w:rsidP="00474259">
          <w:pPr>
            <w:pStyle w:val="Fuzeile"/>
            <w:ind w:right="-83"/>
            <w:rPr>
              <w:rFonts w:cs="Arial"/>
              <w:sz w:val="16"/>
              <w:szCs w:val="16"/>
            </w:rPr>
          </w:pPr>
        </w:p>
      </w:tc>
      <w:tc>
        <w:tcPr>
          <w:tcW w:w="1114" w:type="dxa"/>
          <w:vAlign w:val="center"/>
        </w:tcPr>
        <w:p w14:paraId="20B83D72" w14:textId="77777777" w:rsidR="000D3F83" w:rsidRPr="00FA3A35" w:rsidRDefault="000D3F83" w:rsidP="00474259">
          <w:pPr>
            <w:pStyle w:val="Fuzeile"/>
            <w:ind w:right="-83"/>
            <w:rPr>
              <w:rFonts w:cs="Arial"/>
              <w:sz w:val="16"/>
              <w:szCs w:val="16"/>
            </w:rPr>
          </w:pPr>
        </w:p>
      </w:tc>
      <w:tc>
        <w:tcPr>
          <w:tcW w:w="1114" w:type="dxa"/>
          <w:vAlign w:val="center"/>
        </w:tcPr>
        <w:p w14:paraId="5719F735" w14:textId="77777777" w:rsidR="000D3F83" w:rsidRPr="00FA3A35" w:rsidRDefault="000D3F83" w:rsidP="00474259">
          <w:pPr>
            <w:pStyle w:val="Fuzeile"/>
            <w:ind w:right="-83"/>
            <w:rPr>
              <w:rFonts w:cs="Arial"/>
              <w:sz w:val="16"/>
              <w:szCs w:val="16"/>
            </w:rPr>
          </w:pPr>
        </w:p>
      </w:tc>
      <w:tc>
        <w:tcPr>
          <w:tcW w:w="1114" w:type="dxa"/>
          <w:vAlign w:val="center"/>
        </w:tcPr>
        <w:p w14:paraId="1A2DA052" w14:textId="77777777" w:rsidR="000D3F83" w:rsidRPr="00FA3A35" w:rsidRDefault="000D3F83" w:rsidP="00474259">
          <w:pPr>
            <w:pStyle w:val="Fuzeile"/>
            <w:ind w:right="-83"/>
            <w:rPr>
              <w:rFonts w:cs="Arial"/>
              <w:sz w:val="16"/>
              <w:szCs w:val="16"/>
            </w:rPr>
          </w:pPr>
        </w:p>
      </w:tc>
      <w:tc>
        <w:tcPr>
          <w:tcW w:w="1114" w:type="dxa"/>
          <w:vAlign w:val="center"/>
        </w:tcPr>
        <w:p w14:paraId="636C2B20" w14:textId="77777777" w:rsidR="000D3F83" w:rsidRPr="00FA3A35" w:rsidRDefault="000D3F83" w:rsidP="00474259">
          <w:pPr>
            <w:pStyle w:val="Fuzeile"/>
            <w:ind w:right="-83"/>
            <w:rPr>
              <w:rFonts w:cs="Arial"/>
              <w:sz w:val="16"/>
              <w:szCs w:val="16"/>
            </w:rPr>
          </w:pPr>
        </w:p>
      </w:tc>
      <w:tc>
        <w:tcPr>
          <w:tcW w:w="1114" w:type="dxa"/>
          <w:shd w:val="clear" w:color="auto" w:fill="auto"/>
          <w:vAlign w:val="center"/>
        </w:tcPr>
        <w:p w14:paraId="47BF5373" w14:textId="77777777" w:rsidR="000D3F83" w:rsidRPr="00FA3A35" w:rsidRDefault="000D3F83" w:rsidP="00474259">
          <w:pPr>
            <w:pStyle w:val="Fuzeile"/>
            <w:ind w:right="-83"/>
            <w:rPr>
              <w:rFonts w:cs="Arial"/>
              <w:sz w:val="16"/>
              <w:szCs w:val="16"/>
            </w:rPr>
          </w:pPr>
        </w:p>
      </w:tc>
      <w:tc>
        <w:tcPr>
          <w:tcW w:w="1114" w:type="dxa"/>
          <w:vAlign w:val="center"/>
        </w:tcPr>
        <w:p w14:paraId="11F1410A" w14:textId="77777777" w:rsidR="000D3F83" w:rsidRPr="00FA3A35" w:rsidRDefault="000D3F83" w:rsidP="00474259">
          <w:pPr>
            <w:pStyle w:val="Fuzeile"/>
            <w:ind w:right="-83"/>
            <w:rPr>
              <w:rFonts w:cs="Arial"/>
              <w:sz w:val="16"/>
              <w:szCs w:val="16"/>
            </w:rPr>
          </w:pPr>
        </w:p>
      </w:tc>
    </w:tr>
  </w:tbl>
  <w:p w14:paraId="401A327A" w14:textId="77777777" w:rsidR="002A7BDE" w:rsidRPr="00FA3A35" w:rsidRDefault="000D3F83" w:rsidP="006618CF">
    <w:pPr>
      <w:spacing w:before="60"/>
      <w:rPr>
        <w:rFonts w:cs="Arial"/>
      </w:rPr>
    </w:pPr>
    <w:r w:rsidRPr="00FA3A35">
      <w:rPr>
        <w:rFonts w:cs="Arial"/>
        <w:b/>
        <w:sz w:val="16"/>
      </w:rPr>
      <w:t xml:space="preserve">© Copyright </w:t>
    </w:r>
    <w:r w:rsidR="00C97BCF" w:rsidRPr="00FA3A35">
      <w:rPr>
        <w:rFonts w:cs="Arial"/>
        <w:b/>
        <w:sz w:val="16"/>
      </w:rPr>
      <w:t>R.O.E. Online GmbH</w:t>
    </w:r>
    <w:r w:rsidRPr="00FA3A35">
      <w:rPr>
        <w:rFonts w:cs="Arial"/>
        <w:b/>
        <w:sz w:val="16"/>
      </w:rPr>
      <w:t>, keine unerlaubte Vervielfältigung, auch nicht auszugsweise!</w:t>
    </w:r>
  </w:p>
  <w:p w14:paraId="225F203C" w14:textId="77777777" w:rsidR="008000E0" w:rsidRDefault="00800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20DF" w14:textId="77777777" w:rsidR="00537777" w:rsidRDefault="00537777">
      <w:r>
        <w:separator/>
      </w:r>
    </w:p>
  </w:footnote>
  <w:footnote w:type="continuationSeparator" w:id="0">
    <w:p w14:paraId="4169934F" w14:textId="77777777" w:rsidR="00537777" w:rsidRDefault="0053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5026"/>
      <w:gridCol w:w="2236"/>
    </w:tblGrid>
    <w:tr w:rsidR="000D3F83" w:rsidRPr="00A866DC" w14:paraId="5E7C5E53" w14:textId="77777777" w:rsidTr="006618CF">
      <w:trPr>
        <w:trHeight w:val="841"/>
      </w:trPr>
      <w:tc>
        <w:tcPr>
          <w:tcW w:w="2346" w:type="dxa"/>
          <w:vAlign w:val="center"/>
        </w:tcPr>
        <w:p w14:paraId="41ED86DD" w14:textId="19E813DF" w:rsidR="000D3F83" w:rsidRPr="00A866DC" w:rsidRDefault="00731FDD" w:rsidP="00784E2E">
          <w:pPr>
            <w:pStyle w:val="MittleresRaster21"/>
            <w:jc w:val="center"/>
            <w:rPr>
              <w:rFonts w:ascii="Arial" w:hAnsi="Arial" w:cs="Arial"/>
              <w:sz w:val="18"/>
            </w:rPr>
          </w:pPr>
          <w:r>
            <w:rPr>
              <w:b/>
              <w:noProof/>
              <w:sz w:val="18"/>
            </w:rPr>
            <w:drawing>
              <wp:inline distT="0" distB="0" distL="0" distR="0" wp14:anchorId="774F1418" wp14:editId="2FC2E4DD">
                <wp:extent cx="454297" cy="454297"/>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026"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36" w:type="dxa"/>
          <w:vAlign w:val="center"/>
        </w:tcPr>
        <w:p w14:paraId="66F84BAF" w14:textId="77777777" w:rsidR="000D3F83" w:rsidRPr="00A866DC" w:rsidRDefault="00C97BCF" w:rsidP="00C97BCF">
          <w:pPr>
            <w:jc w:val="center"/>
            <w:rPr>
              <w:rFonts w:cs="Arial"/>
            </w:rPr>
          </w:pPr>
          <w:r w:rsidRPr="0099744C">
            <w:rPr>
              <w:rFonts w:cs="Arial"/>
              <w:noProof/>
              <w:sz w:val="22"/>
            </w:rPr>
            <w:t>Firmenlogo</w:t>
          </w:r>
        </w:p>
      </w:tc>
    </w:tr>
    <w:tr w:rsidR="000D3F83" w:rsidRPr="00BC2EF4" w14:paraId="592200E8" w14:textId="77777777" w:rsidTr="006618CF">
      <w:trPr>
        <w:trHeight w:val="832"/>
      </w:trPr>
      <w:tc>
        <w:tcPr>
          <w:tcW w:w="2346" w:type="dxa"/>
          <w:vAlign w:val="center"/>
        </w:tcPr>
        <w:p w14:paraId="643B899D" w14:textId="482C6C1F" w:rsidR="000D3F83" w:rsidRPr="0099744C" w:rsidRDefault="000D3F83" w:rsidP="00474259">
          <w:pPr>
            <w:jc w:val="center"/>
            <w:rPr>
              <w:rFonts w:cs="Arial"/>
              <w:sz w:val="22"/>
            </w:rPr>
          </w:pPr>
          <w:r w:rsidRPr="0099744C">
            <w:rPr>
              <w:rFonts w:cs="Arial"/>
              <w:b/>
              <w:sz w:val="22"/>
            </w:rPr>
            <w:t>UW_KU_</w:t>
          </w:r>
          <w:r w:rsidR="00B242E3">
            <w:rPr>
              <w:rFonts w:cs="Arial"/>
              <w:b/>
              <w:sz w:val="22"/>
            </w:rPr>
            <w:t>27</w:t>
          </w:r>
        </w:p>
      </w:tc>
      <w:tc>
        <w:tcPr>
          <w:tcW w:w="5026" w:type="dxa"/>
          <w:vAlign w:val="center"/>
        </w:tcPr>
        <w:p w14:paraId="5B1B48B7" w14:textId="6024824C" w:rsidR="000D3F83" w:rsidRPr="00BC2EF4" w:rsidRDefault="00E81349" w:rsidP="00713E4A">
          <w:pPr>
            <w:jc w:val="center"/>
            <w:rPr>
              <w:rFonts w:cs="Arial"/>
              <w:sz w:val="28"/>
              <w:szCs w:val="28"/>
            </w:rPr>
          </w:pPr>
          <w:r>
            <w:rPr>
              <w:rFonts w:cs="Arial"/>
              <w:sz w:val="28"/>
              <w:szCs w:val="28"/>
            </w:rPr>
            <w:t>Blitzschutz für Instandhalter</w:t>
          </w:r>
        </w:p>
      </w:tc>
      <w:tc>
        <w:tcPr>
          <w:tcW w:w="2236" w:type="dxa"/>
          <w:vAlign w:val="center"/>
        </w:tcPr>
        <w:p w14:paraId="40C177E9" w14:textId="77777777" w:rsidR="000D3F83" w:rsidRPr="00BC2EF4" w:rsidRDefault="000D3F83" w:rsidP="00474259">
          <w:pPr>
            <w:jc w:val="center"/>
            <w:rPr>
              <w:rFonts w:cs="Arial"/>
            </w:rPr>
          </w:pPr>
        </w:p>
      </w:tc>
    </w:tr>
  </w:tbl>
  <w:p w14:paraId="7AECEA50" w14:textId="77777777" w:rsidR="008000E0" w:rsidRDefault="008000E0" w:rsidP="00E65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F1014"/>
    <w:multiLevelType w:val="hybridMultilevel"/>
    <w:tmpl w:val="FEDE4E18"/>
    <w:lvl w:ilvl="0" w:tplc="7B3C3C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E4F2E"/>
    <w:multiLevelType w:val="hybridMultilevel"/>
    <w:tmpl w:val="165AC218"/>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4" w15:restartNumberingAfterBreak="0">
    <w:nsid w:val="109549ED"/>
    <w:multiLevelType w:val="hybridMultilevel"/>
    <w:tmpl w:val="B17A37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B8E413C"/>
    <w:multiLevelType w:val="hybridMultilevel"/>
    <w:tmpl w:val="D430D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A01D0F"/>
    <w:multiLevelType w:val="hybridMultilevel"/>
    <w:tmpl w:val="0B70461C"/>
    <w:lvl w:ilvl="0" w:tplc="04070017">
      <w:start w:val="1"/>
      <w:numFmt w:val="lowerLetter"/>
      <w:lvlText w:val="%1)"/>
      <w:lvlJc w:val="left"/>
      <w:pPr>
        <w:ind w:left="360"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7" w15:restartNumberingAfterBreak="0">
    <w:nsid w:val="374B695A"/>
    <w:multiLevelType w:val="hybridMultilevel"/>
    <w:tmpl w:val="D7DE1D8E"/>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8" w15:restartNumberingAfterBreak="0">
    <w:nsid w:val="37E51472"/>
    <w:multiLevelType w:val="hybridMultilevel"/>
    <w:tmpl w:val="1D48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5D1611"/>
    <w:multiLevelType w:val="hybridMultilevel"/>
    <w:tmpl w:val="95461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E42DC"/>
    <w:multiLevelType w:val="hybridMultilevel"/>
    <w:tmpl w:val="75C0D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6F28A4"/>
    <w:multiLevelType w:val="hybridMultilevel"/>
    <w:tmpl w:val="94E475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15:restartNumberingAfterBreak="0">
    <w:nsid w:val="74925DC7"/>
    <w:multiLevelType w:val="hybridMultilevel"/>
    <w:tmpl w:val="C08E9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263DB0"/>
    <w:multiLevelType w:val="hybridMultilevel"/>
    <w:tmpl w:val="BDFE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041321"/>
    <w:multiLevelType w:val="hybridMultilevel"/>
    <w:tmpl w:val="32369360"/>
    <w:lvl w:ilvl="0" w:tplc="04070017">
      <w:start w:val="1"/>
      <w:numFmt w:val="lowerLetter"/>
      <w:lvlText w:val="%1)"/>
      <w:lvlJc w:val="left"/>
      <w:pPr>
        <w:ind w:left="1506" w:hanging="360"/>
      </w:p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15" w15:restartNumberingAfterBreak="0">
    <w:nsid w:val="7D0A4EC8"/>
    <w:multiLevelType w:val="hybridMultilevel"/>
    <w:tmpl w:val="0AAEF3BE"/>
    <w:lvl w:ilvl="0" w:tplc="04070001">
      <w:start w:val="1"/>
      <w:numFmt w:val="bullet"/>
      <w:lvlText w:val=""/>
      <w:lvlJc w:val="left"/>
      <w:pPr>
        <w:ind w:left="280" w:hanging="360"/>
      </w:pPr>
      <w:rPr>
        <w:rFonts w:ascii="Symbol" w:hAnsi="Symbol" w:hint="default"/>
      </w:rPr>
    </w:lvl>
    <w:lvl w:ilvl="1" w:tplc="04070003" w:tentative="1">
      <w:start w:val="1"/>
      <w:numFmt w:val="bullet"/>
      <w:lvlText w:val="o"/>
      <w:lvlJc w:val="left"/>
      <w:pPr>
        <w:ind w:left="1000" w:hanging="360"/>
      </w:pPr>
      <w:rPr>
        <w:rFonts w:ascii="Courier New" w:hAnsi="Courier New" w:cs="Courier New" w:hint="default"/>
      </w:rPr>
    </w:lvl>
    <w:lvl w:ilvl="2" w:tplc="04070005" w:tentative="1">
      <w:start w:val="1"/>
      <w:numFmt w:val="bullet"/>
      <w:lvlText w:val=""/>
      <w:lvlJc w:val="left"/>
      <w:pPr>
        <w:ind w:left="1720" w:hanging="360"/>
      </w:pPr>
      <w:rPr>
        <w:rFonts w:ascii="Wingdings" w:hAnsi="Wingdings" w:hint="default"/>
      </w:rPr>
    </w:lvl>
    <w:lvl w:ilvl="3" w:tplc="04070001" w:tentative="1">
      <w:start w:val="1"/>
      <w:numFmt w:val="bullet"/>
      <w:lvlText w:val=""/>
      <w:lvlJc w:val="left"/>
      <w:pPr>
        <w:ind w:left="2440" w:hanging="360"/>
      </w:pPr>
      <w:rPr>
        <w:rFonts w:ascii="Symbol" w:hAnsi="Symbol" w:hint="default"/>
      </w:rPr>
    </w:lvl>
    <w:lvl w:ilvl="4" w:tplc="04070003" w:tentative="1">
      <w:start w:val="1"/>
      <w:numFmt w:val="bullet"/>
      <w:lvlText w:val="o"/>
      <w:lvlJc w:val="left"/>
      <w:pPr>
        <w:ind w:left="3160" w:hanging="360"/>
      </w:pPr>
      <w:rPr>
        <w:rFonts w:ascii="Courier New" w:hAnsi="Courier New" w:cs="Courier New" w:hint="default"/>
      </w:rPr>
    </w:lvl>
    <w:lvl w:ilvl="5" w:tplc="04070005" w:tentative="1">
      <w:start w:val="1"/>
      <w:numFmt w:val="bullet"/>
      <w:lvlText w:val=""/>
      <w:lvlJc w:val="left"/>
      <w:pPr>
        <w:ind w:left="3880" w:hanging="360"/>
      </w:pPr>
      <w:rPr>
        <w:rFonts w:ascii="Wingdings" w:hAnsi="Wingdings" w:hint="default"/>
      </w:rPr>
    </w:lvl>
    <w:lvl w:ilvl="6" w:tplc="04070001" w:tentative="1">
      <w:start w:val="1"/>
      <w:numFmt w:val="bullet"/>
      <w:lvlText w:val=""/>
      <w:lvlJc w:val="left"/>
      <w:pPr>
        <w:ind w:left="4600" w:hanging="360"/>
      </w:pPr>
      <w:rPr>
        <w:rFonts w:ascii="Symbol" w:hAnsi="Symbol" w:hint="default"/>
      </w:rPr>
    </w:lvl>
    <w:lvl w:ilvl="7" w:tplc="04070003" w:tentative="1">
      <w:start w:val="1"/>
      <w:numFmt w:val="bullet"/>
      <w:lvlText w:val="o"/>
      <w:lvlJc w:val="left"/>
      <w:pPr>
        <w:ind w:left="5320" w:hanging="360"/>
      </w:pPr>
      <w:rPr>
        <w:rFonts w:ascii="Courier New" w:hAnsi="Courier New" w:cs="Courier New" w:hint="default"/>
      </w:rPr>
    </w:lvl>
    <w:lvl w:ilvl="8" w:tplc="04070005" w:tentative="1">
      <w:start w:val="1"/>
      <w:numFmt w:val="bullet"/>
      <w:lvlText w:val=""/>
      <w:lvlJc w:val="left"/>
      <w:pPr>
        <w:ind w:left="6040" w:hanging="360"/>
      </w:pPr>
      <w:rPr>
        <w:rFonts w:ascii="Wingdings" w:hAnsi="Wingdings" w:hint="default"/>
      </w:rPr>
    </w:lvl>
  </w:abstractNum>
  <w:num w:numId="1" w16cid:durableId="2140999860">
    <w:abstractNumId w:val="14"/>
  </w:num>
  <w:num w:numId="2" w16cid:durableId="1499074189">
    <w:abstractNumId w:val="15"/>
  </w:num>
  <w:num w:numId="3" w16cid:durableId="1659266896">
    <w:abstractNumId w:val="6"/>
  </w:num>
  <w:num w:numId="4" w16cid:durableId="1705788906">
    <w:abstractNumId w:val="0"/>
  </w:num>
  <w:num w:numId="5" w16cid:durableId="363405961">
    <w:abstractNumId w:val="2"/>
  </w:num>
  <w:num w:numId="6" w16cid:durableId="1588881451">
    <w:abstractNumId w:val="13"/>
  </w:num>
  <w:num w:numId="7" w16cid:durableId="15153642">
    <w:abstractNumId w:val="1"/>
  </w:num>
  <w:num w:numId="8" w16cid:durableId="1826965838">
    <w:abstractNumId w:val="11"/>
  </w:num>
  <w:num w:numId="9" w16cid:durableId="1401173206">
    <w:abstractNumId w:val="7"/>
  </w:num>
  <w:num w:numId="10" w16cid:durableId="935095530">
    <w:abstractNumId w:val="9"/>
  </w:num>
  <w:num w:numId="11" w16cid:durableId="1629776955">
    <w:abstractNumId w:val="4"/>
  </w:num>
  <w:num w:numId="12" w16cid:durableId="686448758">
    <w:abstractNumId w:val="3"/>
  </w:num>
  <w:num w:numId="13" w16cid:durableId="1364205198">
    <w:abstractNumId w:val="5"/>
  </w:num>
  <w:num w:numId="14" w16cid:durableId="1938515066">
    <w:abstractNumId w:val="8"/>
  </w:num>
  <w:num w:numId="15" w16cid:durableId="1400133745">
    <w:abstractNumId w:val="10"/>
  </w:num>
  <w:num w:numId="16" w16cid:durableId="2234918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677D"/>
    <w:rsid w:val="00007E03"/>
    <w:rsid w:val="00014CCE"/>
    <w:rsid w:val="00025A69"/>
    <w:rsid w:val="00027F84"/>
    <w:rsid w:val="00032FDB"/>
    <w:rsid w:val="00033E2A"/>
    <w:rsid w:val="000353F4"/>
    <w:rsid w:val="00040E3F"/>
    <w:rsid w:val="00042C6C"/>
    <w:rsid w:val="00042CD4"/>
    <w:rsid w:val="00043813"/>
    <w:rsid w:val="00045D73"/>
    <w:rsid w:val="00047E60"/>
    <w:rsid w:val="00050B5F"/>
    <w:rsid w:val="00054DE8"/>
    <w:rsid w:val="00060250"/>
    <w:rsid w:val="000630CC"/>
    <w:rsid w:val="0006696B"/>
    <w:rsid w:val="00073D58"/>
    <w:rsid w:val="000770FC"/>
    <w:rsid w:val="00080802"/>
    <w:rsid w:val="00081AF1"/>
    <w:rsid w:val="000857C9"/>
    <w:rsid w:val="000915AB"/>
    <w:rsid w:val="000931DA"/>
    <w:rsid w:val="00093697"/>
    <w:rsid w:val="000A2574"/>
    <w:rsid w:val="000A29B2"/>
    <w:rsid w:val="000A2BDE"/>
    <w:rsid w:val="000A3364"/>
    <w:rsid w:val="000A4040"/>
    <w:rsid w:val="000B0485"/>
    <w:rsid w:val="000B2871"/>
    <w:rsid w:val="000B5D66"/>
    <w:rsid w:val="000B63C1"/>
    <w:rsid w:val="000B728F"/>
    <w:rsid w:val="000C3F52"/>
    <w:rsid w:val="000D0A32"/>
    <w:rsid w:val="000D3F83"/>
    <w:rsid w:val="000E49B4"/>
    <w:rsid w:val="000E719E"/>
    <w:rsid w:val="000F2384"/>
    <w:rsid w:val="000F66A4"/>
    <w:rsid w:val="00103D8E"/>
    <w:rsid w:val="00107851"/>
    <w:rsid w:val="00107FF1"/>
    <w:rsid w:val="001122B9"/>
    <w:rsid w:val="00116C94"/>
    <w:rsid w:val="00117926"/>
    <w:rsid w:val="00117AA2"/>
    <w:rsid w:val="0012300F"/>
    <w:rsid w:val="00127406"/>
    <w:rsid w:val="00130BD6"/>
    <w:rsid w:val="001319BE"/>
    <w:rsid w:val="00133B78"/>
    <w:rsid w:val="00137228"/>
    <w:rsid w:val="00141349"/>
    <w:rsid w:val="00141F76"/>
    <w:rsid w:val="001441C9"/>
    <w:rsid w:val="0014574C"/>
    <w:rsid w:val="0015462A"/>
    <w:rsid w:val="00156BFD"/>
    <w:rsid w:val="00162022"/>
    <w:rsid w:val="00165E85"/>
    <w:rsid w:val="00167B6C"/>
    <w:rsid w:val="00172154"/>
    <w:rsid w:val="001725EE"/>
    <w:rsid w:val="001824CF"/>
    <w:rsid w:val="0018338F"/>
    <w:rsid w:val="001876DB"/>
    <w:rsid w:val="00192817"/>
    <w:rsid w:val="00195B36"/>
    <w:rsid w:val="00195CB3"/>
    <w:rsid w:val="001A0446"/>
    <w:rsid w:val="001A732A"/>
    <w:rsid w:val="001B09EE"/>
    <w:rsid w:val="001B22A5"/>
    <w:rsid w:val="001B48BE"/>
    <w:rsid w:val="001C2B0E"/>
    <w:rsid w:val="001C3A89"/>
    <w:rsid w:val="001C525F"/>
    <w:rsid w:val="001C6E01"/>
    <w:rsid w:val="001D1C35"/>
    <w:rsid w:val="001D6090"/>
    <w:rsid w:val="001E1FCD"/>
    <w:rsid w:val="001E509A"/>
    <w:rsid w:val="001F18E6"/>
    <w:rsid w:val="001F3EEB"/>
    <w:rsid w:val="001F4C03"/>
    <w:rsid w:val="002015C7"/>
    <w:rsid w:val="00204E30"/>
    <w:rsid w:val="00205708"/>
    <w:rsid w:val="002058F1"/>
    <w:rsid w:val="00205ED0"/>
    <w:rsid w:val="00215BCC"/>
    <w:rsid w:val="00217045"/>
    <w:rsid w:val="0023088A"/>
    <w:rsid w:val="0023562E"/>
    <w:rsid w:val="00235D66"/>
    <w:rsid w:val="002406C5"/>
    <w:rsid w:val="002414FA"/>
    <w:rsid w:val="0024427B"/>
    <w:rsid w:val="002503CF"/>
    <w:rsid w:val="0025264C"/>
    <w:rsid w:val="00256AC2"/>
    <w:rsid w:val="0026056C"/>
    <w:rsid w:val="00261D61"/>
    <w:rsid w:val="002663EA"/>
    <w:rsid w:val="002678D9"/>
    <w:rsid w:val="00267971"/>
    <w:rsid w:val="002752FD"/>
    <w:rsid w:val="00283128"/>
    <w:rsid w:val="0028586B"/>
    <w:rsid w:val="00290A38"/>
    <w:rsid w:val="00292EF3"/>
    <w:rsid w:val="002A7BDE"/>
    <w:rsid w:val="002B486C"/>
    <w:rsid w:val="002B5C14"/>
    <w:rsid w:val="002C6960"/>
    <w:rsid w:val="002C7232"/>
    <w:rsid w:val="002D194A"/>
    <w:rsid w:val="002D1D3A"/>
    <w:rsid w:val="002D36E6"/>
    <w:rsid w:val="002E0C47"/>
    <w:rsid w:val="002E1457"/>
    <w:rsid w:val="002E1591"/>
    <w:rsid w:val="002E71DE"/>
    <w:rsid w:val="002F04E7"/>
    <w:rsid w:val="002F2217"/>
    <w:rsid w:val="002F5C00"/>
    <w:rsid w:val="0030168A"/>
    <w:rsid w:val="0030385F"/>
    <w:rsid w:val="00303C23"/>
    <w:rsid w:val="00303CEF"/>
    <w:rsid w:val="00304654"/>
    <w:rsid w:val="00307FF4"/>
    <w:rsid w:val="00310D11"/>
    <w:rsid w:val="00311044"/>
    <w:rsid w:val="00312BA5"/>
    <w:rsid w:val="00317B37"/>
    <w:rsid w:val="00320179"/>
    <w:rsid w:val="00331B49"/>
    <w:rsid w:val="00334624"/>
    <w:rsid w:val="0033562E"/>
    <w:rsid w:val="00337677"/>
    <w:rsid w:val="00337B00"/>
    <w:rsid w:val="0034095C"/>
    <w:rsid w:val="00341B65"/>
    <w:rsid w:val="003560BF"/>
    <w:rsid w:val="0036642C"/>
    <w:rsid w:val="0037026C"/>
    <w:rsid w:val="00371429"/>
    <w:rsid w:val="003764A4"/>
    <w:rsid w:val="00381DA4"/>
    <w:rsid w:val="0038435E"/>
    <w:rsid w:val="00387F03"/>
    <w:rsid w:val="00392DF9"/>
    <w:rsid w:val="003A47A4"/>
    <w:rsid w:val="003A5CBA"/>
    <w:rsid w:val="003A766C"/>
    <w:rsid w:val="003B33E3"/>
    <w:rsid w:val="003B39EF"/>
    <w:rsid w:val="003C16CD"/>
    <w:rsid w:val="003C31C2"/>
    <w:rsid w:val="003C370C"/>
    <w:rsid w:val="003C496C"/>
    <w:rsid w:val="003C5641"/>
    <w:rsid w:val="003C7031"/>
    <w:rsid w:val="003D008D"/>
    <w:rsid w:val="003D1BE1"/>
    <w:rsid w:val="003D4C3F"/>
    <w:rsid w:val="003E60A4"/>
    <w:rsid w:val="003E749D"/>
    <w:rsid w:val="003F147E"/>
    <w:rsid w:val="003F216A"/>
    <w:rsid w:val="004029A6"/>
    <w:rsid w:val="00402EA6"/>
    <w:rsid w:val="00407955"/>
    <w:rsid w:val="00416285"/>
    <w:rsid w:val="00416D6B"/>
    <w:rsid w:val="00423473"/>
    <w:rsid w:val="0042498C"/>
    <w:rsid w:val="00424E9E"/>
    <w:rsid w:val="00427C17"/>
    <w:rsid w:val="004302D1"/>
    <w:rsid w:val="00434A4B"/>
    <w:rsid w:val="00446822"/>
    <w:rsid w:val="004475DA"/>
    <w:rsid w:val="00456569"/>
    <w:rsid w:val="00457F21"/>
    <w:rsid w:val="004628FC"/>
    <w:rsid w:val="004630E8"/>
    <w:rsid w:val="00467344"/>
    <w:rsid w:val="00473B28"/>
    <w:rsid w:val="00474259"/>
    <w:rsid w:val="004875F3"/>
    <w:rsid w:val="00487D5D"/>
    <w:rsid w:val="00491D35"/>
    <w:rsid w:val="0049687C"/>
    <w:rsid w:val="00497325"/>
    <w:rsid w:val="004A0C51"/>
    <w:rsid w:val="004A1D63"/>
    <w:rsid w:val="004A3198"/>
    <w:rsid w:val="004A5E9A"/>
    <w:rsid w:val="004A6B04"/>
    <w:rsid w:val="004B0FB2"/>
    <w:rsid w:val="004B6F6E"/>
    <w:rsid w:val="004C44CA"/>
    <w:rsid w:val="004D5C8D"/>
    <w:rsid w:val="004D7CFA"/>
    <w:rsid w:val="004E00DC"/>
    <w:rsid w:val="004E0A8F"/>
    <w:rsid w:val="004E7494"/>
    <w:rsid w:val="004F1600"/>
    <w:rsid w:val="004F4F0C"/>
    <w:rsid w:val="00500585"/>
    <w:rsid w:val="0050558F"/>
    <w:rsid w:val="0050674D"/>
    <w:rsid w:val="00507717"/>
    <w:rsid w:val="0051077A"/>
    <w:rsid w:val="00521FA9"/>
    <w:rsid w:val="0052250B"/>
    <w:rsid w:val="005245CC"/>
    <w:rsid w:val="00527AAE"/>
    <w:rsid w:val="00530673"/>
    <w:rsid w:val="00531F9F"/>
    <w:rsid w:val="00537549"/>
    <w:rsid w:val="00537777"/>
    <w:rsid w:val="00537F44"/>
    <w:rsid w:val="005450C3"/>
    <w:rsid w:val="005545FD"/>
    <w:rsid w:val="00567EC3"/>
    <w:rsid w:val="00575529"/>
    <w:rsid w:val="0058031B"/>
    <w:rsid w:val="00592FA3"/>
    <w:rsid w:val="005A3597"/>
    <w:rsid w:val="005B05DC"/>
    <w:rsid w:val="005B470F"/>
    <w:rsid w:val="005C2CBA"/>
    <w:rsid w:val="005D6A3B"/>
    <w:rsid w:val="005D6FD5"/>
    <w:rsid w:val="005D7A8F"/>
    <w:rsid w:val="005E092B"/>
    <w:rsid w:val="005E0C09"/>
    <w:rsid w:val="005E60FE"/>
    <w:rsid w:val="005F0730"/>
    <w:rsid w:val="005F2262"/>
    <w:rsid w:val="005F4D8C"/>
    <w:rsid w:val="005F4E81"/>
    <w:rsid w:val="00600B37"/>
    <w:rsid w:val="00601A69"/>
    <w:rsid w:val="00601F09"/>
    <w:rsid w:val="00615F8A"/>
    <w:rsid w:val="00616683"/>
    <w:rsid w:val="00617FE6"/>
    <w:rsid w:val="006207B4"/>
    <w:rsid w:val="00625C19"/>
    <w:rsid w:val="006262F6"/>
    <w:rsid w:val="0062688B"/>
    <w:rsid w:val="00633E79"/>
    <w:rsid w:val="0063544C"/>
    <w:rsid w:val="00650470"/>
    <w:rsid w:val="0065056D"/>
    <w:rsid w:val="0065754A"/>
    <w:rsid w:val="006614D5"/>
    <w:rsid w:val="006618CF"/>
    <w:rsid w:val="00675494"/>
    <w:rsid w:val="006775DC"/>
    <w:rsid w:val="00686CBC"/>
    <w:rsid w:val="00690D18"/>
    <w:rsid w:val="00694B02"/>
    <w:rsid w:val="006B7BE6"/>
    <w:rsid w:val="006C31D6"/>
    <w:rsid w:val="006C37F6"/>
    <w:rsid w:val="006D0820"/>
    <w:rsid w:val="006D0B5D"/>
    <w:rsid w:val="006D6C64"/>
    <w:rsid w:val="006E0D57"/>
    <w:rsid w:val="006E12F0"/>
    <w:rsid w:val="006E410E"/>
    <w:rsid w:val="006E468E"/>
    <w:rsid w:val="006F0E69"/>
    <w:rsid w:val="006F2CAA"/>
    <w:rsid w:val="006F7C51"/>
    <w:rsid w:val="00700677"/>
    <w:rsid w:val="00704555"/>
    <w:rsid w:val="0070689A"/>
    <w:rsid w:val="00712A05"/>
    <w:rsid w:val="00713E4A"/>
    <w:rsid w:val="00716634"/>
    <w:rsid w:val="00716BB9"/>
    <w:rsid w:val="00717452"/>
    <w:rsid w:val="007221CB"/>
    <w:rsid w:val="00724074"/>
    <w:rsid w:val="00726559"/>
    <w:rsid w:val="00731FDD"/>
    <w:rsid w:val="00743FCC"/>
    <w:rsid w:val="00746D1A"/>
    <w:rsid w:val="00752650"/>
    <w:rsid w:val="00754F27"/>
    <w:rsid w:val="00757336"/>
    <w:rsid w:val="00773149"/>
    <w:rsid w:val="00773E6E"/>
    <w:rsid w:val="00781915"/>
    <w:rsid w:val="00782F69"/>
    <w:rsid w:val="00784E2E"/>
    <w:rsid w:val="00787B06"/>
    <w:rsid w:val="00792272"/>
    <w:rsid w:val="00795256"/>
    <w:rsid w:val="00797AB6"/>
    <w:rsid w:val="00797FEE"/>
    <w:rsid w:val="007A1F0C"/>
    <w:rsid w:val="007A3F0B"/>
    <w:rsid w:val="007A4B38"/>
    <w:rsid w:val="007A74D5"/>
    <w:rsid w:val="007B05BA"/>
    <w:rsid w:val="007B219D"/>
    <w:rsid w:val="007B3CAF"/>
    <w:rsid w:val="007C0CB6"/>
    <w:rsid w:val="007C3AAD"/>
    <w:rsid w:val="007D04FD"/>
    <w:rsid w:val="007D1DBA"/>
    <w:rsid w:val="007D43AB"/>
    <w:rsid w:val="007D58FE"/>
    <w:rsid w:val="007E348A"/>
    <w:rsid w:val="007E3510"/>
    <w:rsid w:val="007E407A"/>
    <w:rsid w:val="007E543B"/>
    <w:rsid w:val="007E6378"/>
    <w:rsid w:val="007F3BF2"/>
    <w:rsid w:val="007F4293"/>
    <w:rsid w:val="007F58E2"/>
    <w:rsid w:val="007F7A63"/>
    <w:rsid w:val="007F7C77"/>
    <w:rsid w:val="008000E0"/>
    <w:rsid w:val="0080323B"/>
    <w:rsid w:val="008066E5"/>
    <w:rsid w:val="008118EF"/>
    <w:rsid w:val="008119DD"/>
    <w:rsid w:val="00811ED0"/>
    <w:rsid w:val="0081285D"/>
    <w:rsid w:val="00812D72"/>
    <w:rsid w:val="00822C58"/>
    <w:rsid w:val="00827614"/>
    <w:rsid w:val="0083499E"/>
    <w:rsid w:val="00834C22"/>
    <w:rsid w:val="008350F4"/>
    <w:rsid w:val="008352BA"/>
    <w:rsid w:val="008372B7"/>
    <w:rsid w:val="00837BAD"/>
    <w:rsid w:val="00837E37"/>
    <w:rsid w:val="00842447"/>
    <w:rsid w:val="00846D90"/>
    <w:rsid w:val="0085425E"/>
    <w:rsid w:val="00855CA6"/>
    <w:rsid w:val="00855DC9"/>
    <w:rsid w:val="00856444"/>
    <w:rsid w:val="008575D0"/>
    <w:rsid w:val="00861BBB"/>
    <w:rsid w:val="00862CF0"/>
    <w:rsid w:val="00864D5F"/>
    <w:rsid w:val="00874BE6"/>
    <w:rsid w:val="00874C81"/>
    <w:rsid w:val="008760A6"/>
    <w:rsid w:val="008804B4"/>
    <w:rsid w:val="00882F9F"/>
    <w:rsid w:val="008856C2"/>
    <w:rsid w:val="008862EB"/>
    <w:rsid w:val="0089014B"/>
    <w:rsid w:val="0089137C"/>
    <w:rsid w:val="008931EB"/>
    <w:rsid w:val="008A33CC"/>
    <w:rsid w:val="008A5910"/>
    <w:rsid w:val="008B23A9"/>
    <w:rsid w:val="008B325F"/>
    <w:rsid w:val="008B3859"/>
    <w:rsid w:val="008B4CE3"/>
    <w:rsid w:val="008E2D70"/>
    <w:rsid w:val="008E3078"/>
    <w:rsid w:val="008E50FC"/>
    <w:rsid w:val="008E6A21"/>
    <w:rsid w:val="008E6AEC"/>
    <w:rsid w:val="008F2B7A"/>
    <w:rsid w:val="008F675F"/>
    <w:rsid w:val="008F7FAC"/>
    <w:rsid w:val="00900CD9"/>
    <w:rsid w:val="009079BE"/>
    <w:rsid w:val="00914754"/>
    <w:rsid w:val="009150F8"/>
    <w:rsid w:val="009165C2"/>
    <w:rsid w:val="00916B2F"/>
    <w:rsid w:val="00923E3D"/>
    <w:rsid w:val="00924D11"/>
    <w:rsid w:val="009332A9"/>
    <w:rsid w:val="009341F3"/>
    <w:rsid w:val="0093476C"/>
    <w:rsid w:val="00936359"/>
    <w:rsid w:val="0094768E"/>
    <w:rsid w:val="00950A9C"/>
    <w:rsid w:val="009513D6"/>
    <w:rsid w:val="0095259F"/>
    <w:rsid w:val="009536A0"/>
    <w:rsid w:val="00954493"/>
    <w:rsid w:val="009563BD"/>
    <w:rsid w:val="009606B2"/>
    <w:rsid w:val="00966214"/>
    <w:rsid w:val="009712F5"/>
    <w:rsid w:val="00974928"/>
    <w:rsid w:val="00977F63"/>
    <w:rsid w:val="009809F8"/>
    <w:rsid w:val="0099071E"/>
    <w:rsid w:val="0099151C"/>
    <w:rsid w:val="00994EEC"/>
    <w:rsid w:val="009964C6"/>
    <w:rsid w:val="00996AA4"/>
    <w:rsid w:val="009970F1"/>
    <w:rsid w:val="0099744C"/>
    <w:rsid w:val="009A1EA9"/>
    <w:rsid w:val="009A37B2"/>
    <w:rsid w:val="009A3E8D"/>
    <w:rsid w:val="009B14E3"/>
    <w:rsid w:val="009B4093"/>
    <w:rsid w:val="009B4674"/>
    <w:rsid w:val="009B5BB1"/>
    <w:rsid w:val="009B64A6"/>
    <w:rsid w:val="009C3C8F"/>
    <w:rsid w:val="009C5B3A"/>
    <w:rsid w:val="009E030A"/>
    <w:rsid w:val="009E0DA2"/>
    <w:rsid w:val="009E3330"/>
    <w:rsid w:val="009E503E"/>
    <w:rsid w:val="009F49DF"/>
    <w:rsid w:val="00A03648"/>
    <w:rsid w:val="00A0422A"/>
    <w:rsid w:val="00A16C64"/>
    <w:rsid w:val="00A23AA2"/>
    <w:rsid w:val="00A23B10"/>
    <w:rsid w:val="00A25DB9"/>
    <w:rsid w:val="00A277A3"/>
    <w:rsid w:val="00A30CDA"/>
    <w:rsid w:val="00A318EA"/>
    <w:rsid w:val="00A32764"/>
    <w:rsid w:val="00A361B2"/>
    <w:rsid w:val="00A42215"/>
    <w:rsid w:val="00A52431"/>
    <w:rsid w:val="00A613D4"/>
    <w:rsid w:val="00A72C0D"/>
    <w:rsid w:val="00A74C06"/>
    <w:rsid w:val="00A7661F"/>
    <w:rsid w:val="00A8031F"/>
    <w:rsid w:val="00A861B5"/>
    <w:rsid w:val="00A86382"/>
    <w:rsid w:val="00A866DC"/>
    <w:rsid w:val="00A909C9"/>
    <w:rsid w:val="00A9306E"/>
    <w:rsid w:val="00AA33F2"/>
    <w:rsid w:val="00AA67D9"/>
    <w:rsid w:val="00AB21AF"/>
    <w:rsid w:val="00AB24B8"/>
    <w:rsid w:val="00AC3DB8"/>
    <w:rsid w:val="00AD2D69"/>
    <w:rsid w:val="00AD4FA1"/>
    <w:rsid w:val="00AE205E"/>
    <w:rsid w:val="00AE70E3"/>
    <w:rsid w:val="00AF2FBA"/>
    <w:rsid w:val="00AF4DD5"/>
    <w:rsid w:val="00B03014"/>
    <w:rsid w:val="00B1047F"/>
    <w:rsid w:val="00B15B95"/>
    <w:rsid w:val="00B167FC"/>
    <w:rsid w:val="00B178D2"/>
    <w:rsid w:val="00B242E3"/>
    <w:rsid w:val="00B260AF"/>
    <w:rsid w:val="00B40A66"/>
    <w:rsid w:val="00B41813"/>
    <w:rsid w:val="00B41A77"/>
    <w:rsid w:val="00B458FB"/>
    <w:rsid w:val="00B460AB"/>
    <w:rsid w:val="00B519D3"/>
    <w:rsid w:val="00B5318B"/>
    <w:rsid w:val="00B54173"/>
    <w:rsid w:val="00B541FC"/>
    <w:rsid w:val="00B54223"/>
    <w:rsid w:val="00B55DFA"/>
    <w:rsid w:val="00B63509"/>
    <w:rsid w:val="00B67D13"/>
    <w:rsid w:val="00B75CE1"/>
    <w:rsid w:val="00B764C8"/>
    <w:rsid w:val="00B84AFB"/>
    <w:rsid w:val="00B84C97"/>
    <w:rsid w:val="00B85E03"/>
    <w:rsid w:val="00B86F78"/>
    <w:rsid w:val="00BB250E"/>
    <w:rsid w:val="00BB5B2B"/>
    <w:rsid w:val="00BC2EF4"/>
    <w:rsid w:val="00BC5E35"/>
    <w:rsid w:val="00BD06FE"/>
    <w:rsid w:val="00BE3C39"/>
    <w:rsid w:val="00BE61DC"/>
    <w:rsid w:val="00BF1F48"/>
    <w:rsid w:val="00BF4E9B"/>
    <w:rsid w:val="00BF6448"/>
    <w:rsid w:val="00BF6CAD"/>
    <w:rsid w:val="00C00049"/>
    <w:rsid w:val="00C02836"/>
    <w:rsid w:val="00C10E74"/>
    <w:rsid w:val="00C11825"/>
    <w:rsid w:val="00C134F0"/>
    <w:rsid w:val="00C16FD0"/>
    <w:rsid w:val="00C1760D"/>
    <w:rsid w:val="00C176DD"/>
    <w:rsid w:val="00C233F4"/>
    <w:rsid w:val="00C24532"/>
    <w:rsid w:val="00C33C10"/>
    <w:rsid w:val="00C33D72"/>
    <w:rsid w:val="00C34332"/>
    <w:rsid w:val="00C361C7"/>
    <w:rsid w:val="00C36FBA"/>
    <w:rsid w:val="00C40060"/>
    <w:rsid w:val="00C420A2"/>
    <w:rsid w:val="00C424A9"/>
    <w:rsid w:val="00C441F0"/>
    <w:rsid w:val="00C46F17"/>
    <w:rsid w:val="00C51FD5"/>
    <w:rsid w:val="00C55654"/>
    <w:rsid w:val="00C5623E"/>
    <w:rsid w:val="00C5747C"/>
    <w:rsid w:val="00C57481"/>
    <w:rsid w:val="00C60762"/>
    <w:rsid w:val="00C664F4"/>
    <w:rsid w:val="00C67109"/>
    <w:rsid w:val="00C71616"/>
    <w:rsid w:val="00C725CB"/>
    <w:rsid w:val="00C740C3"/>
    <w:rsid w:val="00C75A55"/>
    <w:rsid w:val="00C76F57"/>
    <w:rsid w:val="00C90655"/>
    <w:rsid w:val="00C94250"/>
    <w:rsid w:val="00C97BCF"/>
    <w:rsid w:val="00CA1C65"/>
    <w:rsid w:val="00CA515D"/>
    <w:rsid w:val="00CA6B5A"/>
    <w:rsid w:val="00CA7579"/>
    <w:rsid w:val="00CB2536"/>
    <w:rsid w:val="00CC0B71"/>
    <w:rsid w:val="00CC743C"/>
    <w:rsid w:val="00CD671E"/>
    <w:rsid w:val="00CD6727"/>
    <w:rsid w:val="00CD67CA"/>
    <w:rsid w:val="00CD7C97"/>
    <w:rsid w:val="00CD7EB4"/>
    <w:rsid w:val="00CE495C"/>
    <w:rsid w:val="00CE628D"/>
    <w:rsid w:val="00CE6485"/>
    <w:rsid w:val="00CE7E6B"/>
    <w:rsid w:val="00CF0AB6"/>
    <w:rsid w:val="00CF2ABD"/>
    <w:rsid w:val="00CF2C00"/>
    <w:rsid w:val="00CF4868"/>
    <w:rsid w:val="00CF57D9"/>
    <w:rsid w:val="00CF6574"/>
    <w:rsid w:val="00D0216B"/>
    <w:rsid w:val="00D03DF4"/>
    <w:rsid w:val="00D04E33"/>
    <w:rsid w:val="00D050DE"/>
    <w:rsid w:val="00D06C67"/>
    <w:rsid w:val="00D14014"/>
    <w:rsid w:val="00D15947"/>
    <w:rsid w:val="00D15DA8"/>
    <w:rsid w:val="00D20D7B"/>
    <w:rsid w:val="00D2120B"/>
    <w:rsid w:val="00D2216A"/>
    <w:rsid w:val="00D339B8"/>
    <w:rsid w:val="00D350D5"/>
    <w:rsid w:val="00D41DD2"/>
    <w:rsid w:val="00D4317D"/>
    <w:rsid w:val="00D44CE5"/>
    <w:rsid w:val="00D52FF6"/>
    <w:rsid w:val="00D543A8"/>
    <w:rsid w:val="00D55457"/>
    <w:rsid w:val="00D60F5C"/>
    <w:rsid w:val="00D62E1E"/>
    <w:rsid w:val="00D637E9"/>
    <w:rsid w:val="00D705B4"/>
    <w:rsid w:val="00D70AD7"/>
    <w:rsid w:val="00D7240E"/>
    <w:rsid w:val="00D809BC"/>
    <w:rsid w:val="00D81BBB"/>
    <w:rsid w:val="00D833F3"/>
    <w:rsid w:val="00D86C7E"/>
    <w:rsid w:val="00D95850"/>
    <w:rsid w:val="00D967C2"/>
    <w:rsid w:val="00DA3947"/>
    <w:rsid w:val="00DA4E5E"/>
    <w:rsid w:val="00DA6C96"/>
    <w:rsid w:val="00DB127A"/>
    <w:rsid w:val="00DB16AE"/>
    <w:rsid w:val="00DB4DA2"/>
    <w:rsid w:val="00DC396F"/>
    <w:rsid w:val="00DC6AF3"/>
    <w:rsid w:val="00DD1921"/>
    <w:rsid w:val="00DD2B28"/>
    <w:rsid w:val="00DD5368"/>
    <w:rsid w:val="00DD6181"/>
    <w:rsid w:val="00DD785C"/>
    <w:rsid w:val="00DE18CE"/>
    <w:rsid w:val="00DE58F5"/>
    <w:rsid w:val="00DE62FC"/>
    <w:rsid w:val="00DF0998"/>
    <w:rsid w:val="00E073C5"/>
    <w:rsid w:val="00E1134E"/>
    <w:rsid w:val="00E174BB"/>
    <w:rsid w:val="00E17EBF"/>
    <w:rsid w:val="00E22259"/>
    <w:rsid w:val="00E23310"/>
    <w:rsid w:val="00E25936"/>
    <w:rsid w:val="00E265F4"/>
    <w:rsid w:val="00E26C5D"/>
    <w:rsid w:val="00E320AE"/>
    <w:rsid w:val="00E35267"/>
    <w:rsid w:val="00E418AB"/>
    <w:rsid w:val="00E420A0"/>
    <w:rsid w:val="00E5198F"/>
    <w:rsid w:val="00E525C7"/>
    <w:rsid w:val="00E55DBE"/>
    <w:rsid w:val="00E570D3"/>
    <w:rsid w:val="00E653DB"/>
    <w:rsid w:val="00E65F8E"/>
    <w:rsid w:val="00E747CA"/>
    <w:rsid w:val="00E7666A"/>
    <w:rsid w:val="00E81349"/>
    <w:rsid w:val="00E81DDB"/>
    <w:rsid w:val="00E84FD2"/>
    <w:rsid w:val="00E85313"/>
    <w:rsid w:val="00E92B5D"/>
    <w:rsid w:val="00E94B8A"/>
    <w:rsid w:val="00E94BCD"/>
    <w:rsid w:val="00EA078F"/>
    <w:rsid w:val="00EA135F"/>
    <w:rsid w:val="00EA1B36"/>
    <w:rsid w:val="00EA216A"/>
    <w:rsid w:val="00EA6087"/>
    <w:rsid w:val="00EB11A4"/>
    <w:rsid w:val="00EB4592"/>
    <w:rsid w:val="00EC172B"/>
    <w:rsid w:val="00EC2F45"/>
    <w:rsid w:val="00EC7378"/>
    <w:rsid w:val="00ED277A"/>
    <w:rsid w:val="00EF0331"/>
    <w:rsid w:val="00F02DAC"/>
    <w:rsid w:val="00F22519"/>
    <w:rsid w:val="00F31511"/>
    <w:rsid w:val="00F35089"/>
    <w:rsid w:val="00F36887"/>
    <w:rsid w:val="00F4058E"/>
    <w:rsid w:val="00F408B2"/>
    <w:rsid w:val="00F45DB9"/>
    <w:rsid w:val="00F532DA"/>
    <w:rsid w:val="00F57E17"/>
    <w:rsid w:val="00F61113"/>
    <w:rsid w:val="00F62D41"/>
    <w:rsid w:val="00F67E7D"/>
    <w:rsid w:val="00F705DB"/>
    <w:rsid w:val="00F72A9D"/>
    <w:rsid w:val="00F74177"/>
    <w:rsid w:val="00F749EB"/>
    <w:rsid w:val="00F7726A"/>
    <w:rsid w:val="00F7734E"/>
    <w:rsid w:val="00F827FC"/>
    <w:rsid w:val="00F85185"/>
    <w:rsid w:val="00F859A0"/>
    <w:rsid w:val="00F87883"/>
    <w:rsid w:val="00F909B4"/>
    <w:rsid w:val="00F90D14"/>
    <w:rsid w:val="00F946C9"/>
    <w:rsid w:val="00F95041"/>
    <w:rsid w:val="00F9646A"/>
    <w:rsid w:val="00FA1E6B"/>
    <w:rsid w:val="00FA3A35"/>
    <w:rsid w:val="00FB365C"/>
    <w:rsid w:val="00FB4B47"/>
    <w:rsid w:val="00FB7230"/>
    <w:rsid w:val="00FC099F"/>
    <w:rsid w:val="00FC1AFA"/>
    <w:rsid w:val="00FC623E"/>
    <w:rsid w:val="00FD30A0"/>
    <w:rsid w:val="00FD6667"/>
    <w:rsid w:val="00FE1344"/>
    <w:rsid w:val="00FE1D76"/>
    <w:rsid w:val="00FE2C3A"/>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E320AE"/>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semiHidden/>
    <w:unhideWhenUsed/>
    <w:qFormat/>
    <w:locked/>
    <w:rsid w:val="0033562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styleId="Tabellenraster">
    <w:name w:val="Table Grid"/>
    <w:basedOn w:val="NormaleTabelle"/>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E320AE"/>
    <w:rPr>
      <w:rFonts w:ascii="Cambria" w:hAnsi="Cambria"/>
      <w:b/>
      <w:bCs/>
      <w:kern w:val="32"/>
      <w:sz w:val="32"/>
      <w:szCs w:val="32"/>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paragraph" w:styleId="Funotentext">
    <w:name w:val="footnote text"/>
    <w:basedOn w:val="Standard"/>
    <w:link w:val="FunotentextZchn"/>
    <w:uiPriority w:val="99"/>
    <w:semiHidden/>
    <w:unhideWhenUsed/>
    <w:rsid w:val="00F87883"/>
    <w:rPr>
      <w:sz w:val="20"/>
      <w:lang w:val="x-none" w:eastAsia="x-none"/>
    </w:rPr>
  </w:style>
  <w:style w:type="character" w:customStyle="1" w:styleId="FunotentextZchn">
    <w:name w:val="Fußnotentext Zchn"/>
    <w:basedOn w:val="Absatz-Standardschriftart"/>
    <w:link w:val="Funotentext"/>
    <w:uiPriority w:val="99"/>
    <w:semiHidden/>
    <w:rsid w:val="00F87883"/>
    <w:rPr>
      <w:rFonts w:ascii="Arial" w:hAnsi="Arial"/>
      <w:lang w:val="x-none" w:eastAsia="x-none"/>
    </w:rPr>
  </w:style>
  <w:style w:type="character" w:styleId="Funotenzeichen">
    <w:name w:val="footnote reference"/>
    <w:uiPriority w:val="99"/>
    <w:semiHidden/>
    <w:unhideWhenUsed/>
    <w:rsid w:val="00F87883"/>
    <w:rPr>
      <w:vertAlign w:val="superscript"/>
    </w:rPr>
  </w:style>
  <w:style w:type="paragraph" w:customStyle="1" w:styleId="Default">
    <w:name w:val="Default"/>
    <w:rsid w:val="00FA3A35"/>
    <w:pPr>
      <w:autoSpaceDE w:val="0"/>
      <w:autoSpaceDN w:val="0"/>
      <w:adjustRightInd w:val="0"/>
    </w:pPr>
    <w:rPr>
      <w:rFonts w:ascii="Cambria" w:hAnsi="Cambria" w:cs="Cambria"/>
      <w:color w:val="000000"/>
      <w:sz w:val="24"/>
      <w:szCs w:val="24"/>
    </w:rPr>
  </w:style>
  <w:style w:type="paragraph" w:styleId="Beschriftung">
    <w:name w:val="caption"/>
    <w:basedOn w:val="Standard"/>
    <w:next w:val="Standard"/>
    <w:uiPriority w:val="99"/>
    <w:unhideWhenUsed/>
    <w:qFormat/>
    <w:locked/>
    <w:rsid w:val="00FA3A35"/>
    <w:pPr>
      <w:spacing w:after="200"/>
    </w:pPr>
    <w:rPr>
      <w:i/>
      <w:iCs/>
      <w:color w:val="44546A" w:themeColor="text2"/>
      <w:sz w:val="18"/>
      <w:szCs w:val="18"/>
    </w:rPr>
  </w:style>
  <w:style w:type="character" w:styleId="Fett">
    <w:name w:val="Strong"/>
    <w:uiPriority w:val="22"/>
    <w:qFormat/>
    <w:locked/>
    <w:rsid w:val="009712F5"/>
    <w:rPr>
      <w:b/>
      <w:bCs/>
    </w:rPr>
  </w:style>
  <w:style w:type="paragraph" w:customStyle="1" w:styleId="Formatvorlage1">
    <w:name w:val="Formatvorlage1"/>
    <w:basedOn w:val="Titel"/>
    <w:link w:val="Formatvorlage1Zchn"/>
    <w:qFormat/>
    <w:rsid w:val="009712F5"/>
    <w:pPr>
      <w:spacing w:before="240" w:after="60"/>
      <w:contextualSpacing w:val="0"/>
      <w:outlineLvl w:val="0"/>
    </w:pPr>
    <w:rPr>
      <w:rFonts w:ascii="Arial" w:eastAsia="Times New Roman" w:hAnsi="Arial" w:cs="Arial"/>
      <w:b/>
      <w:bCs/>
      <w:spacing w:val="0"/>
      <w:sz w:val="24"/>
      <w:szCs w:val="32"/>
      <w:u w:val="single"/>
    </w:rPr>
  </w:style>
  <w:style w:type="character" w:customStyle="1" w:styleId="Formatvorlage1Zchn">
    <w:name w:val="Formatvorlage1 Zchn"/>
    <w:link w:val="Formatvorlage1"/>
    <w:rsid w:val="009712F5"/>
    <w:rPr>
      <w:rFonts w:ascii="Arial" w:hAnsi="Arial" w:cs="Arial"/>
      <w:b/>
      <w:bCs/>
      <w:kern w:val="28"/>
      <w:sz w:val="24"/>
      <w:szCs w:val="32"/>
      <w:u w:val="single"/>
    </w:rPr>
  </w:style>
  <w:style w:type="paragraph" w:styleId="Titel">
    <w:name w:val="Title"/>
    <w:basedOn w:val="Standard"/>
    <w:next w:val="Standard"/>
    <w:link w:val="TitelZchn"/>
    <w:qFormat/>
    <w:locked/>
    <w:rsid w:val="009712F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712F5"/>
    <w:rPr>
      <w:rFonts w:asciiTheme="majorHAnsi" w:eastAsiaTheme="majorEastAsia" w:hAnsiTheme="majorHAnsi" w:cstheme="majorBidi"/>
      <w:spacing w:val="-10"/>
      <w:kern w:val="28"/>
      <w:sz w:val="56"/>
      <w:szCs w:val="56"/>
    </w:rPr>
  </w:style>
  <w:style w:type="character" w:styleId="Hyperlink">
    <w:name w:val="Hyperlink"/>
    <w:uiPriority w:val="99"/>
    <w:unhideWhenUsed/>
    <w:rsid w:val="006618CF"/>
    <w:rPr>
      <w:color w:val="0000FF"/>
      <w:u w:val="single"/>
    </w:rPr>
  </w:style>
  <w:style w:type="character" w:customStyle="1" w:styleId="berschrift3Zchn">
    <w:name w:val="Überschrift 3 Zchn"/>
    <w:basedOn w:val="Absatz-Standardschriftart"/>
    <w:link w:val="berschrift3"/>
    <w:semiHidden/>
    <w:rsid w:val="0033562E"/>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Absatz-Standardschriftart"/>
    <w:rsid w:val="0030168A"/>
  </w:style>
  <w:style w:type="character" w:styleId="IntensiveHervorhebung">
    <w:name w:val="Intense Emphasis"/>
    <w:basedOn w:val="Absatz-Standardschriftart"/>
    <w:uiPriority w:val="21"/>
    <w:qFormat/>
    <w:rsid w:val="00CA515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0" ma:contentTypeDescription="Ein neues Dokument erstellen." ma:contentTypeScope="" ma:versionID="e4c23a9a2793195ba939343c98d70f73">
  <xsd:schema xmlns:xsd="http://www.w3.org/2001/XMLSchema" xmlns:xs="http://www.w3.org/2001/XMLSchema" xmlns:p="http://schemas.microsoft.com/office/2006/metadata/properties" xmlns:ns2="0ba9638b-9898-400c-aa80-e8ce42f10e4c" targetNamespace="http://schemas.microsoft.com/office/2006/metadata/properties" ma:root="true" ma:fieldsID="303bd03723d58fbe55d672c4a7e6d136" ns2:_="">
    <xsd:import namespace="0ba9638b-9898-400c-aa80-e8ce42f10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E8D86-8873-4EF5-A49E-5C5FE62FE27B}">
  <ds:schemaRefs>
    <ds:schemaRef ds:uri="http://schemas.microsoft.com/sharepoint/v3/contenttype/forms"/>
  </ds:schemaRefs>
</ds:datastoreItem>
</file>

<file path=customXml/itemProps2.xml><?xml version="1.0" encoding="utf-8"?>
<ds:datastoreItem xmlns:ds="http://schemas.openxmlformats.org/officeDocument/2006/customXml" ds:itemID="{7ACE59A2-3AEE-4F48-B0FF-F38FCE02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6867</Characters>
  <Application>Microsoft Office Word</Application>
  <DocSecurity>0</DocSecurity>
  <Lines>57</Lines>
  <Paragraphs>15</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Sicherheitsunterweisung 02_2010</vt:lpstr>
      <vt:lpstr>Auswahl von Stromerzeugern </vt:lpstr>
      <vt:lpstr/>
      <vt:lpstr>Bauartnormen</vt:lpstr>
      <vt:lpstr/>
      <vt:lpstr>Die Schutzmaßnahem und Ausführungen gemäß DGUV-Information 203-032</vt:lpstr>
    </vt:vector>
  </TitlesOfParts>
  <Company>Axima GmbH</Company>
  <LinksUpToDate>false</LinksUpToDate>
  <CharactersWithSpaces>7941</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Stefan Euler</dc:creator>
  <cp:keywords/>
  <cp:lastModifiedBy>René Brünn</cp:lastModifiedBy>
  <cp:revision>6</cp:revision>
  <cp:lastPrinted>2016-03-18T13:13:00Z</cp:lastPrinted>
  <dcterms:created xsi:type="dcterms:W3CDTF">2022-07-23T23:43:00Z</dcterms:created>
  <dcterms:modified xsi:type="dcterms:W3CDTF">2022-12-06T10:27:00Z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ies>
</file>