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EF07" w14:textId="77777777" w:rsidR="00DA301A" w:rsidRPr="00DA301A" w:rsidRDefault="00DA301A" w:rsidP="00DA301A">
      <w:pPr>
        <w:jc w:val="both"/>
        <w:rPr>
          <w:color w:val="000000" w:themeColor="text1"/>
        </w:rPr>
      </w:pPr>
      <w:r w:rsidRPr="00DA301A">
        <w:rPr>
          <w:b/>
          <w:color w:val="000000" w:themeColor="text1"/>
          <w:u w:val="single"/>
        </w:rPr>
        <w:t>Allgemeines:</w:t>
      </w:r>
    </w:p>
    <w:p w14:paraId="2AB8C393" w14:textId="78C3D45B" w:rsidR="00DA301A" w:rsidRPr="00DA301A" w:rsidRDefault="00DA301A" w:rsidP="00DA301A">
      <w:pPr>
        <w:jc w:val="both"/>
        <w:rPr>
          <w:color w:val="000000" w:themeColor="text1"/>
        </w:rPr>
      </w:pPr>
      <w:r w:rsidRPr="00DA301A">
        <w:rPr>
          <w:color w:val="000000" w:themeColor="text1"/>
        </w:rPr>
        <w:t>Ein unabsichtliches Wiederanlaufen von elektrischen Betriebsmitteln durch wiederkehrende Versorgungsspannung kann unter Umständen gefährlich sein, wenn nach dem unerwarteten Spannungsausfall das (noch eingeschaltete) Elektrowerkzeug/Arbeitsmittel achtlos zur Seite gelegt wurde. Wird die Stromversorgung ebenso plötzlich wiederhergestellt, werden dadurch die nicht ausgeschalteten Elektrowerkzeuge automatisch wieder eingeschaltet. Dies kann gerade bei gefährlichen Werkzeugen wie Sägen, Trennschleifern oder Bohrmaschinen zu schweren Verletzungen führen, da die Benutzer häufig nicht mit der Wiederkehr des Stroms rechnen.</w:t>
      </w:r>
    </w:p>
    <w:p w14:paraId="0BB6A16C" w14:textId="77777777" w:rsidR="00DA301A" w:rsidRDefault="00DA301A" w:rsidP="00DA301A">
      <w:pPr>
        <w:jc w:val="both"/>
        <w:rPr>
          <w:b/>
          <w:color w:val="000000" w:themeColor="text1"/>
          <w:u w:val="single"/>
        </w:rPr>
      </w:pPr>
    </w:p>
    <w:p w14:paraId="1141B5F4" w14:textId="77777777" w:rsidR="00DA301A" w:rsidRPr="00DA301A" w:rsidRDefault="00DA301A" w:rsidP="00DA301A">
      <w:pPr>
        <w:jc w:val="both"/>
        <w:rPr>
          <w:b/>
          <w:color w:val="000000" w:themeColor="text1"/>
          <w:u w:val="single"/>
        </w:rPr>
      </w:pPr>
      <w:r w:rsidRPr="00DA301A">
        <w:rPr>
          <w:b/>
          <w:color w:val="000000" w:themeColor="text1"/>
          <w:u w:val="single"/>
        </w:rPr>
        <w:t>Gesetzgebung:</w:t>
      </w:r>
    </w:p>
    <w:p w14:paraId="20EE0618" w14:textId="77777777" w:rsidR="00DA301A" w:rsidRPr="00DA301A" w:rsidRDefault="00DA301A" w:rsidP="00DA301A">
      <w:pPr>
        <w:jc w:val="both"/>
        <w:rPr>
          <w:i/>
          <w:color w:val="000000" w:themeColor="text1"/>
        </w:rPr>
      </w:pPr>
      <w:r w:rsidRPr="00DA301A">
        <w:rPr>
          <w:color w:val="000000" w:themeColor="text1"/>
        </w:rPr>
        <w:t>Die Betriebssicherheitsverordnung (BetrSichV) § 8 Satz 4 gibt hierzu die Anforderung, „</w:t>
      </w:r>
      <w:r w:rsidRPr="00DA301A">
        <w:rPr>
          <w:i/>
          <w:color w:val="000000" w:themeColor="text1"/>
        </w:rPr>
        <w:t xml:space="preserve">Arbeitsmittel dürfen nur absichtlich in Gang gesetzt werden können. Soweit erforderlich, muss das Ingangsetzen sicher verhindert werden können oder müssen sich die Beschäftigten Gefährdungen durch das in Gang gesetzte Arbeitsmittel rechtzeitig entziehen können. Hierbei und bei Änderungen des Betriebszustands muss auch die Sicherheit im Gefahrenbereich durch geeignete Maßnahmen gewährleistet werden.“ </w:t>
      </w:r>
    </w:p>
    <w:p w14:paraId="666C7FE3" w14:textId="254E0A11" w:rsidR="00DA301A" w:rsidRPr="00DA301A" w:rsidRDefault="00DA301A" w:rsidP="00DA301A">
      <w:pPr>
        <w:jc w:val="both"/>
        <w:rPr>
          <w:color w:val="000000" w:themeColor="text1"/>
        </w:rPr>
      </w:pPr>
      <w:r w:rsidRPr="00DA301A">
        <w:rPr>
          <w:color w:val="000000" w:themeColor="text1"/>
        </w:rPr>
        <w:t>Die Kernaussage findet sich auch in der Maschinenrichtlinie 2006/42/EG unter Punkt 1.2.3 – „Ingangsetzen“ wieder in welchem es heißt</w:t>
      </w:r>
      <w:r w:rsidR="00446EB1">
        <w:rPr>
          <w:color w:val="000000" w:themeColor="text1"/>
        </w:rPr>
        <w:t>:</w:t>
      </w:r>
      <w:r w:rsidRPr="00DA301A">
        <w:rPr>
          <w:color w:val="000000" w:themeColor="text1"/>
        </w:rPr>
        <w:t xml:space="preserve"> </w:t>
      </w:r>
      <w:r w:rsidRPr="00DA301A">
        <w:rPr>
          <w:i/>
          <w:color w:val="000000" w:themeColor="text1"/>
        </w:rPr>
        <w:t>„</w:t>
      </w:r>
      <w:r w:rsidR="00446EB1">
        <w:rPr>
          <w:i/>
          <w:color w:val="000000" w:themeColor="text1"/>
        </w:rPr>
        <w:t>D</w:t>
      </w:r>
      <w:r w:rsidRPr="00DA301A">
        <w:rPr>
          <w:i/>
          <w:color w:val="000000" w:themeColor="text1"/>
        </w:rPr>
        <w:t xml:space="preserve">as Ingangsetzen einer Maschine darf nur durch absichtliches Betätigen einer hierfür vorgesehenen Befehlseinrichtung möglich sein. Dieses gilt auch für das </w:t>
      </w:r>
      <w:proofErr w:type="spellStart"/>
      <w:r w:rsidRPr="00DA301A">
        <w:rPr>
          <w:i/>
          <w:color w:val="000000" w:themeColor="text1"/>
        </w:rPr>
        <w:t>Wiederingangsetzen</w:t>
      </w:r>
      <w:proofErr w:type="spellEnd"/>
      <w:r w:rsidRPr="00DA301A">
        <w:rPr>
          <w:i/>
          <w:color w:val="000000" w:themeColor="text1"/>
        </w:rPr>
        <w:t xml:space="preserve"> nach einem Stillstand ungeachtet der Ursache für diesen Stillstand.“</w:t>
      </w:r>
      <w:r w:rsidRPr="00DA301A">
        <w:rPr>
          <w:color w:val="000000" w:themeColor="text1"/>
        </w:rPr>
        <w:t xml:space="preserve"> </w:t>
      </w:r>
    </w:p>
    <w:p w14:paraId="1FA07E10" w14:textId="08214D82" w:rsidR="00DA301A" w:rsidRDefault="00DA301A" w:rsidP="00DA301A">
      <w:pPr>
        <w:jc w:val="both"/>
        <w:rPr>
          <w:color w:val="000000" w:themeColor="text1"/>
        </w:rPr>
      </w:pPr>
      <w:r w:rsidRPr="00DA301A">
        <w:rPr>
          <w:color w:val="000000" w:themeColor="text1"/>
        </w:rPr>
        <w:t xml:space="preserve">Im Klartext bedeutet es, dass ein automatisches Einschalten der Betriebsmittel nach dem Wegfall und anschließender Wiederkehr der Versorgungsspannung zu verhindern ist, um gefahrbringende Bewegung des Arbeitsmittels für den Anwender möglichst zu verhindern. Diese betrifft </w:t>
      </w:r>
      <w:r w:rsidR="00AD3D36">
        <w:rPr>
          <w:color w:val="000000" w:themeColor="text1"/>
        </w:rPr>
        <w:br/>
      </w:r>
      <w:r w:rsidRPr="00DA301A">
        <w:rPr>
          <w:color w:val="000000" w:themeColor="text1"/>
        </w:rPr>
        <w:t>ältere und auch neue Arbeitsmittel gleichermaßen.</w:t>
      </w:r>
    </w:p>
    <w:p w14:paraId="024C76B4" w14:textId="77777777" w:rsidR="00DA301A" w:rsidRPr="00DA301A" w:rsidRDefault="00DA301A" w:rsidP="00DA301A">
      <w:pPr>
        <w:jc w:val="both"/>
        <w:rPr>
          <w:color w:val="000000" w:themeColor="text1"/>
        </w:rPr>
      </w:pPr>
    </w:p>
    <w:p w14:paraId="6B10FF6E" w14:textId="77777777" w:rsidR="00DA301A" w:rsidRPr="00DA301A" w:rsidRDefault="00DA301A" w:rsidP="00DA301A">
      <w:pPr>
        <w:jc w:val="both"/>
        <w:rPr>
          <w:b/>
          <w:color w:val="000000" w:themeColor="text1"/>
          <w:u w:val="single"/>
        </w:rPr>
      </w:pPr>
      <w:r w:rsidRPr="00DA301A">
        <w:rPr>
          <w:b/>
          <w:color w:val="000000" w:themeColor="text1"/>
          <w:u w:val="single"/>
        </w:rPr>
        <w:t>Umsetzung:</w:t>
      </w:r>
    </w:p>
    <w:p w14:paraId="06241414" w14:textId="543DAECC" w:rsidR="00DA301A" w:rsidRPr="00DA301A" w:rsidRDefault="00DA301A" w:rsidP="00DA301A">
      <w:pPr>
        <w:jc w:val="both"/>
        <w:rPr>
          <w:color w:val="000000" w:themeColor="text1"/>
        </w:rPr>
      </w:pPr>
      <w:r w:rsidRPr="00DA301A">
        <w:rPr>
          <w:color w:val="000000" w:themeColor="text1"/>
        </w:rPr>
        <w:t xml:space="preserve">Grundsätzlich gilt, dass der Arbeitgeber bzw. der Unternehmer über sämtliche Prozesse des Arbeitsschutzes nach Arbeitsschutzgesetz § 5 und DGUV Vorschrift 1 eine Gefährdungsbeurteilung zu erstellen hat. § 3 </w:t>
      </w:r>
      <w:r w:rsidR="00446EB1">
        <w:rPr>
          <w:color w:val="000000" w:themeColor="text1"/>
        </w:rPr>
        <w:t>Abs</w:t>
      </w:r>
      <w:r w:rsidRPr="00DA301A">
        <w:rPr>
          <w:color w:val="000000" w:themeColor="text1"/>
        </w:rPr>
        <w:t xml:space="preserve">atz 3 </w:t>
      </w:r>
      <w:r w:rsidR="00446EB1">
        <w:rPr>
          <w:color w:val="000000" w:themeColor="text1"/>
        </w:rPr>
        <w:t xml:space="preserve">der </w:t>
      </w:r>
      <w:r w:rsidRPr="00DA301A">
        <w:rPr>
          <w:color w:val="000000" w:themeColor="text1"/>
        </w:rPr>
        <w:t xml:space="preserve">Betriebssicherheitsverordnung konkretisiert diese Forderung dahingehend, dass mit der Gefährdungsbeurteilung bereits vor der Auswahl und der Beschaffung der Arbeitsmittel begonnen werden soll. Des </w:t>
      </w:r>
      <w:proofErr w:type="spellStart"/>
      <w:r w:rsidRPr="00DA301A">
        <w:rPr>
          <w:color w:val="000000" w:themeColor="text1"/>
        </w:rPr>
        <w:t>Weiteren</w:t>
      </w:r>
      <w:proofErr w:type="spellEnd"/>
      <w:r w:rsidRPr="00DA301A">
        <w:rPr>
          <w:color w:val="000000" w:themeColor="text1"/>
        </w:rPr>
        <w:t xml:space="preserve"> sind gemäß § 3 </w:t>
      </w:r>
      <w:r w:rsidR="00446EB1">
        <w:rPr>
          <w:color w:val="000000" w:themeColor="text1"/>
        </w:rPr>
        <w:t>Abs</w:t>
      </w:r>
      <w:r w:rsidRPr="00DA301A">
        <w:rPr>
          <w:color w:val="000000" w:themeColor="text1"/>
        </w:rPr>
        <w:t>atz 1 der BetrSichV die auftretenden Gefährdungen vor der Verwendung zu beurteilen und daraus notwendige und geeignete Schutzmaßnahmen abzuleiten. In dieser Gefährdungsbeurteilung hat der Arbeitgeber notwendige Maßnahmen in der Rangfolge des „TOP-Prinzip“ (</w:t>
      </w:r>
      <w:r w:rsidRPr="00DA301A">
        <w:rPr>
          <w:b/>
          <w:color w:val="000000" w:themeColor="text1"/>
          <w:u w:val="single"/>
        </w:rPr>
        <w:t>T</w:t>
      </w:r>
      <w:r w:rsidRPr="00DA301A">
        <w:rPr>
          <w:color w:val="000000" w:themeColor="text1"/>
        </w:rPr>
        <w:t>echnisch</w:t>
      </w:r>
      <w:r w:rsidR="00446EB1">
        <w:rPr>
          <w:color w:val="000000" w:themeColor="text1"/>
        </w:rPr>
        <w:t>e</w:t>
      </w:r>
      <w:r w:rsidRPr="00DA301A">
        <w:rPr>
          <w:color w:val="000000" w:themeColor="text1"/>
        </w:rPr>
        <w:t xml:space="preserve">, </w:t>
      </w:r>
      <w:r w:rsidRPr="00DA301A">
        <w:rPr>
          <w:b/>
          <w:color w:val="000000" w:themeColor="text1"/>
          <w:u w:val="single"/>
        </w:rPr>
        <w:t>O</w:t>
      </w:r>
      <w:r w:rsidRPr="00DA301A">
        <w:rPr>
          <w:color w:val="000000" w:themeColor="text1"/>
        </w:rPr>
        <w:t>rganisatorisch</w:t>
      </w:r>
      <w:r w:rsidR="00446EB1">
        <w:rPr>
          <w:color w:val="000000" w:themeColor="text1"/>
        </w:rPr>
        <w:t>e</w:t>
      </w:r>
      <w:r w:rsidRPr="00DA301A">
        <w:rPr>
          <w:color w:val="000000" w:themeColor="text1"/>
        </w:rPr>
        <w:t xml:space="preserve">, </w:t>
      </w:r>
      <w:r w:rsidRPr="00DA301A">
        <w:rPr>
          <w:b/>
          <w:color w:val="000000" w:themeColor="text1"/>
          <w:u w:val="single"/>
        </w:rPr>
        <w:t>P</w:t>
      </w:r>
      <w:r w:rsidRPr="00DA301A">
        <w:rPr>
          <w:color w:val="000000" w:themeColor="text1"/>
        </w:rPr>
        <w:t>ersönliche Schutzmaßnahmen) festzulegen</w:t>
      </w:r>
      <w:r w:rsidR="00446EB1">
        <w:rPr>
          <w:color w:val="000000" w:themeColor="text1"/>
        </w:rPr>
        <w:t>,</w:t>
      </w:r>
      <w:r w:rsidRPr="00DA301A">
        <w:rPr>
          <w:color w:val="000000" w:themeColor="text1"/>
        </w:rPr>
        <w:t xml:space="preserve"> um die sichere Verwendung des Arbeitsmittels zu gewährleisten. Die Gefährdungsbeurteilung darf nur von </w:t>
      </w:r>
      <w:r w:rsidR="00446EB1">
        <w:rPr>
          <w:color w:val="000000" w:themeColor="text1"/>
        </w:rPr>
        <w:t>f</w:t>
      </w:r>
      <w:r w:rsidRPr="00DA301A">
        <w:rPr>
          <w:color w:val="000000" w:themeColor="text1"/>
        </w:rPr>
        <w:t xml:space="preserve">achkundigen Personen durchgeführt werden. Gemäß § 3 </w:t>
      </w:r>
      <w:r w:rsidR="00446EB1">
        <w:rPr>
          <w:color w:val="000000" w:themeColor="text1"/>
        </w:rPr>
        <w:t>Abs</w:t>
      </w:r>
      <w:r w:rsidRPr="00DA301A">
        <w:rPr>
          <w:color w:val="000000" w:themeColor="text1"/>
        </w:rPr>
        <w:t xml:space="preserve">atz 8 </w:t>
      </w:r>
      <w:r w:rsidR="00446EB1">
        <w:rPr>
          <w:color w:val="000000" w:themeColor="text1"/>
        </w:rPr>
        <w:t xml:space="preserve">der BetrSichV </w:t>
      </w:r>
      <w:r w:rsidRPr="00DA301A">
        <w:rPr>
          <w:color w:val="000000" w:themeColor="text1"/>
        </w:rPr>
        <w:t>ist das Ergebnis der Gefährdungsbeurteilung vor der erstmaligen Verwendung zu dokumentieren.</w:t>
      </w:r>
    </w:p>
    <w:p w14:paraId="748D0EF8" w14:textId="77777777" w:rsidR="008B41D9" w:rsidRDefault="008B41D9" w:rsidP="00DA301A">
      <w:pPr>
        <w:jc w:val="both"/>
        <w:rPr>
          <w:color w:val="000000" w:themeColor="text1"/>
        </w:rPr>
      </w:pPr>
    </w:p>
    <w:p w14:paraId="67E55F64" w14:textId="26579CD0" w:rsidR="00DA301A" w:rsidRPr="00DA301A" w:rsidRDefault="00DA301A" w:rsidP="00DA301A">
      <w:pPr>
        <w:jc w:val="both"/>
        <w:rPr>
          <w:color w:val="000000" w:themeColor="text1"/>
        </w:rPr>
      </w:pPr>
      <w:r w:rsidRPr="00DA301A">
        <w:rPr>
          <w:color w:val="000000" w:themeColor="text1"/>
        </w:rPr>
        <w:t>Zur praktischen Umsetzung an gesteckten</w:t>
      </w:r>
      <w:r w:rsidR="00446EB1">
        <w:rPr>
          <w:color w:val="000000" w:themeColor="text1"/>
        </w:rPr>
        <w:t>,</w:t>
      </w:r>
      <w:r w:rsidRPr="00DA301A">
        <w:rPr>
          <w:color w:val="000000" w:themeColor="text1"/>
        </w:rPr>
        <w:t xml:space="preserve"> ortsfesten Arbeitsmitteln (z. B. Ständerbohrmaschinen, Schleifbock, Säge, …)</w:t>
      </w:r>
      <w:r w:rsidR="00446EB1">
        <w:rPr>
          <w:color w:val="000000" w:themeColor="text1"/>
        </w:rPr>
        <w:t>,</w:t>
      </w:r>
      <w:r w:rsidRPr="00DA301A">
        <w:rPr>
          <w:color w:val="000000" w:themeColor="text1"/>
        </w:rPr>
        <w:t xml:space="preserve"> bei denen der Wiederanlaufschutzes gemäß BetrSichV § 8 </w:t>
      </w:r>
      <w:r w:rsidR="00446EB1">
        <w:rPr>
          <w:color w:val="000000" w:themeColor="text1"/>
        </w:rPr>
        <w:t>Abs</w:t>
      </w:r>
      <w:r w:rsidRPr="00DA301A">
        <w:rPr>
          <w:color w:val="000000" w:themeColor="text1"/>
        </w:rPr>
        <w:t>atz 4 nicht gegeben ist, kann ggf.</w:t>
      </w:r>
      <w:r w:rsidR="008B41D9">
        <w:rPr>
          <w:color w:val="000000" w:themeColor="text1"/>
        </w:rPr>
        <w:t xml:space="preserve"> an dem Arbeitsmittel</w:t>
      </w:r>
      <w:r w:rsidRPr="00DA301A">
        <w:rPr>
          <w:color w:val="000000" w:themeColor="text1"/>
        </w:rPr>
        <w:t xml:space="preserve"> selbst </w:t>
      </w:r>
      <w:r w:rsidR="00446EB1">
        <w:rPr>
          <w:color w:val="000000" w:themeColor="text1"/>
        </w:rPr>
        <w:t>ein</w:t>
      </w:r>
      <w:r w:rsidR="00446EB1" w:rsidRPr="00DA301A">
        <w:rPr>
          <w:color w:val="000000" w:themeColor="text1"/>
        </w:rPr>
        <w:t xml:space="preserve"> </w:t>
      </w:r>
      <w:r w:rsidRPr="00DA301A">
        <w:rPr>
          <w:color w:val="000000" w:themeColor="text1"/>
        </w:rPr>
        <w:t>Austausch des Geräteschalters durch einen Geräteschalter mit integrierter</w:t>
      </w:r>
      <w:r w:rsidR="008B41D9">
        <w:rPr>
          <w:color w:val="000000" w:themeColor="text1"/>
        </w:rPr>
        <w:t xml:space="preserve"> </w:t>
      </w:r>
      <w:r w:rsidRPr="00DA301A">
        <w:rPr>
          <w:color w:val="000000" w:themeColor="text1"/>
        </w:rPr>
        <w:t xml:space="preserve">Unterspannungsschutzauslösung bzw. durch den Einbau einer entsprechenden Gerätesteckdose mit kombinierter Unterspannungsschutzauslösung nachträglich erfolgen. </w:t>
      </w:r>
    </w:p>
    <w:p w14:paraId="65897962" w14:textId="77777777" w:rsidR="00DA301A" w:rsidRPr="00DA301A" w:rsidRDefault="00DA301A" w:rsidP="00DA301A">
      <w:pPr>
        <w:jc w:val="both"/>
        <w:rPr>
          <w:color w:val="000000" w:themeColor="text1"/>
        </w:rPr>
      </w:pPr>
    </w:p>
    <w:p w14:paraId="6C8FC3CE" w14:textId="77777777" w:rsidR="00FA2E98" w:rsidRDefault="00FA2E98" w:rsidP="00DA301A">
      <w:pPr>
        <w:jc w:val="both"/>
        <w:rPr>
          <w:color w:val="000000" w:themeColor="text1"/>
        </w:rPr>
      </w:pPr>
      <w:r>
        <w:rPr>
          <w:color w:val="000000" w:themeColor="text1"/>
        </w:rPr>
        <w:br w:type="page"/>
      </w:r>
    </w:p>
    <w:p w14:paraId="6602A0AE" w14:textId="08A63D71" w:rsidR="00DA301A" w:rsidRPr="00DA301A" w:rsidRDefault="00DA301A" w:rsidP="00DA301A">
      <w:pPr>
        <w:jc w:val="both"/>
        <w:rPr>
          <w:color w:val="000000" w:themeColor="text1"/>
        </w:rPr>
      </w:pPr>
      <w:r w:rsidRPr="00DA301A">
        <w:rPr>
          <w:color w:val="000000" w:themeColor="text1"/>
        </w:rPr>
        <w:lastRenderedPageBreak/>
        <w:t>Eine weitere einfache Maßnahme zum Schutz gegen unbeabsichtigtes und unkontrolliertes Wiederanlaufen bei Arbeiten mit ortsveränderlichen elektrischen Arbeitsmitteln (z. B. Winkelschleifern, Bohrmaschinen, …)</w:t>
      </w:r>
      <w:r w:rsidR="00446EB1">
        <w:rPr>
          <w:color w:val="000000" w:themeColor="text1"/>
        </w:rPr>
        <w:t>,</w:t>
      </w:r>
      <w:r w:rsidRPr="00DA301A">
        <w:rPr>
          <w:color w:val="000000" w:themeColor="text1"/>
        </w:rPr>
        <w:t xml:space="preserve"> die nicht über den geforderten Wiederanlaufschutz gemäß BetrSichV § 8 </w:t>
      </w:r>
      <w:r w:rsidR="00446EB1">
        <w:rPr>
          <w:color w:val="000000" w:themeColor="text1"/>
        </w:rPr>
        <w:t>Abs</w:t>
      </w:r>
      <w:r w:rsidRPr="00DA301A">
        <w:rPr>
          <w:color w:val="000000" w:themeColor="text1"/>
        </w:rPr>
        <w:t>atz 4 verfügen, ist dieses Arbeitsmittel übe</w:t>
      </w:r>
      <w:r w:rsidR="008B41D9">
        <w:rPr>
          <w:color w:val="000000" w:themeColor="text1"/>
        </w:rPr>
        <w:t>r ortsveränderliche Fehlerstrom-</w:t>
      </w:r>
      <w:r w:rsidRPr="00DA301A">
        <w:rPr>
          <w:color w:val="000000" w:themeColor="text1"/>
        </w:rPr>
        <w:t xml:space="preserve">Schutzeinrichtungen PRCD-S (PRCD = </w:t>
      </w:r>
      <w:r w:rsidRPr="00DA301A">
        <w:rPr>
          <w:b/>
          <w:color w:val="000000" w:themeColor="text1"/>
        </w:rPr>
        <w:t>P</w:t>
      </w:r>
      <w:r w:rsidRPr="00DA301A">
        <w:rPr>
          <w:color w:val="000000" w:themeColor="text1"/>
        </w:rPr>
        <w:t xml:space="preserve">ortable </w:t>
      </w:r>
      <w:r w:rsidRPr="00DA301A">
        <w:rPr>
          <w:b/>
          <w:color w:val="000000" w:themeColor="text1"/>
        </w:rPr>
        <w:t>R</w:t>
      </w:r>
      <w:r w:rsidRPr="00DA301A">
        <w:rPr>
          <w:color w:val="000000" w:themeColor="text1"/>
        </w:rPr>
        <w:t xml:space="preserve">esidual </w:t>
      </w:r>
      <w:proofErr w:type="spellStart"/>
      <w:r w:rsidRPr="00DA301A">
        <w:rPr>
          <w:b/>
          <w:color w:val="000000" w:themeColor="text1"/>
        </w:rPr>
        <w:t>C</w:t>
      </w:r>
      <w:r w:rsidRPr="00DA301A">
        <w:rPr>
          <w:color w:val="000000" w:themeColor="text1"/>
        </w:rPr>
        <w:t>urrent</w:t>
      </w:r>
      <w:proofErr w:type="spellEnd"/>
      <w:r w:rsidRPr="00DA301A">
        <w:rPr>
          <w:color w:val="000000" w:themeColor="text1"/>
        </w:rPr>
        <w:t xml:space="preserve"> </w:t>
      </w:r>
      <w:r w:rsidRPr="00DA301A">
        <w:rPr>
          <w:b/>
          <w:color w:val="000000" w:themeColor="text1"/>
        </w:rPr>
        <w:t>D</w:t>
      </w:r>
      <w:r w:rsidRPr="00DA301A">
        <w:rPr>
          <w:color w:val="000000" w:themeColor="text1"/>
        </w:rPr>
        <w:t xml:space="preserve">evice: S = </w:t>
      </w:r>
      <w:proofErr w:type="spellStart"/>
      <w:r w:rsidRPr="00DA301A">
        <w:rPr>
          <w:b/>
          <w:color w:val="000000" w:themeColor="text1"/>
        </w:rPr>
        <w:t>S</w:t>
      </w:r>
      <w:r w:rsidRPr="00DA301A">
        <w:rPr>
          <w:color w:val="000000" w:themeColor="text1"/>
        </w:rPr>
        <w:t>afety</w:t>
      </w:r>
      <w:proofErr w:type="spellEnd"/>
      <w:r w:rsidRPr="00DA301A">
        <w:rPr>
          <w:color w:val="000000" w:themeColor="text1"/>
        </w:rPr>
        <w:t xml:space="preserve">) zu betreiben. </w:t>
      </w:r>
    </w:p>
    <w:p w14:paraId="2C2548A2" w14:textId="77777777" w:rsidR="00DA301A" w:rsidRPr="008B41D9" w:rsidRDefault="00DA301A" w:rsidP="00DA301A">
      <w:pPr>
        <w:jc w:val="both"/>
        <w:rPr>
          <w:color w:val="000000" w:themeColor="text1"/>
        </w:rPr>
      </w:pPr>
    </w:p>
    <w:p w14:paraId="2D602879" w14:textId="640A1B5C" w:rsidR="00DA301A" w:rsidRPr="00DA301A" w:rsidRDefault="00DA301A" w:rsidP="00DA301A">
      <w:pPr>
        <w:jc w:val="both"/>
        <w:rPr>
          <w:color w:val="000000" w:themeColor="text1"/>
        </w:rPr>
      </w:pPr>
      <w:r w:rsidRPr="00DA301A">
        <w:rPr>
          <w:color w:val="000000" w:themeColor="text1"/>
        </w:rPr>
        <w:t>Ein PRCD-S muss durch den Nutzer nach einem Stromausfall bewusst wieder eingeschaltet werden und kann dadurch diese Art von Unfällen verhindern. Eine Nutzung eines PRCD-S empfiehlt sich zudem, wenn keine Steckdose mit nachgewiesener Schutzmaßnahme gemäß DGUV Information 203-</w:t>
      </w:r>
      <w:r w:rsidR="00C270E4">
        <w:rPr>
          <w:color w:val="000000" w:themeColor="text1"/>
        </w:rPr>
        <w:t>006</w:t>
      </w:r>
      <w:r w:rsidRPr="00DA301A">
        <w:rPr>
          <w:color w:val="000000" w:themeColor="text1"/>
        </w:rPr>
        <w:t xml:space="preserve"> (z. B. geprüfte Fehlerstrom-Schutzeinrichtungen in einem Baustromverteil</w:t>
      </w:r>
      <w:r w:rsidR="00446EB1">
        <w:rPr>
          <w:color w:val="000000" w:themeColor="text1"/>
        </w:rPr>
        <w:t>er</w:t>
      </w:r>
      <w:r w:rsidRPr="00DA301A">
        <w:rPr>
          <w:color w:val="000000" w:themeColor="text1"/>
        </w:rPr>
        <w:t xml:space="preserve">) im Arbeitsbereich vorhanden ist. Durch das notwendige (erstmalige) Einschalten erfolgt eine Prüfung der ordnungsgemäßen Verdrahtung der zu benutzenden Steckdose. Erst wenn ein einwandfreier und sicherer Zustand der Steckdose gegeben ist, lässt sich der PRCD-S einschalten. </w:t>
      </w:r>
    </w:p>
    <w:p w14:paraId="5CFD7795" w14:textId="77777777" w:rsidR="00DA301A" w:rsidRPr="00DA301A" w:rsidRDefault="00DA301A" w:rsidP="00DA301A">
      <w:pPr>
        <w:jc w:val="both"/>
        <w:rPr>
          <w:color w:val="000000" w:themeColor="text1"/>
        </w:rPr>
      </w:pPr>
    </w:p>
    <w:p w14:paraId="02E16FDE" w14:textId="77777777" w:rsidR="00DA301A" w:rsidRPr="00DA301A" w:rsidRDefault="00DA301A" w:rsidP="00DA301A">
      <w:pPr>
        <w:jc w:val="both"/>
        <w:rPr>
          <w:color w:val="000000" w:themeColor="text1"/>
          <w:u w:val="single"/>
        </w:rPr>
      </w:pPr>
      <w:r w:rsidRPr="00DA301A">
        <w:rPr>
          <w:color w:val="000000" w:themeColor="text1"/>
          <w:u w:val="single"/>
        </w:rPr>
        <w:t>Hinweis:</w:t>
      </w:r>
    </w:p>
    <w:p w14:paraId="552A1003" w14:textId="3625DAC4" w:rsidR="009D5428" w:rsidRPr="00BC30CB" w:rsidRDefault="00DA301A" w:rsidP="00DA301A">
      <w:pPr>
        <w:jc w:val="both"/>
        <w:rPr>
          <w:color w:val="000000" w:themeColor="text1"/>
        </w:rPr>
      </w:pPr>
      <w:r w:rsidRPr="00DA301A">
        <w:rPr>
          <w:color w:val="000000" w:themeColor="text1"/>
        </w:rPr>
        <w:t>Der Einsatz der Fehlerstrom-Schutzeinrichtung (PRCD-S) ist mittels Arbeits- oder Betriebsanweisung zu regeln.</w:t>
      </w:r>
    </w:p>
    <w:sectPr w:rsidR="009D5428" w:rsidRPr="00BC30CB" w:rsidSect="00927059">
      <w:headerReference w:type="default" r:id="rId11"/>
      <w:footerReference w:type="default" r:id="rId12"/>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98B9" w14:textId="77777777" w:rsidR="00F9204D" w:rsidRDefault="00F9204D" w:rsidP="00826AF7">
      <w:r>
        <w:separator/>
      </w:r>
    </w:p>
    <w:p w14:paraId="78D1EBDD" w14:textId="77777777" w:rsidR="00F9204D" w:rsidRDefault="00F9204D" w:rsidP="00826AF7"/>
    <w:p w14:paraId="28526477" w14:textId="77777777" w:rsidR="00F9204D" w:rsidRDefault="00F9204D" w:rsidP="00826AF7"/>
  </w:endnote>
  <w:endnote w:type="continuationSeparator" w:id="0">
    <w:p w14:paraId="16A61569" w14:textId="77777777" w:rsidR="00F9204D" w:rsidRDefault="00F9204D" w:rsidP="00826AF7">
      <w:r>
        <w:continuationSeparator/>
      </w:r>
    </w:p>
    <w:p w14:paraId="7C901D34" w14:textId="77777777" w:rsidR="00F9204D" w:rsidRDefault="00F9204D" w:rsidP="00826AF7"/>
    <w:p w14:paraId="3FBD5FB5" w14:textId="77777777" w:rsidR="00F9204D" w:rsidRDefault="00F9204D"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0F4359" w:rsidRPr="00784250" w14:paraId="59E54423" w14:textId="77777777" w:rsidTr="00E92F11">
      <w:trPr>
        <w:trHeight w:val="240"/>
      </w:trPr>
      <w:tc>
        <w:tcPr>
          <w:tcW w:w="1814" w:type="dxa"/>
          <w:vAlign w:val="center"/>
        </w:tcPr>
        <w:p w14:paraId="56395ACF" w14:textId="77777777" w:rsidR="000F4359" w:rsidRPr="00784250" w:rsidRDefault="000F4359" w:rsidP="000F4359">
          <w:pPr>
            <w:pStyle w:val="Fuzeile"/>
            <w:spacing w:after="0"/>
            <w:ind w:right="-83"/>
            <w:rPr>
              <w:sz w:val="16"/>
              <w:szCs w:val="16"/>
            </w:rPr>
          </w:pPr>
          <w:r w:rsidRPr="00784250">
            <w:rPr>
              <w:sz w:val="16"/>
              <w:szCs w:val="16"/>
            </w:rPr>
            <w:t>Ausgabe/Revision:</w:t>
          </w:r>
        </w:p>
      </w:tc>
      <w:tc>
        <w:tcPr>
          <w:tcW w:w="1113" w:type="dxa"/>
          <w:vAlign w:val="center"/>
        </w:tcPr>
        <w:p w14:paraId="715DA38B" w14:textId="11913F9E" w:rsidR="000F4359" w:rsidRPr="00784250" w:rsidRDefault="006A6CF7" w:rsidP="000F4359">
          <w:pPr>
            <w:pStyle w:val="Fuzeile"/>
            <w:spacing w:after="0"/>
            <w:ind w:right="-83"/>
            <w:rPr>
              <w:sz w:val="16"/>
              <w:szCs w:val="16"/>
            </w:rPr>
          </w:pPr>
          <w:r w:rsidRPr="00784250">
            <w:rPr>
              <w:sz w:val="16"/>
              <w:szCs w:val="16"/>
            </w:rPr>
            <w:t>0</w:t>
          </w:r>
        </w:p>
      </w:tc>
      <w:tc>
        <w:tcPr>
          <w:tcW w:w="1114" w:type="dxa"/>
          <w:vAlign w:val="center"/>
        </w:tcPr>
        <w:p w14:paraId="3057FE5D" w14:textId="77D26AB8" w:rsidR="000F4359" w:rsidRPr="00784250" w:rsidRDefault="00446EB1" w:rsidP="000F4359">
          <w:pPr>
            <w:pStyle w:val="Fuzeile"/>
            <w:spacing w:after="0"/>
            <w:ind w:right="-83"/>
            <w:rPr>
              <w:sz w:val="16"/>
              <w:szCs w:val="16"/>
            </w:rPr>
          </w:pPr>
          <w:r w:rsidRPr="00784250">
            <w:rPr>
              <w:sz w:val="16"/>
              <w:szCs w:val="16"/>
            </w:rPr>
            <w:t>1</w:t>
          </w:r>
        </w:p>
      </w:tc>
      <w:tc>
        <w:tcPr>
          <w:tcW w:w="1114" w:type="dxa"/>
          <w:vAlign w:val="center"/>
        </w:tcPr>
        <w:p w14:paraId="3AC5FACB" w14:textId="348C723C" w:rsidR="000F4359" w:rsidRPr="00784250" w:rsidRDefault="00C270E4" w:rsidP="000F4359">
          <w:pPr>
            <w:pStyle w:val="Fuzeile"/>
            <w:spacing w:after="0"/>
            <w:ind w:right="-83"/>
            <w:rPr>
              <w:sz w:val="16"/>
              <w:szCs w:val="16"/>
            </w:rPr>
          </w:pPr>
          <w:r>
            <w:rPr>
              <w:sz w:val="16"/>
              <w:szCs w:val="16"/>
            </w:rPr>
            <w:t>2</w:t>
          </w:r>
        </w:p>
      </w:tc>
      <w:tc>
        <w:tcPr>
          <w:tcW w:w="1114" w:type="dxa"/>
          <w:vAlign w:val="center"/>
        </w:tcPr>
        <w:p w14:paraId="583322C0" w14:textId="77777777" w:rsidR="000F4359" w:rsidRPr="00784250" w:rsidRDefault="000F4359" w:rsidP="000F4359">
          <w:pPr>
            <w:pStyle w:val="Fuzeile"/>
            <w:spacing w:after="0"/>
            <w:ind w:right="-83"/>
            <w:rPr>
              <w:sz w:val="16"/>
              <w:szCs w:val="16"/>
            </w:rPr>
          </w:pPr>
        </w:p>
      </w:tc>
      <w:tc>
        <w:tcPr>
          <w:tcW w:w="1114" w:type="dxa"/>
          <w:vAlign w:val="center"/>
        </w:tcPr>
        <w:p w14:paraId="3CC8F3E5" w14:textId="77777777" w:rsidR="000F4359" w:rsidRPr="00784250" w:rsidRDefault="000F4359" w:rsidP="000F4359">
          <w:pPr>
            <w:pStyle w:val="Fuzeile"/>
            <w:spacing w:after="0"/>
            <w:ind w:right="-83"/>
            <w:rPr>
              <w:sz w:val="16"/>
              <w:szCs w:val="16"/>
            </w:rPr>
          </w:pPr>
        </w:p>
      </w:tc>
      <w:tc>
        <w:tcPr>
          <w:tcW w:w="1114" w:type="dxa"/>
          <w:vAlign w:val="center"/>
        </w:tcPr>
        <w:p w14:paraId="0441715C" w14:textId="77777777" w:rsidR="000F4359" w:rsidRPr="00784250" w:rsidRDefault="000F4359" w:rsidP="000F4359">
          <w:pPr>
            <w:pStyle w:val="Fuzeile"/>
            <w:spacing w:after="0"/>
            <w:ind w:right="-83"/>
            <w:rPr>
              <w:sz w:val="16"/>
              <w:szCs w:val="16"/>
            </w:rPr>
          </w:pPr>
          <w:r w:rsidRPr="00784250">
            <w:rPr>
              <w:sz w:val="16"/>
              <w:szCs w:val="16"/>
            </w:rPr>
            <w:t>Seite:</w:t>
          </w:r>
        </w:p>
      </w:tc>
      <w:tc>
        <w:tcPr>
          <w:tcW w:w="1114" w:type="dxa"/>
          <w:vAlign w:val="center"/>
        </w:tcPr>
        <w:p w14:paraId="5DA68FBE" w14:textId="77777777" w:rsidR="000F4359" w:rsidRPr="00784250" w:rsidRDefault="000F4359" w:rsidP="000F4359">
          <w:pPr>
            <w:pStyle w:val="Fuzeile"/>
            <w:spacing w:after="0"/>
            <w:ind w:right="-83"/>
            <w:rPr>
              <w:sz w:val="16"/>
              <w:szCs w:val="16"/>
            </w:rPr>
          </w:pPr>
          <w:r w:rsidRPr="00784250">
            <w:rPr>
              <w:sz w:val="16"/>
              <w:szCs w:val="16"/>
            </w:rPr>
            <w:fldChar w:fldCharType="begin"/>
          </w:r>
          <w:r w:rsidRPr="00784250">
            <w:rPr>
              <w:sz w:val="16"/>
              <w:szCs w:val="16"/>
            </w:rPr>
            <w:instrText xml:space="preserve"> PAGE  \* Arabic  \* MERGEFORMAT </w:instrText>
          </w:r>
          <w:r w:rsidRPr="00784250">
            <w:rPr>
              <w:sz w:val="16"/>
              <w:szCs w:val="16"/>
            </w:rPr>
            <w:fldChar w:fldCharType="separate"/>
          </w:r>
          <w:r w:rsidR="005F5FF8" w:rsidRPr="00784250">
            <w:rPr>
              <w:noProof/>
              <w:sz w:val="16"/>
              <w:szCs w:val="16"/>
            </w:rPr>
            <w:t>1</w:t>
          </w:r>
          <w:r w:rsidRPr="00784250">
            <w:rPr>
              <w:sz w:val="16"/>
              <w:szCs w:val="16"/>
            </w:rPr>
            <w:fldChar w:fldCharType="end"/>
          </w:r>
          <w:r w:rsidRPr="00784250">
            <w:rPr>
              <w:sz w:val="16"/>
              <w:szCs w:val="16"/>
            </w:rPr>
            <w:t xml:space="preserve"> von </w:t>
          </w:r>
          <w:r w:rsidRPr="00784250">
            <w:rPr>
              <w:sz w:val="16"/>
              <w:szCs w:val="16"/>
            </w:rPr>
            <w:fldChar w:fldCharType="begin"/>
          </w:r>
          <w:r w:rsidRPr="00784250">
            <w:rPr>
              <w:sz w:val="16"/>
              <w:szCs w:val="16"/>
            </w:rPr>
            <w:instrText xml:space="preserve"> NUMPAGES  \* Arabic  \* MERGEFORMAT </w:instrText>
          </w:r>
          <w:r w:rsidRPr="00784250">
            <w:rPr>
              <w:sz w:val="16"/>
              <w:szCs w:val="16"/>
            </w:rPr>
            <w:fldChar w:fldCharType="separate"/>
          </w:r>
          <w:r w:rsidR="005F5FF8" w:rsidRPr="00784250">
            <w:rPr>
              <w:noProof/>
              <w:sz w:val="16"/>
              <w:szCs w:val="16"/>
            </w:rPr>
            <w:t>1</w:t>
          </w:r>
          <w:r w:rsidRPr="00784250">
            <w:rPr>
              <w:sz w:val="16"/>
              <w:szCs w:val="16"/>
            </w:rPr>
            <w:fldChar w:fldCharType="end"/>
          </w:r>
        </w:p>
      </w:tc>
    </w:tr>
    <w:tr w:rsidR="000F4359" w:rsidRPr="00784250" w14:paraId="170C4AA8" w14:textId="77777777" w:rsidTr="00E92F11">
      <w:tc>
        <w:tcPr>
          <w:tcW w:w="1814" w:type="dxa"/>
          <w:vAlign w:val="center"/>
        </w:tcPr>
        <w:p w14:paraId="4B73E3EE" w14:textId="77777777" w:rsidR="000F4359" w:rsidRPr="00784250" w:rsidRDefault="000F4359" w:rsidP="000F4359">
          <w:pPr>
            <w:pStyle w:val="Fuzeile"/>
            <w:spacing w:after="0"/>
            <w:ind w:right="-83"/>
            <w:rPr>
              <w:sz w:val="16"/>
              <w:szCs w:val="16"/>
            </w:rPr>
          </w:pPr>
          <w:r w:rsidRPr="00784250">
            <w:rPr>
              <w:sz w:val="16"/>
              <w:szCs w:val="16"/>
            </w:rPr>
            <w:t>Datum:</w:t>
          </w:r>
        </w:p>
      </w:tc>
      <w:tc>
        <w:tcPr>
          <w:tcW w:w="1113" w:type="dxa"/>
          <w:vAlign w:val="center"/>
        </w:tcPr>
        <w:p w14:paraId="37FC0CE9" w14:textId="21A9DAF2" w:rsidR="000F4359" w:rsidRPr="00784250" w:rsidRDefault="00F7063A" w:rsidP="000F4359">
          <w:pPr>
            <w:pStyle w:val="Fuzeile"/>
            <w:spacing w:after="0"/>
            <w:ind w:right="-83"/>
            <w:rPr>
              <w:sz w:val="16"/>
              <w:szCs w:val="16"/>
            </w:rPr>
          </w:pPr>
          <w:r w:rsidRPr="00784250">
            <w:rPr>
              <w:sz w:val="16"/>
              <w:szCs w:val="16"/>
            </w:rPr>
            <w:t>02</w:t>
          </w:r>
          <w:r w:rsidR="00387456" w:rsidRPr="00784250">
            <w:rPr>
              <w:sz w:val="16"/>
              <w:szCs w:val="16"/>
            </w:rPr>
            <w:t>.2017</w:t>
          </w:r>
        </w:p>
      </w:tc>
      <w:tc>
        <w:tcPr>
          <w:tcW w:w="1114" w:type="dxa"/>
          <w:vAlign w:val="center"/>
        </w:tcPr>
        <w:p w14:paraId="5B880C40" w14:textId="5682FABA" w:rsidR="000F4359" w:rsidRPr="00784250" w:rsidRDefault="00446EB1" w:rsidP="000F4359">
          <w:pPr>
            <w:pStyle w:val="Fuzeile"/>
            <w:spacing w:after="0"/>
            <w:ind w:right="-83"/>
            <w:rPr>
              <w:sz w:val="16"/>
              <w:szCs w:val="16"/>
            </w:rPr>
          </w:pPr>
          <w:r w:rsidRPr="00784250">
            <w:rPr>
              <w:sz w:val="16"/>
              <w:szCs w:val="16"/>
            </w:rPr>
            <w:t>08.2019</w:t>
          </w:r>
        </w:p>
      </w:tc>
      <w:tc>
        <w:tcPr>
          <w:tcW w:w="1114" w:type="dxa"/>
          <w:vAlign w:val="center"/>
        </w:tcPr>
        <w:p w14:paraId="0D4AE9A4" w14:textId="316924CB" w:rsidR="000F4359" w:rsidRPr="00784250" w:rsidRDefault="00C270E4" w:rsidP="000F4359">
          <w:pPr>
            <w:pStyle w:val="Fuzeile"/>
            <w:spacing w:after="0"/>
            <w:ind w:right="-83"/>
            <w:rPr>
              <w:sz w:val="16"/>
              <w:szCs w:val="16"/>
            </w:rPr>
          </w:pPr>
          <w:r>
            <w:rPr>
              <w:sz w:val="16"/>
              <w:szCs w:val="16"/>
            </w:rPr>
            <w:t>07.2022</w:t>
          </w:r>
        </w:p>
      </w:tc>
      <w:tc>
        <w:tcPr>
          <w:tcW w:w="1114" w:type="dxa"/>
          <w:vAlign w:val="center"/>
        </w:tcPr>
        <w:p w14:paraId="0DF1EBC2" w14:textId="77777777" w:rsidR="000F4359" w:rsidRPr="00784250" w:rsidRDefault="000F4359" w:rsidP="000F4359">
          <w:pPr>
            <w:pStyle w:val="Fuzeile"/>
            <w:spacing w:after="0"/>
            <w:ind w:right="-83"/>
            <w:rPr>
              <w:sz w:val="16"/>
              <w:szCs w:val="16"/>
            </w:rPr>
          </w:pPr>
        </w:p>
      </w:tc>
      <w:tc>
        <w:tcPr>
          <w:tcW w:w="1114" w:type="dxa"/>
          <w:vAlign w:val="center"/>
        </w:tcPr>
        <w:p w14:paraId="14EE2747" w14:textId="77777777" w:rsidR="000F4359" w:rsidRPr="00784250" w:rsidRDefault="000F4359" w:rsidP="000F4359">
          <w:pPr>
            <w:pStyle w:val="Fuzeile"/>
            <w:spacing w:after="0"/>
            <w:ind w:right="-83"/>
            <w:rPr>
              <w:sz w:val="16"/>
              <w:szCs w:val="16"/>
            </w:rPr>
          </w:pPr>
        </w:p>
      </w:tc>
      <w:tc>
        <w:tcPr>
          <w:tcW w:w="1114" w:type="dxa"/>
          <w:vAlign w:val="center"/>
        </w:tcPr>
        <w:p w14:paraId="0F65924F" w14:textId="77777777" w:rsidR="000F4359" w:rsidRPr="00784250" w:rsidRDefault="000F4359" w:rsidP="000F4359">
          <w:pPr>
            <w:pStyle w:val="Fuzeile"/>
            <w:spacing w:after="0"/>
            <w:ind w:right="-83"/>
            <w:rPr>
              <w:sz w:val="16"/>
              <w:szCs w:val="16"/>
            </w:rPr>
          </w:pPr>
          <w:r w:rsidRPr="00784250">
            <w:rPr>
              <w:sz w:val="16"/>
              <w:szCs w:val="16"/>
            </w:rPr>
            <w:t>Gültig ab:</w:t>
          </w:r>
        </w:p>
      </w:tc>
      <w:tc>
        <w:tcPr>
          <w:tcW w:w="1114" w:type="dxa"/>
          <w:vAlign w:val="center"/>
        </w:tcPr>
        <w:p w14:paraId="46AA8710" w14:textId="77777777" w:rsidR="000F4359" w:rsidRPr="00784250" w:rsidRDefault="000F4359" w:rsidP="000F4359">
          <w:pPr>
            <w:pStyle w:val="Fuzeile"/>
            <w:spacing w:after="0"/>
            <w:ind w:right="-83"/>
            <w:rPr>
              <w:sz w:val="16"/>
              <w:szCs w:val="16"/>
            </w:rPr>
          </w:pPr>
        </w:p>
      </w:tc>
    </w:tr>
    <w:tr w:rsidR="00C270E4" w:rsidRPr="00784250" w14:paraId="1CDEF039" w14:textId="77777777" w:rsidTr="00E92F11">
      <w:tc>
        <w:tcPr>
          <w:tcW w:w="1814" w:type="dxa"/>
          <w:vAlign w:val="center"/>
        </w:tcPr>
        <w:p w14:paraId="4D98BA57" w14:textId="77777777" w:rsidR="00C270E4" w:rsidRPr="00784250" w:rsidRDefault="00C270E4" w:rsidP="00C270E4">
          <w:pPr>
            <w:pStyle w:val="Fuzeile"/>
            <w:spacing w:after="0"/>
            <w:ind w:right="-83"/>
            <w:rPr>
              <w:sz w:val="16"/>
              <w:szCs w:val="16"/>
            </w:rPr>
          </w:pPr>
          <w:r w:rsidRPr="00784250">
            <w:rPr>
              <w:sz w:val="16"/>
              <w:szCs w:val="16"/>
            </w:rPr>
            <w:t>Erstellt/geändert:</w:t>
          </w:r>
        </w:p>
      </w:tc>
      <w:tc>
        <w:tcPr>
          <w:tcW w:w="1113" w:type="dxa"/>
          <w:vAlign w:val="center"/>
        </w:tcPr>
        <w:p w14:paraId="773174FE" w14:textId="6E3D6107" w:rsidR="00C270E4" w:rsidRPr="00784250" w:rsidRDefault="00C270E4" w:rsidP="00C270E4">
          <w:pPr>
            <w:pStyle w:val="Fuzeile"/>
            <w:spacing w:after="0"/>
            <w:ind w:right="-83"/>
            <w:rPr>
              <w:sz w:val="16"/>
              <w:szCs w:val="16"/>
            </w:rPr>
          </w:pPr>
          <w:proofErr w:type="spellStart"/>
          <w:r w:rsidRPr="00784250">
            <w:rPr>
              <w:sz w:val="16"/>
              <w:szCs w:val="16"/>
            </w:rPr>
            <w:t>R.O.E.GmbH</w:t>
          </w:r>
          <w:proofErr w:type="spellEnd"/>
        </w:p>
      </w:tc>
      <w:tc>
        <w:tcPr>
          <w:tcW w:w="1114" w:type="dxa"/>
          <w:vAlign w:val="center"/>
        </w:tcPr>
        <w:p w14:paraId="3F6228DD" w14:textId="43C02E3F" w:rsidR="00C270E4" w:rsidRPr="00784250" w:rsidRDefault="00C270E4" w:rsidP="00C270E4">
          <w:pPr>
            <w:pStyle w:val="Fuzeile"/>
            <w:spacing w:after="0"/>
            <w:ind w:right="-83"/>
            <w:rPr>
              <w:sz w:val="16"/>
              <w:szCs w:val="16"/>
            </w:rPr>
          </w:pPr>
          <w:proofErr w:type="spellStart"/>
          <w:r w:rsidRPr="00784250">
            <w:rPr>
              <w:sz w:val="16"/>
              <w:szCs w:val="16"/>
            </w:rPr>
            <w:t>R.O.E.GmbH</w:t>
          </w:r>
          <w:proofErr w:type="spellEnd"/>
        </w:p>
      </w:tc>
      <w:tc>
        <w:tcPr>
          <w:tcW w:w="1114" w:type="dxa"/>
          <w:vAlign w:val="center"/>
        </w:tcPr>
        <w:p w14:paraId="33C6720A" w14:textId="1A6554DE" w:rsidR="00C270E4" w:rsidRPr="00784250" w:rsidRDefault="00C270E4" w:rsidP="00C270E4">
          <w:pPr>
            <w:pStyle w:val="Fuzeile"/>
            <w:spacing w:after="0"/>
            <w:ind w:right="-83"/>
            <w:rPr>
              <w:sz w:val="16"/>
              <w:szCs w:val="16"/>
            </w:rPr>
          </w:pPr>
          <w:proofErr w:type="spellStart"/>
          <w:r w:rsidRPr="00784250">
            <w:rPr>
              <w:sz w:val="16"/>
              <w:szCs w:val="16"/>
            </w:rPr>
            <w:t>R.O.E.GmbH</w:t>
          </w:r>
          <w:proofErr w:type="spellEnd"/>
        </w:p>
      </w:tc>
      <w:tc>
        <w:tcPr>
          <w:tcW w:w="1114" w:type="dxa"/>
          <w:vAlign w:val="center"/>
        </w:tcPr>
        <w:p w14:paraId="5F11B59C" w14:textId="77777777" w:rsidR="00C270E4" w:rsidRPr="00784250" w:rsidRDefault="00C270E4" w:rsidP="00C270E4">
          <w:pPr>
            <w:pStyle w:val="Fuzeile"/>
            <w:spacing w:after="0"/>
            <w:ind w:right="-83"/>
            <w:rPr>
              <w:sz w:val="16"/>
              <w:szCs w:val="16"/>
            </w:rPr>
          </w:pPr>
        </w:p>
      </w:tc>
      <w:tc>
        <w:tcPr>
          <w:tcW w:w="1114" w:type="dxa"/>
          <w:vAlign w:val="center"/>
        </w:tcPr>
        <w:p w14:paraId="4571028E" w14:textId="77777777" w:rsidR="00C270E4" w:rsidRPr="00784250" w:rsidRDefault="00C270E4" w:rsidP="00C270E4">
          <w:pPr>
            <w:pStyle w:val="Fuzeile"/>
            <w:spacing w:after="0"/>
            <w:ind w:right="-83"/>
            <w:rPr>
              <w:sz w:val="16"/>
              <w:szCs w:val="16"/>
            </w:rPr>
          </w:pPr>
        </w:p>
      </w:tc>
      <w:tc>
        <w:tcPr>
          <w:tcW w:w="1114" w:type="dxa"/>
          <w:shd w:val="clear" w:color="auto" w:fill="auto"/>
          <w:vAlign w:val="center"/>
        </w:tcPr>
        <w:p w14:paraId="1B7BD61C" w14:textId="77777777" w:rsidR="00C270E4" w:rsidRPr="00784250" w:rsidRDefault="00C270E4" w:rsidP="00C270E4">
          <w:pPr>
            <w:pStyle w:val="Fuzeile"/>
            <w:spacing w:after="0"/>
            <w:ind w:right="-83"/>
            <w:rPr>
              <w:sz w:val="16"/>
              <w:szCs w:val="16"/>
            </w:rPr>
          </w:pPr>
        </w:p>
      </w:tc>
      <w:tc>
        <w:tcPr>
          <w:tcW w:w="1114" w:type="dxa"/>
          <w:vAlign w:val="center"/>
        </w:tcPr>
        <w:p w14:paraId="78D19F73" w14:textId="77777777" w:rsidR="00C270E4" w:rsidRPr="00784250" w:rsidRDefault="00C270E4" w:rsidP="00C270E4">
          <w:pPr>
            <w:pStyle w:val="Fuzeile"/>
            <w:spacing w:after="0"/>
            <w:ind w:right="-83"/>
            <w:rPr>
              <w:sz w:val="16"/>
              <w:szCs w:val="16"/>
            </w:rPr>
          </w:pPr>
        </w:p>
      </w:tc>
    </w:tr>
    <w:tr w:rsidR="000F4359" w:rsidRPr="00784250" w14:paraId="237051E6" w14:textId="77777777" w:rsidTr="00E92F11">
      <w:tc>
        <w:tcPr>
          <w:tcW w:w="1814" w:type="dxa"/>
          <w:vAlign w:val="center"/>
        </w:tcPr>
        <w:p w14:paraId="2FB26E7C" w14:textId="77777777" w:rsidR="000F4359" w:rsidRPr="00784250" w:rsidRDefault="000F4359" w:rsidP="000F4359">
          <w:pPr>
            <w:pStyle w:val="Fuzeile"/>
            <w:spacing w:after="0"/>
            <w:ind w:right="-83"/>
            <w:rPr>
              <w:sz w:val="16"/>
              <w:szCs w:val="16"/>
            </w:rPr>
          </w:pPr>
          <w:r w:rsidRPr="00784250">
            <w:rPr>
              <w:sz w:val="16"/>
              <w:szCs w:val="16"/>
            </w:rPr>
            <w:t>Genehmigt:</w:t>
          </w:r>
        </w:p>
      </w:tc>
      <w:tc>
        <w:tcPr>
          <w:tcW w:w="1113" w:type="dxa"/>
          <w:vAlign w:val="center"/>
        </w:tcPr>
        <w:p w14:paraId="6B45523A" w14:textId="77777777" w:rsidR="000F4359" w:rsidRPr="00784250" w:rsidRDefault="000F4359" w:rsidP="000F4359">
          <w:pPr>
            <w:pStyle w:val="Fuzeile"/>
            <w:spacing w:after="0"/>
            <w:ind w:right="-83"/>
            <w:rPr>
              <w:sz w:val="16"/>
              <w:szCs w:val="16"/>
            </w:rPr>
          </w:pPr>
        </w:p>
      </w:tc>
      <w:tc>
        <w:tcPr>
          <w:tcW w:w="1114" w:type="dxa"/>
          <w:vAlign w:val="center"/>
        </w:tcPr>
        <w:p w14:paraId="5D706A56" w14:textId="77777777" w:rsidR="000F4359" w:rsidRPr="00784250" w:rsidRDefault="000F4359" w:rsidP="000F4359">
          <w:pPr>
            <w:pStyle w:val="Fuzeile"/>
            <w:spacing w:after="0"/>
            <w:ind w:right="-83"/>
            <w:rPr>
              <w:sz w:val="16"/>
              <w:szCs w:val="16"/>
            </w:rPr>
          </w:pPr>
        </w:p>
      </w:tc>
      <w:tc>
        <w:tcPr>
          <w:tcW w:w="1114" w:type="dxa"/>
          <w:vAlign w:val="center"/>
        </w:tcPr>
        <w:p w14:paraId="3CAC5B68" w14:textId="77777777" w:rsidR="000F4359" w:rsidRPr="00784250" w:rsidRDefault="000F4359" w:rsidP="000F4359">
          <w:pPr>
            <w:pStyle w:val="Fuzeile"/>
            <w:spacing w:after="0"/>
            <w:ind w:right="-83"/>
            <w:rPr>
              <w:sz w:val="16"/>
              <w:szCs w:val="16"/>
            </w:rPr>
          </w:pPr>
        </w:p>
      </w:tc>
      <w:tc>
        <w:tcPr>
          <w:tcW w:w="1114" w:type="dxa"/>
          <w:vAlign w:val="center"/>
        </w:tcPr>
        <w:p w14:paraId="3B3B696B" w14:textId="77777777" w:rsidR="000F4359" w:rsidRPr="00784250" w:rsidRDefault="000F4359" w:rsidP="000F4359">
          <w:pPr>
            <w:pStyle w:val="Fuzeile"/>
            <w:spacing w:after="0"/>
            <w:ind w:right="-83"/>
            <w:rPr>
              <w:sz w:val="16"/>
              <w:szCs w:val="16"/>
            </w:rPr>
          </w:pPr>
        </w:p>
      </w:tc>
      <w:tc>
        <w:tcPr>
          <w:tcW w:w="1114" w:type="dxa"/>
          <w:vAlign w:val="center"/>
        </w:tcPr>
        <w:p w14:paraId="7147F008" w14:textId="77777777" w:rsidR="000F4359" w:rsidRPr="00784250"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784250" w:rsidRDefault="000F4359" w:rsidP="000F4359">
          <w:pPr>
            <w:pStyle w:val="Fuzeile"/>
            <w:spacing w:after="0"/>
            <w:ind w:right="-83"/>
            <w:rPr>
              <w:sz w:val="16"/>
              <w:szCs w:val="16"/>
            </w:rPr>
          </w:pPr>
        </w:p>
      </w:tc>
      <w:tc>
        <w:tcPr>
          <w:tcW w:w="1114" w:type="dxa"/>
          <w:vAlign w:val="center"/>
        </w:tcPr>
        <w:p w14:paraId="24F34379" w14:textId="77777777" w:rsidR="000F4359" w:rsidRPr="00784250" w:rsidRDefault="000F4359" w:rsidP="000F4359">
          <w:pPr>
            <w:pStyle w:val="Fuzeile"/>
            <w:spacing w:after="0"/>
            <w:ind w:right="-83"/>
            <w:rPr>
              <w:sz w:val="16"/>
              <w:szCs w:val="16"/>
            </w:rPr>
          </w:pPr>
        </w:p>
      </w:tc>
    </w:tr>
  </w:tbl>
  <w:p w14:paraId="2702AF56" w14:textId="77777777" w:rsidR="00330719" w:rsidRPr="00784250" w:rsidRDefault="000F4359" w:rsidP="000F4359">
    <w:pPr>
      <w:spacing w:before="60"/>
    </w:pPr>
    <w:r w:rsidRPr="00784250">
      <w:rPr>
        <w:b/>
        <w:sz w:val="16"/>
      </w:rPr>
      <w:t xml:space="preserve">© Copyright </w:t>
    </w:r>
    <w:r w:rsidR="004679BF" w:rsidRPr="00784250">
      <w:rPr>
        <w:b/>
        <w:sz w:val="16"/>
      </w:rPr>
      <w:t>R.O.E. Online GmbH</w:t>
    </w:r>
    <w:r w:rsidRPr="00784250">
      <w:rPr>
        <w:b/>
        <w:sz w:val="16"/>
      </w:rPr>
      <w:t>, keine unerlaubte Vervielfältigung</w:t>
    </w:r>
    <w:r w:rsidR="00445BD0" w:rsidRPr="00784250">
      <w:rPr>
        <w:b/>
        <w:sz w:val="16"/>
      </w:rPr>
      <w:t>,</w:t>
    </w:r>
    <w:r w:rsidRPr="00784250">
      <w:rPr>
        <w:b/>
        <w:sz w:val="16"/>
      </w:rPr>
      <w:t xml:space="preserve"> auch </w:t>
    </w:r>
    <w:r w:rsidR="00445BD0" w:rsidRPr="00784250">
      <w:rPr>
        <w:b/>
        <w:sz w:val="16"/>
      </w:rPr>
      <w:t xml:space="preserve">nicht </w:t>
    </w:r>
    <w:r w:rsidR="00B8757B" w:rsidRPr="00784250">
      <w:rPr>
        <w:b/>
        <w:sz w:val="16"/>
      </w:rPr>
      <w:t>a</w:t>
    </w:r>
    <w:r w:rsidRPr="00784250">
      <w:rPr>
        <w:b/>
        <w:sz w:val="16"/>
      </w:rPr>
      <w:t>uszugsweise</w:t>
    </w:r>
    <w:r w:rsidR="00445BD0" w:rsidRPr="00784250">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481D6" w14:textId="77777777" w:rsidR="00F9204D" w:rsidRDefault="00F9204D" w:rsidP="00826AF7">
      <w:r>
        <w:separator/>
      </w:r>
    </w:p>
    <w:p w14:paraId="0C45E3C9" w14:textId="77777777" w:rsidR="00F9204D" w:rsidRDefault="00F9204D" w:rsidP="00826AF7"/>
    <w:p w14:paraId="70403F01" w14:textId="77777777" w:rsidR="00F9204D" w:rsidRDefault="00F9204D" w:rsidP="00826AF7"/>
  </w:footnote>
  <w:footnote w:type="continuationSeparator" w:id="0">
    <w:p w14:paraId="70D01C0B" w14:textId="77777777" w:rsidR="00F9204D" w:rsidRDefault="00F9204D" w:rsidP="00826AF7">
      <w:r>
        <w:continuationSeparator/>
      </w:r>
    </w:p>
    <w:p w14:paraId="7AD0C682" w14:textId="77777777" w:rsidR="00F9204D" w:rsidRDefault="00F9204D" w:rsidP="00826AF7"/>
    <w:p w14:paraId="365C5473" w14:textId="77777777" w:rsidR="00F9204D" w:rsidRDefault="00F9204D"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E92F11">
      <w:trPr>
        <w:trHeight w:val="841"/>
      </w:trPr>
      <w:tc>
        <w:tcPr>
          <w:tcW w:w="2349" w:type="dxa"/>
          <w:vAlign w:val="center"/>
        </w:tcPr>
        <w:p w14:paraId="742C4325" w14:textId="46F2DE0D" w:rsidR="00DB66E9" w:rsidRPr="00E21DC0" w:rsidRDefault="00784250" w:rsidP="00C40A14">
          <w:pPr>
            <w:pStyle w:val="KeinLeerraum"/>
            <w:jc w:val="center"/>
            <w:rPr>
              <w:b/>
              <w:sz w:val="18"/>
            </w:rPr>
          </w:pPr>
          <w:r>
            <w:rPr>
              <w:noProof/>
            </w:rPr>
            <w:drawing>
              <wp:inline distT="0" distB="0" distL="0" distR="0" wp14:anchorId="68AACE69" wp14:editId="7BBD74F9">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E92F11">
      <w:trPr>
        <w:trHeight w:val="832"/>
      </w:trPr>
      <w:tc>
        <w:tcPr>
          <w:tcW w:w="2349" w:type="dxa"/>
          <w:vAlign w:val="center"/>
        </w:tcPr>
        <w:p w14:paraId="37896C1D" w14:textId="26449296" w:rsidR="00330719" w:rsidRPr="00E21DC0" w:rsidRDefault="002303AC" w:rsidP="002A63CB">
          <w:pPr>
            <w:jc w:val="center"/>
          </w:pPr>
          <w:r w:rsidRPr="00E21DC0">
            <w:rPr>
              <w:b/>
            </w:rPr>
            <w:t>UW_ET_</w:t>
          </w:r>
          <w:r w:rsidR="00F7063A">
            <w:rPr>
              <w:b/>
            </w:rPr>
            <w:t>20</w:t>
          </w:r>
        </w:p>
      </w:tc>
      <w:tc>
        <w:tcPr>
          <w:tcW w:w="5026" w:type="dxa"/>
          <w:vAlign w:val="center"/>
        </w:tcPr>
        <w:p w14:paraId="2E05780B" w14:textId="2327D1E8" w:rsidR="00330719" w:rsidRPr="00E21DC0" w:rsidRDefault="00F7063A" w:rsidP="00F0574C">
          <w:pPr>
            <w:spacing w:after="0"/>
            <w:jc w:val="center"/>
            <w:rPr>
              <w:sz w:val="28"/>
              <w:szCs w:val="28"/>
            </w:rPr>
          </w:pPr>
          <w:r w:rsidRPr="00F7063A">
            <w:rPr>
              <w:sz w:val="28"/>
              <w:szCs w:val="28"/>
            </w:rPr>
            <w:t>Wiederanlaufschutz</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8"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1"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2"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num w:numId="1" w16cid:durableId="1224952450">
    <w:abstractNumId w:val="7"/>
  </w:num>
  <w:num w:numId="2" w16cid:durableId="383453808">
    <w:abstractNumId w:val="11"/>
  </w:num>
  <w:num w:numId="3" w16cid:durableId="2035031374">
    <w:abstractNumId w:val="9"/>
  </w:num>
  <w:num w:numId="4" w16cid:durableId="1792170726">
    <w:abstractNumId w:val="6"/>
  </w:num>
  <w:num w:numId="5" w16cid:durableId="1190609578">
    <w:abstractNumId w:val="2"/>
  </w:num>
  <w:num w:numId="6" w16cid:durableId="962148553">
    <w:abstractNumId w:val="1"/>
  </w:num>
  <w:num w:numId="7" w16cid:durableId="844830968">
    <w:abstractNumId w:val="0"/>
  </w:num>
  <w:num w:numId="8" w16cid:durableId="799036199">
    <w:abstractNumId w:val="13"/>
  </w:num>
  <w:num w:numId="9" w16cid:durableId="699933028">
    <w:abstractNumId w:val="5"/>
  </w:num>
  <w:num w:numId="10" w16cid:durableId="1570577456">
    <w:abstractNumId w:val="4"/>
  </w:num>
  <w:num w:numId="11" w16cid:durableId="1603101251">
    <w:abstractNumId w:val="8"/>
  </w:num>
  <w:num w:numId="12" w16cid:durableId="466968948">
    <w:abstractNumId w:val="10"/>
  </w:num>
  <w:num w:numId="13" w16cid:durableId="499126482">
    <w:abstractNumId w:val="12"/>
  </w:num>
  <w:num w:numId="14" w16cid:durableId="14450783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1416"/>
    <w:rsid w:val="00137832"/>
    <w:rsid w:val="001402C3"/>
    <w:rsid w:val="001451D7"/>
    <w:rsid w:val="00152A3E"/>
    <w:rsid w:val="00154449"/>
    <w:rsid w:val="00157F51"/>
    <w:rsid w:val="00160054"/>
    <w:rsid w:val="0016037D"/>
    <w:rsid w:val="001638CC"/>
    <w:rsid w:val="00165E35"/>
    <w:rsid w:val="00171F84"/>
    <w:rsid w:val="00182075"/>
    <w:rsid w:val="00194762"/>
    <w:rsid w:val="00195ECB"/>
    <w:rsid w:val="001A46D5"/>
    <w:rsid w:val="001B10E1"/>
    <w:rsid w:val="001D07A8"/>
    <w:rsid w:val="001D2245"/>
    <w:rsid w:val="001D68BB"/>
    <w:rsid w:val="001E17D2"/>
    <w:rsid w:val="001E2C1F"/>
    <w:rsid w:val="001E4563"/>
    <w:rsid w:val="001E5B55"/>
    <w:rsid w:val="00206522"/>
    <w:rsid w:val="00215A29"/>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4BCE"/>
    <w:rsid w:val="00317C3B"/>
    <w:rsid w:val="0032016F"/>
    <w:rsid w:val="00330719"/>
    <w:rsid w:val="0033379C"/>
    <w:rsid w:val="00343F20"/>
    <w:rsid w:val="003579E2"/>
    <w:rsid w:val="00371D90"/>
    <w:rsid w:val="00374452"/>
    <w:rsid w:val="00386D24"/>
    <w:rsid w:val="00387456"/>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46EB1"/>
    <w:rsid w:val="004510F0"/>
    <w:rsid w:val="004523E8"/>
    <w:rsid w:val="004612B5"/>
    <w:rsid w:val="004639D8"/>
    <w:rsid w:val="00464322"/>
    <w:rsid w:val="00464A09"/>
    <w:rsid w:val="004679BF"/>
    <w:rsid w:val="004779EF"/>
    <w:rsid w:val="00483692"/>
    <w:rsid w:val="00486FAC"/>
    <w:rsid w:val="004917C9"/>
    <w:rsid w:val="004979BE"/>
    <w:rsid w:val="004A680D"/>
    <w:rsid w:val="004B0140"/>
    <w:rsid w:val="004B0A6F"/>
    <w:rsid w:val="004B2D5C"/>
    <w:rsid w:val="004B38B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4897"/>
    <w:rsid w:val="00575D55"/>
    <w:rsid w:val="00594D75"/>
    <w:rsid w:val="005B5493"/>
    <w:rsid w:val="005B686A"/>
    <w:rsid w:val="005C35BE"/>
    <w:rsid w:val="005C4F0E"/>
    <w:rsid w:val="005C516D"/>
    <w:rsid w:val="005D3964"/>
    <w:rsid w:val="005D5053"/>
    <w:rsid w:val="005F0979"/>
    <w:rsid w:val="005F19BE"/>
    <w:rsid w:val="005F5FF8"/>
    <w:rsid w:val="006152E4"/>
    <w:rsid w:val="0063364D"/>
    <w:rsid w:val="006432E4"/>
    <w:rsid w:val="00660648"/>
    <w:rsid w:val="00683232"/>
    <w:rsid w:val="006A6CF7"/>
    <w:rsid w:val="006A6D21"/>
    <w:rsid w:val="006B4AAD"/>
    <w:rsid w:val="006C09B8"/>
    <w:rsid w:val="006C138E"/>
    <w:rsid w:val="006C2A23"/>
    <w:rsid w:val="006C31DE"/>
    <w:rsid w:val="006C3D6A"/>
    <w:rsid w:val="006C4F04"/>
    <w:rsid w:val="006D6005"/>
    <w:rsid w:val="006E14F7"/>
    <w:rsid w:val="00701D0C"/>
    <w:rsid w:val="0070668F"/>
    <w:rsid w:val="00715779"/>
    <w:rsid w:val="00717290"/>
    <w:rsid w:val="00727689"/>
    <w:rsid w:val="00732424"/>
    <w:rsid w:val="00742859"/>
    <w:rsid w:val="00747685"/>
    <w:rsid w:val="00750F34"/>
    <w:rsid w:val="0077037F"/>
    <w:rsid w:val="00771EE2"/>
    <w:rsid w:val="00784250"/>
    <w:rsid w:val="00786983"/>
    <w:rsid w:val="007933E6"/>
    <w:rsid w:val="00794EDC"/>
    <w:rsid w:val="007A3BEF"/>
    <w:rsid w:val="007B175C"/>
    <w:rsid w:val="007C253F"/>
    <w:rsid w:val="007F6562"/>
    <w:rsid w:val="00801234"/>
    <w:rsid w:val="00803EC7"/>
    <w:rsid w:val="008161C1"/>
    <w:rsid w:val="00821CD4"/>
    <w:rsid w:val="00824023"/>
    <w:rsid w:val="0082539C"/>
    <w:rsid w:val="008267F6"/>
    <w:rsid w:val="00826AF7"/>
    <w:rsid w:val="00832299"/>
    <w:rsid w:val="008564BE"/>
    <w:rsid w:val="00857751"/>
    <w:rsid w:val="0086047D"/>
    <w:rsid w:val="0086432B"/>
    <w:rsid w:val="00867D12"/>
    <w:rsid w:val="0088313D"/>
    <w:rsid w:val="0088746E"/>
    <w:rsid w:val="00887DE6"/>
    <w:rsid w:val="008935D4"/>
    <w:rsid w:val="00893E9D"/>
    <w:rsid w:val="008950A7"/>
    <w:rsid w:val="008A51EC"/>
    <w:rsid w:val="008B05D9"/>
    <w:rsid w:val="008B1FA7"/>
    <w:rsid w:val="008B24B0"/>
    <w:rsid w:val="008B41D9"/>
    <w:rsid w:val="008B757C"/>
    <w:rsid w:val="008C0FEC"/>
    <w:rsid w:val="008C21BC"/>
    <w:rsid w:val="008C238B"/>
    <w:rsid w:val="008E44FA"/>
    <w:rsid w:val="008E52FB"/>
    <w:rsid w:val="008F6219"/>
    <w:rsid w:val="0090442A"/>
    <w:rsid w:val="00907E0F"/>
    <w:rsid w:val="0091020D"/>
    <w:rsid w:val="00923062"/>
    <w:rsid w:val="00927059"/>
    <w:rsid w:val="00941E5D"/>
    <w:rsid w:val="00954B50"/>
    <w:rsid w:val="00956C4A"/>
    <w:rsid w:val="00961422"/>
    <w:rsid w:val="0096686D"/>
    <w:rsid w:val="0097720B"/>
    <w:rsid w:val="00977781"/>
    <w:rsid w:val="009945E6"/>
    <w:rsid w:val="009A3A63"/>
    <w:rsid w:val="009B3F1D"/>
    <w:rsid w:val="009B41CE"/>
    <w:rsid w:val="009B6050"/>
    <w:rsid w:val="009B69C5"/>
    <w:rsid w:val="009C22CC"/>
    <w:rsid w:val="009D5428"/>
    <w:rsid w:val="009D5922"/>
    <w:rsid w:val="009E07E4"/>
    <w:rsid w:val="009E0D93"/>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D3D36"/>
    <w:rsid w:val="00AE13E1"/>
    <w:rsid w:val="00AE242E"/>
    <w:rsid w:val="00AE7059"/>
    <w:rsid w:val="00AE7FAF"/>
    <w:rsid w:val="00AF799F"/>
    <w:rsid w:val="00B0299F"/>
    <w:rsid w:val="00B05CB5"/>
    <w:rsid w:val="00B24DA4"/>
    <w:rsid w:val="00B24E24"/>
    <w:rsid w:val="00B317EE"/>
    <w:rsid w:val="00B403D6"/>
    <w:rsid w:val="00B44084"/>
    <w:rsid w:val="00B4488E"/>
    <w:rsid w:val="00B452D4"/>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0E4"/>
    <w:rsid w:val="00C274A8"/>
    <w:rsid w:val="00C33C84"/>
    <w:rsid w:val="00C34213"/>
    <w:rsid w:val="00C37C0D"/>
    <w:rsid w:val="00C40A14"/>
    <w:rsid w:val="00C45973"/>
    <w:rsid w:val="00C74287"/>
    <w:rsid w:val="00C948C7"/>
    <w:rsid w:val="00C97F95"/>
    <w:rsid w:val="00CA5634"/>
    <w:rsid w:val="00CA7C93"/>
    <w:rsid w:val="00CB0FA0"/>
    <w:rsid w:val="00CB5431"/>
    <w:rsid w:val="00CC36A4"/>
    <w:rsid w:val="00CE452B"/>
    <w:rsid w:val="00CE7657"/>
    <w:rsid w:val="00D43A3E"/>
    <w:rsid w:val="00D47697"/>
    <w:rsid w:val="00D56238"/>
    <w:rsid w:val="00D631C6"/>
    <w:rsid w:val="00D632E9"/>
    <w:rsid w:val="00D63872"/>
    <w:rsid w:val="00D72D07"/>
    <w:rsid w:val="00D779E2"/>
    <w:rsid w:val="00D81FC7"/>
    <w:rsid w:val="00D910E7"/>
    <w:rsid w:val="00D94619"/>
    <w:rsid w:val="00D949D8"/>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6225"/>
    <w:rsid w:val="00E91FD3"/>
    <w:rsid w:val="00E92F11"/>
    <w:rsid w:val="00E96A4B"/>
    <w:rsid w:val="00E9739E"/>
    <w:rsid w:val="00EC6C9F"/>
    <w:rsid w:val="00ED3B1C"/>
    <w:rsid w:val="00EE0586"/>
    <w:rsid w:val="00EE12FB"/>
    <w:rsid w:val="00EE13C8"/>
    <w:rsid w:val="00EE6106"/>
    <w:rsid w:val="00F0574C"/>
    <w:rsid w:val="00F16A65"/>
    <w:rsid w:val="00F31CAF"/>
    <w:rsid w:val="00F40E6B"/>
    <w:rsid w:val="00F44710"/>
    <w:rsid w:val="00F50CAE"/>
    <w:rsid w:val="00F7063A"/>
    <w:rsid w:val="00F72094"/>
    <w:rsid w:val="00F84A6A"/>
    <w:rsid w:val="00F9204D"/>
    <w:rsid w:val="00FA2E98"/>
    <w:rsid w:val="00FA4D13"/>
    <w:rsid w:val="00FA4E65"/>
    <w:rsid w:val="00FB0D3A"/>
    <w:rsid w:val="00FB3FAC"/>
    <w:rsid w:val="00FC0A36"/>
    <w:rsid w:val="00FC70B8"/>
    <w:rsid w:val="00FD1C40"/>
    <w:rsid w:val="00FD332C"/>
    <w:rsid w:val="00FD67C2"/>
    <w:rsid w:val="00FE0439"/>
    <w:rsid w:val="00FE0C2D"/>
    <w:rsid w:val="00FE239B"/>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b0b792986560d1c3626adf8208d41775">
  <xsd:schema xmlns:xsd="http://www.w3.org/2001/XMLSchema" xmlns:xs="http://www.w3.org/2001/XMLSchema" xmlns:p="http://schemas.microsoft.com/office/2006/metadata/properties" xmlns:ns2="0ba9638b-9898-400c-aa80-e8ce42f10e4c" targetNamespace="http://schemas.microsoft.com/office/2006/metadata/properties" ma:root="true" ma:fieldsID="581e1a8b2a7a586d55b0477c026c3cf8"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8196E-2243-A140-B386-336CCC18CCDB}">
  <ds:schemaRefs>
    <ds:schemaRef ds:uri="http://schemas.openxmlformats.org/officeDocument/2006/bibliography"/>
  </ds:schemaRefs>
</ds:datastoreItem>
</file>

<file path=customXml/itemProps2.xml><?xml version="1.0" encoding="utf-8"?>
<ds:datastoreItem xmlns:ds="http://schemas.openxmlformats.org/officeDocument/2006/customXml" ds:itemID="{30EAA730-8032-4B93-9839-3AA78E4AF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CC19A-E75B-41D9-BDD0-1DA4617BC028}">
  <ds:schemaRefs>
    <ds:schemaRef ds:uri="http://schemas.microsoft.com/sharepoint/v3/contenttype/forms"/>
  </ds:schemaRefs>
</ds:datastoreItem>
</file>

<file path=customXml/itemProps4.xml><?xml version="1.0" encoding="utf-8"?>
<ds:datastoreItem xmlns:ds="http://schemas.openxmlformats.org/officeDocument/2006/customXml" ds:itemID="{58D7FD5B-E6AB-482E-ACAD-B9D5683BC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4581</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Engert</dc:creator>
  <cp:lastModifiedBy>René Brünn</cp:lastModifiedBy>
  <cp:revision>2</cp:revision>
  <cp:lastPrinted>2016-03-18T12:46:00Z</cp:lastPrinted>
  <dcterms:created xsi:type="dcterms:W3CDTF">2022-07-23T16:13:00Z</dcterms:created>
  <dcterms:modified xsi:type="dcterms:W3CDTF">2022-07-23T16:13:00Z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787900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