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A79D" w14:textId="77777777" w:rsidR="00E733F5" w:rsidRDefault="00E733F5" w:rsidP="00E733F5">
      <w:pPr>
        <w:spacing w:after="120"/>
        <w:jc w:val="both"/>
      </w:pPr>
      <w:r w:rsidRPr="005E51EC">
        <w:t xml:space="preserve">Die Rahmenbedingungen für den Bau von Schalt-, Steuerungs- und Energieverteilungsanlagen (Schaltgerätekombinationen) wurden mit der Ausgabe der Normenreihe DIN EN 61439-1 ff. (VDE 0660-600-1 ff.) im Jahr 2012 neu geregelt. Die Veränderungen wirken sich auf die Planung einer Schaltanlage aus und stellen den Hersteller einer Schaltgerätekombination vor neue Aufgaben und </w:t>
      </w:r>
      <w:r>
        <w:t xml:space="preserve">neue </w:t>
      </w:r>
      <w:r w:rsidRPr="005E51EC">
        <w:t>Verantwortung. Neben den strukturellen und inhaltlichen Veränderungen wurden auch Anpassungen an den Stand der Technik vorgenommen. Neue Begriffe, Bemessungen und Prüfungen wurden definiert. Dies alles macht es erforderlich, dass alle Fachleute, die sich mit der Planung und / oder Herstellung von Niederspannungsschaltgerätekombinationen befassen, sich intensiv mit den neuen harmonisierten Normen beschäftigen.</w:t>
      </w:r>
    </w:p>
    <w:p w14:paraId="6FB4E090" w14:textId="77777777" w:rsidR="00E733F5" w:rsidRPr="005E51EC" w:rsidRDefault="00E733F5" w:rsidP="00E733F5">
      <w:pPr>
        <w:spacing w:after="120"/>
        <w:jc w:val="both"/>
      </w:pPr>
    </w:p>
    <w:p w14:paraId="0917ECCD" w14:textId="7A0DDEAA" w:rsidR="00E733F5" w:rsidRDefault="00E733F5" w:rsidP="00E733F5">
      <w:pPr>
        <w:spacing w:after="120"/>
        <w:jc w:val="both"/>
      </w:pPr>
      <w:r w:rsidRPr="005E51EC">
        <w:t xml:space="preserve">Die Normenreihe DIN EN 61439 besteht im Einzelnen </w:t>
      </w:r>
      <w:proofErr w:type="gramStart"/>
      <w:r w:rsidRPr="005E51EC">
        <w:t>aus</w:t>
      </w:r>
      <w:r w:rsidR="00493FF1">
        <w:t xml:space="preserve"> </w:t>
      </w:r>
      <w:r w:rsidRPr="005E51EC">
        <w:t>folgenden</w:t>
      </w:r>
      <w:proofErr w:type="gramEnd"/>
      <w:r>
        <w:t xml:space="preserve"> </w:t>
      </w:r>
      <w:r w:rsidRPr="005E51EC">
        <w:t>Teilen:</w:t>
      </w:r>
    </w:p>
    <w:p w14:paraId="75E42AF1" w14:textId="77777777" w:rsidR="00E733F5" w:rsidRPr="005E51EC" w:rsidRDefault="00E733F5" w:rsidP="00E733F5">
      <w:pPr>
        <w:spacing w:after="120"/>
        <w:jc w:val="both"/>
      </w:pPr>
    </w:p>
    <w:p w14:paraId="4D5061C7" w14:textId="77777777" w:rsidR="00E733F5" w:rsidRPr="005E51EC" w:rsidRDefault="00E733F5" w:rsidP="00E733F5">
      <w:pPr>
        <w:spacing w:after="120"/>
        <w:ind w:left="2268" w:hanging="2268"/>
        <w:jc w:val="both"/>
      </w:pPr>
      <w:r w:rsidRPr="005E51EC">
        <w:t>DIN EN 61439-1</w:t>
      </w:r>
      <w:r w:rsidRPr="005E51EC">
        <w:tab/>
        <w:t>Niederspannungs-Schaltgerätekombinationen</w:t>
      </w:r>
      <w:r w:rsidRPr="005E51EC">
        <w:br/>
        <w:t>Teil 1: Allgemeine Festlegungen</w:t>
      </w:r>
    </w:p>
    <w:p w14:paraId="1FC3DD72" w14:textId="77777777" w:rsidR="00E733F5" w:rsidRPr="005E51EC" w:rsidRDefault="00E733F5" w:rsidP="00E733F5">
      <w:pPr>
        <w:spacing w:after="120"/>
        <w:ind w:left="2268" w:hanging="2268"/>
        <w:jc w:val="both"/>
      </w:pPr>
      <w:r w:rsidRPr="005E51EC">
        <w:t>DIN EN 61439-2</w:t>
      </w:r>
      <w:r w:rsidRPr="005E51EC">
        <w:tab/>
        <w:t>Niederspannungs-Schaltgerätekombinationen</w:t>
      </w:r>
      <w:r w:rsidRPr="005E51EC">
        <w:br/>
        <w:t>Teil 2: Energie-Schaltgerätekombinationen</w:t>
      </w:r>
    </w:p>
    <w:p w14:paraId="38132333" w14:textId="77777777" w:rsidR="00E733F5" w:rsidRPr="005E51EC" w:rsidRDefault="00E733F5" w:rsidP="00E733F5">
      <w:pPr>
        <w:spacing w:after="120"/>
        <w:ind w:left="2268" w:hanging="2268"/>
        <w:jc w:val="both"/>
      </w:pPr>
      <w:r w:rsidRPr="005E51EC">
        <w:t>DIN EN 61439-3</w:t>
      </w:r>
      <w:r w:rsidRPr="005E51EC">
        <w:tab/>
        <w:t>Niederspannungs-Schaltgerätekombinationen</w:t>
      </w:r>
      <w:r w:rsidRPr="005E51EC">
        <w:br/>
        <w:t>Teil 3: Installationsverteiler für die Bedienung durch Laien (DBO)</w:t>
      </w:r>
    </w:p>
    <w:p w14:paraId="513A2BA0" w14:textId="77777777" w:rsidR="00E733F5" w:rsidRPr="005E51EC" w:rsidRDefault="00E733F5" w:rsidP="00E733F5">
      <w:pPr>
        <w:spacing w:after="120"/>
        <w:ind w:left="2268" w:hanging="2268"/>
        <w:jc w:val="both"/>
      </w:pPr>
      <w:r w:rsidRPr="005E51EC">
        <w:t>DIN EN 61439-4</w:t>
      </w:r>
      <w:r w:rsidRPr="005E51EC">
        <w:tab/>
        <w:t>Niederspannungs-Schaltgerätekombinationen</w:t>
      </w:r>
      <w:r w:rsidRPr="005E51EC">
        <w:br/>
        <w:t>Teil 4: Besondere Anforderungen für Baustromverteiler (BV)</w:t>
      </w:r>
    </w:p>
    <w:p w14:paraId="3FA879A2" w14:textId="77777777" w:rsidR="00E733F5" w:rsidRPr="005E51EC" w:rsidRDefault="00E733F5" w:rsidP="00E733F5">
      <w:pPr>
        <w:spacing w:after="120"/>
        <w:ind w:left="2268" w:hanging="2268"/>
        <w:jc w:val="both"/>
      </w:pPr>
      <w:r w:rsidRPr="005E51EC">
        <w:t>DIN EN 61439-5</w:t>
      </w:r>
      <w:r w:rsidRPr="005E51EC">
        <w:tab/>
        <w:t>Niederspannungs-Schaltgerätekombinationen</w:t>
      </w:r>
      <w:r w:rsidRPr="005E51EC">
        <w:br/>
        <w:t>Teil 5: Schaltgerätekombinationen in öffentlichen Energieverteilungsnetzen</w:t>
      </w:r>
    </w:p>
    <w:p w14:paraId="3D4F13E5" w14:textId="77777777" w:rsidR="00E733F5" w:rsidRPr="005E51EC" w:rsidRDefault="00E733F5" w:rsidP="00E733F5">
      <w:pPr>
        <w:spacing w:after="120"/>
        <w:ind w:left="2268" w:hanging="2268"/>
        <w:jc w:val="both"/>
      </w:pPr>
      <w:r w:rsidRPr="005E51EC">
        <w:t>DIN EN 61439-6</w:t>
      </w:r>
      <w:r w:rsidRPr="005E51EC">
        <w:tab/>
        <w:t>Niederspannungs-Schaltgerätekombinationen</w:t>
      </w:r>
      <w:r w:rsidRPr="005E51EC">
        <w:br/>
        <w:t>Teil 6: Schienenverteilersysteme (</w:t>
      </w:r>
      <w:proofErr w:type="spellStart"/>
      <w:r w:rsidRPr="005E51EC">
        <w:t>busways</w:t>
      </w:r>
      <w:proofErr w:type="spellEnd"/>
      <w:r w:rsidRPr="005E51EC">
        <w:t>)</w:t>
      </w:r>
    </w:p>
    <w:p w14:paraId="1DBAFC14" w14:textId="77777777" w:rsidR="00E733F5" w:rsidRDefault="00E733F5" w:rsidP="00E733F5">
      <w:pPr>
        <w:spacing w:after="120"/>
        <w:ind w:left="2268" w:hanging="2268"/>
        <w:jc w:val="both"/>
      </w:pPr>
      <w:r w:rsidRPr="005E51EC">
        <w:t xml:space="preserve">DIN EN </w:t>
      </w:r>
      <w:r>
        <w:t xml:space="preserve">IEC </w:t>
      </w:r>
      <w:r w:rsidRPr="005E51EC">
        <w:t>61439-7</w:t>
      </w:r>
      <w:r w:rsidRPr="005E51EC">
        <w:tab/>
        <w:t>Niederspannungs-Schaltgerätekombinationen</w:t>
      </w:r>
      <w:r w:rsidRPr="005E51EC">
        <w:br/>
        <w:t xml:space="preserve">Teil 7: Schaltgerätekombinationen für bestimmte Anwendungen wie Marinas, Campingplätze, Marktplätze, Ladestationen für Elektrofahrzeuge </w:t>
      </w:r>
    </w:p>
    <w:p w14:paraId="29655479" w14:textId="77777777" w:rsidR="00E733F5" w:rsidRPr="005E51EC" w:rsidRDefault="00E733F5" w:rsidP="00E733F5">
      <w:pPr>
        <w:spacing w:after="120"/>
        <w:ind w:left="2268" w:hanging="2268"/>
        <w:jc w:val="both"/>
      </w:pPr>
    </w:p>
    <w:p w14:paraId="2F666B31" w14:textId="77777777" w:rsidR="00E733F5" w:rsidRPr="005E51EC" w:rsidRDefault="00E733F5" w:rsidP="00E733F5">
      <w:pPr>
        <w:spacing w:after="120"/>
        <w:jc w:val="both"/>
      </w:pPr>
      <w:r w:rsidRPr="005E51EC">
        <w:t>Für jede Bauart</w:t>
      </w:r>
      <w:r>
        <w:t xml:space="preserve"> bzw. für die </w:t>
      </w:r>
      <w:r w:rsidRPr="005E51EC">
        <w:t>Planung, Herstellung, Prüfung und Dokumentation einer Schaltgerätekombination müssen gewöhnlich zwei Normen der Normenreihe angewendet werden:</w:t>
      </w:r>
    </w:p>
    <w:p w14:paraId="072B0A5A" w14:textId="77777777" w:rsidR="00E733F5" w:rsidRPr="005E51EC" w:rsidRDefault="00E733F5" w:rsidP="00764094">
      <w:pPr>
        <w:pStyle w:val="Listenabsatz"/>
        <w:numPr>
          <w:ilvl w:val="0"/>
          <w:numId w:val="13"/>
        </w:numPr>
        <w:spacing w:after="120"/>
        <w:ind w:left="426"/>
        <w:jc w:val="both"/>
      </w:pPr>
      <w:r w:rsidRPr="005E51EC">
        <w:t>die Grundnorm mit den allgemeinen Festlegungen, die als „Teil 1“ bezeichnet wird; und</w:t>
      </w:r>
    </w:p>
    <w:p w14:paraId="1938C01E" w14:textId="77777777" w:rsidR="00E733F5" w:rsidRDefault="00E733F5" w:rsidP="00764094">
      <w:pPr>
        <w:pStyle w:val="Listenabsatz"/>
        <w:numPr>
          <w:ilvl w:val="0"/>
          <w:numId w:val="13"/>
        </w:numPr>
        <w:spacing w:after="120"/>
        <w:ind w:left="426"/>
        <w:jc w:val="both"/>
      </w:pPr>
      <w:r w:rsidRPr="005E51EC">
        <w:t>die zutreffende Produktnorm Teil 2 – 7.</w:t>
      </w:r>
    </w:p>
    <w:p w14:paraId="312EF2D3" w14:textId="77777777" w:rsidR="00E733F5" w:rsidRPr="005E51EC" w:rsidRDefault="00E733F5" w:rsidP="00E733F5">
      <w:pPr>
        <w:pStyle w:val="Listenabsatz"/>
        <w:spacing w:after="120"/>
        <w:jc w:val="both"/>
      </w:pPr>
    </w:p>
    <w:p w14:paraId="71265DC5" w14:textId="77777777" w:rsidR="00E733F5" w:rsidRPr="005E51EC" w:rsidRDefault="00E733F5" w:rsidP="00E733F5">
      <w:pPr>
        <w:spacing w:after="120"/>
        <w:jc w:val="both"/>
      </w:pPr>
      <w:r w:rsidRPr="005E51EC">
        <w:t>Für den Bau einer anwenderspezifische</w:t>
      </w:r>
      <w:r>
        <w:t>n</w:t>
      </w:r>
      <w:r w:rsidRPr="005E51EC">
        <w:t xml:space="preserve"> Schaltgerätekombination sind in der Regel diese fünf Tätigkeitsschritte erforderlich.</w:t>
      </w:r>
    </w:p>
    <w:p w14:paraId="67E83597" w14:textId="77777777" w:rsidR="00E733F5" w:rsidRPr="005E51EC" w:rsidRDefault="00E733F5" w:rsidP="00764094">
      <w:pPr>
        <w:pStyle w:val="Listenabsatz"/>
        <w:numPr>
          <w:ilvl w:val="0"/>
          <w:numId w:val="9"/>
        </w:numPr>
        <w:spacing w:after="120"/>
        <w:ind w:left="567" w:hanging="425"/>
        <w:jc w:val="both"/>
      </w:pPr>
      <w:r w:rsidRPr="005E51EC">
        <w:t>Planung - Sammeln aller Projektdaten</w:t>
      </w:r>
    </w:p>
    <w:p w14:paraId="525CD8C4" w14:textId="77777777" w:rsidR="00E733F5" w:rsidRPr="005E51EC" w:rsidRDefault="00E733F5" w:rsidP="00764094">
      <w:pPr>
        <w:pStyle w:val="Listenabsatz"/>
        <w:numPr>
          <w:ilvl w:val="0"/>
          <w:numId w:val="9"/>
        </w:numPr>
        <w:spacing w:after="120"/>
        <w:ind w:left="567" w:hanging="425"/>
        <w:jc w:val="both"/>
      </w:pPr>
      <w:r w:rsidRPr="005E51EC">
        <w:t>Projektierung</w:t>
      </w:r>
      <w:r>
        <w:t xml:space="preserve"> und</w:t>
      </w:r>
      <w:r w:rsidRPr="00140E77">
        <w:t xml:space="preserve"> </w:t>
      </w:r>
      <w:r w:rsidRPr="005E51EC">
        <w:t>Erbringung des Bauartnachweises</w:t>
      </w:r>
    </w:p>
    <w:p w14:paraId="4EF4BB28" w14:textId="77777777" w:rsidR="00E733F5" w:rsidRPr="005E51EC" w:rsidRDefault="00E733F5" w:rsidP="00764094">
      <w:pPr>
        <w:pStyle w:val="Listenabsatz"/>
        <w:numPr>
          <w:ilvl w:val="0"/>
          <w:numId w:val="9"/>
        </w:numPr>
        <w:spacing w:after="120"/>
        <w:ind w:left="567" w:hanging="425"/>
        <w:jc w:val="both"/>
      </w:pPr>
      <w:r w:rsidRPr="005E51EC">
        <w:t xml:space="preserve">Bau / Herstellen der Schaltgerätekombination inkl. </w:t>
      </w:r>
    </w:p>
    <w:p w14:paraId="1DBCD336" w14:textId="77777777" w:rsidR="00E733F5" w:rsidRPr="005E51EC" w:rsidRDefault="00E733F5" w:rsidP="00764094">
      <w:pPr>
        <w:pStyle w:val="Listenabsatz"/>
        <w:numPr>
          <w:ilvl w:val="0"/>
          <w:numId w:val="9"/>
        </w:numPr>
        <w:spacing w:after="120"/>
        <w:ind w:left="567" w:hanging="425"/>
        <w:jc w:val="both"/>
      </w:pPr>
      <w:r w:rsidRPr="005E51EC">
        <w:t>Stücknachweis</w:t>
      </w:r>
    </w:p>
    <w:p w14:paraId="6FFF84BF" w14:textId="77777777" w:rsidR="00E733F5" w:rsidRPr="005E51EC" w:rsidRDefault="00E733F5" w:rsidP="00764094">
      <w:pPr>
        <w:pStyle w:val="Listenabsatz"/>
        <w:numPr>
          <w:ilvl w:val="0"/>
          <w:numId w:val="9"/>
        </w:numPr>
        <w:spacing w:after="120"/>
        <w:ind w:left="567" w:hanging="425"/>
        <w:jc w:val="both"/>
      </w:pPr>
      <w:r w:rsidRPr="005E51EC">
        <w:t>Erklärung der CE-Konformität</w:t>
      </w:r>
    </w:p>
    <w:p w14:paraId="38949430" w14:textId="77777777" w:rsidR="00E733F5" w:rsidRDefault="00E733F5" w:rsidP="00E733F5">
      <w:pPr>
        <w:spacing w:after="120"/>
        <w:jc w:val="both"/>
      </w:pPr>
      <w:r w:rsidRPr="005E51EC">
        <w:t xml:space="preserve">Jeder dieser Hauptschritte beinhaltet weitere kleinere </w:t>
      </w:r>
      <w:r>
        <w:t>Teils</w:t>
      </w:r>
      <w:r w:rsidRPr="005E51EC">
        <w:t>chritte.</w:t>
      </w:r>
    </w:p>
    <w:p w14:paraId="3705D892" w14:textId="77777777" w:rsidR="00E733F5" w:rsidRDefault="00E733F5" w:rsidP="00E733F5">
      <w:r>
        <w:br w:type="page"/>
      </w:r>
    </w:p>
    <w:p w14:paraId="7652186D" w14:textId="77777777" w:rsidR="00E733F5" w:rsidRPr="00E733F5" w:rsidRDefault="00E733F5" w:rsidP="00764094">
      <w:pPr>
        <w:pStyle w:val="Listenabsatz"/>
        <w:numPr>
          <w:ilvl w:val="0"/>
          <w:numId w:val="8"/>
        </w:numPr>
        <w:spacing w:after="120"/>
        <w:ind w:left="567" w:hanging="567"/>
        <w:jc w:val="both"/>
        <w:rPr>
          <w:rFonts w:eastAsiaTheme="minorEastAsia"/>
          <w:b/>
          <w:bCs/>
          <w:sz w:val="28"/>
          <w:szCs w:val="28"/>
        </w:rPr>
      </w:pPr>
      <w:r w:rsidRPr="00E733F5">
        <w:rPr>
          <w:b/>
          <w:bCs/>
          <w:sz w:val="28"/>
          <w:szCs w:val="28"/>
        </w:rPr>
        <w:lastRenderedPageBreak/>
        <w:t>Planung - Sammeln aller Projektdaten</w:t>
      </w:r>
    </w:p>
    <w:p w14:paraId="46800110" w14:textId="77777777" w:rsidR="00E733F5" w:rsidRPr="005E51EC" w:rsidRDefault="00E733F5" w:rsidP="00E733F5">
      <w:pPr>
        <w:spacing w:after="120"/>
        <w:jc w:val="both"/>
      </w:pPr>
      <w:r w:rsidRPr="005E51EC">
        <w:t>Bei der Planung werden die notwendigen Daten für das Projekt zusammengestellt, z. B.:</w:t>
      </w:r>
    </w:p>
    <w:p w14:paraId="37B59935" w14:textId="77777777" w:rsidR="00E733F5" w:rsidRPr="005E51EC" w:rsidRDefault="00E733F5" w:rsidP="00764094">
      <w:pPr>
        <w:pStyle w:val="Listenabsatz"/>
        <w:numPr>
          <w:ilvl w:val="0"/>
          <w:numId w:val="13"/>
        </w:numPr>
        <w:spacing w:after="120"/>
        <w:ind w:left="426"/>
        <w:jc w:val="both"/>
      </w:pPr>
      <w:r w:rsidRPr="005E51EC">
        <w:t>Anschluss an das elektrische Netz</w:t>
      </w:r>
    </w:p>
    <w:p w14:paraId="4CC34A4A" w14:textId="77777777" w:rsidR="00E733F5" w:rsidRPr="005E51EC" w:rsidRDefault="00E733F5" w:rsidP="00764094">
      <w:pPr>
        <w:pStyle w:val="Listenabsatz"/>
        <w:numPr>
          <w:ilvl w:val="0"/>
          <w:numId w:val="13"/>
        </w:numPr>
        <w:spacing w:after="120"/>
        <w:ind w:left="426"/>
        <w:jc w:val="both"/>
      </w:pPr>
      <w:r w:rsidRPr="005E51EC">
        <w:t>Stromkreise und Verbraucher</w:t>
      </w:r>
    </w:p>
    <w:p w14:paraId="7B05D005" w14:textId="77777777" w:rsidR="00E733F5" w:rsidRPr="005E51EC" w:rsidRDefault="00E733F5" w:rsidP="00764094">
      <w:pPr>
        <w:pStyle w:val="Listenabsatz"/>
        <w:numPr>
          <w:ilvl w:val="0"/>
          <w:numId w:val="13"/>
        </w:numPr>
        <w:spacing w:after="120"/>
        <w:ind w:left="426"/>
        <w:jc w:val="both"/>
      </w:pPr>
      <w:r w:rsidRPr="005E51EC">
        <w:t>Aufstellungs- und Umgebungsbedingungen</w:t>
      </w:r>
    </w:p>
    <w:p w14:paraId="290A5989" w14:textId="77777777" w:rsidR="00E733F5" w:rsidRDefault="00E733F5" w:rsidP="00764094">
      <w:pPr>
        <w:pStyle w:val="Listenabsatz"/>
        <w:numPr>
          <w:ilvl w:val="0"/>
          <w:numId w:val="13"/>
        </w:numPr>
        <w:spacing w:after="120"/>
        <w:ind w:left="426"/>
        <w:jc w:val="both"/>
      </w:pPr>
      <w:r w:rsidRPr="005E51EC">
        <w:t>Bedienen und Warten</w:t>
      </w:r>
    </w:p>
    <w:p w14:paraId="0D19B138" w14:textId="77777777" w:rsidR="00E733F5" w:rsidRDefault="00E733F5" w:rsidP="00E733F5">
      <w:pPr>
        <w:pStyle w:val="Listenabsatz"/>
        <w:spacing w:after="120"/>
        <w:ind w:left="1068"/>
        <w:jc w:val="both"/>
      </w:pPr>
    </w:p>
    <w:p w14:paraId="2DB059A8" w14:textId="77777777" w:rsidR="00E733F5" w:rsidRPr="00E733F5" w:rsidRDefault="00E733F5" w:rsidP="00764094">
      <w:pPr>
        <w:pStyle w:val="Listenabsatz"/>
        <w:numPr>
          <w:ilvl w:val="0"/>
          <w:numId w:val="8"/>
        </w:numPr>
        <w:spacing w:after="120"/>
        <w:ind w:left="567" w:hanging="567"/>
        <w:jc w:val="both"/>
        <w:rPr>
          <w:b/>
          <w:bCs/>
          <w:sz w:val="28"/>
          <w:szCs w:val="28"/>
        </w:rPr>
      </w:pPr>
      <w:r w:rsidRPr="00E733F5">
        <w:rPr>
          <w:b/>
          <w:bCs/>
          <w:sz w:val="28"/>
          <w:szCs w:val="28"/>
        </w:rPr>
        <w:t>Projektierung und Bauartnachweis</w:t>
      </w:r>
    </w:p>
    <w:p w14:paraId="616C513B" w14:textId="77777777" w:rsidR="00E733F5" w:rsidRPr="005E51EC" w:rsidRDefault="00E733F5" w:rsidP="00E733F5">
      <w:pPr>
        <w:spacing w:after="120"/>
        <w:jc w:val="both"/>
      </w:pPr>
      <w:r w:rsidRPr="005E51EC">
        <w:t>Der Bauartnachweis wird in der Planungsphase erstellt</w:t>
      </w:r>
      <w:r>
        <w:t xml:space="preserve"> und</w:t>
      </w:r>
      <w:r w:rsidRPr="005E51EC">
        <w:t xml:space="preserve"> dien</w:t>
      </w:r>
      <w:r>
        <w:t>t</w:t>
      </w:r>
      <w:r w:rsidRPr="005E51EC">
        <w:t xml:space="preserve"> dem Nachweis</w:t>
      </w:r>
      <w:r>
        <w:t>,</w:t>
      </w:r>
      <w:r w:rsidRPr="005E51EC">
        <w:t xml:space="preserve"> das</w:t>
      </w:r>
      <w:r>
        <w:t>s</w:t>
      </w:r>
      <w:r w:rsidRPr="005E51EC">
        <w:t xml:space="preserve"> die Komponenten oder die Schaltgerätekombinationen für das Anwendungsgebiet den normativen Vorgaben entsprechen, wenn sie im Rahmen ihres freigegebenen Anwendungsgebietes unter Beachtung der Einbauvorgaben verwendet werden. Die Norm beschreibt drei Verfahren für die zu erbringenden Bauartnachweispunkte der Schaltgerätekombination und gibt in der VDE 0660-600-1:2012-06 Anhang D Tabelle D.1 ihre Anwendbarkeit frei. </w:t>
      </w:r>
    </w:p>
    <w:p w14:paraId="13751E0D" w14:textId="77777777" w:rsidR="00E733F5" w:rsidRPr="005E51EC" w:rsidRDefault="00E733F5" w:rsidP="00764094">
      <w:pPr>
        <w:pStyle w:val="Listenabsatz"/>
        <w:numPr>
          <w:ilvl w:val="0"/>
          <w:numId w:val="12"/>
        </w:numPr>
        <w:spacing w:after="120"/>
        <w:ind w:left="567" w:hanging="567"/>
        <w:jc w:val="both"/>
      </w:pPr>
      <w:r w:rsidRPr="005E51EC">
        <w:t>Prüfung (elektrisch, mechanisch und thermisch)</w:t>
      </w:r>
    </w:p>
    <w:p w14:paraId="0F0E957E" w14:textId="77777777" w:rsidR="00E733F5" w:rsidRPr="00B752FB" w:rsidRDefault="00E733F5" w:rsidP="00764094">
      <w:pPr>
        <w:pStyle w:val="Listenabsatz"/>
        <w:numPr>
          <w:ilvl w:val="0"/>
          <w:numId w:val="12"/>
        </w:numPr>
        <w:spacing w:after="120"/>
        <w:ind w:left="567" w:hanging="567"/>
        <w:jc w:val="both"/>
        <w:rPr>
          <w:rFonts w:eastAsiaTheme="minorEastAsia"/>
        </w:rPr>
      </w:pPr>
      <w:r w:rsidRPr="00B752FB">
        <w:rPr>
          <w:rFonts w:eastAsia="Arial"/>
        </w:rPr>
        <w:t>Nachweis durch Vergleich mit einer geprüften Referenzkonstruktion</w:t>
      </w:r>
    </w:p>
    <w:p w14:paraId="3D89C22A" w14:textId="77777777" w:rsidR="00E733F5" w:rsidRPr="00B752FB" w:rsidRDefault="00E733F5" w:rsidP="00764094">
      <w:pPr>
        <w:pStyle w:val="Listenabsatz"/>
        <w:numPr>
          <w:ilvl w:val="0"/>
          <w:numId w:val="12"/>
        </w:numPr>
        <w:spacing w:after="120"/>
        <w:ind w:left="567" w:hanging="567"/>
        <w:jc w:val="both"/>
        <w:rPr>
          <w:rFonts w:eastAsiaTheme="minorEastAsia"/>
        </w:rPr>
      </w:pPr>
      <w:r w:rsidRPr="00B752FB">
        <w:rPr>
          <w:rFonts w:eastAsia="Arial"/>
        </w:rPr>
        <w:t xml:space="preserve">Nachweis durch Begutachtung, z. B. Bestätigung der richtigen Anwendung von Berechnungs- und Konstruktionsregeln </w:t>
      </w:r>
      <w:r w:rsidRPr="005E51EC">
        <w:t>(z. B. Berechnung der Erwärmung)</w:t>
      </w:r>
    </w:p>
    <w:p w14:paraId="68EA925B" w14:textId="77777777" w:rsidR="00E733F5" w:rsidRPr="005D1228" w:rsidRDefault="00E733F5" w:rsidP="00E733F5">
      <w:pPr>
        <w:spacing w:after="120"/>
        <w:jc w:val="both"/>
        <w:rPr>
          <w:rFonts w:eastAsiaTheme="minorEastAsia"/>
        </w:rPr>
      </w:pPr>
      <w:bookmarkStart w:id="0" w:name="_Hlk63686649"/>
      <w:r>
        <w:t>Ferner</w:t>
      </w:r>
      <w:r w:rsidRPr="005E51EC">
        <w:t xml:space="preserve"> verlangt </w:t>
      </w:r>
      <w:r>
        <w:t>die Norm</w:t>
      </w:r>
      <w:r w:rsidRPr="005E51EC">
        <w:t xml:space="preserve"> einen Stücknachweis (</w:t>
      </w:r>
      <w:r>
        <w:t>siehe Abschnitt 4</w:t>
      </w:r>
      <w:r w:rsidRPr="005E51EC">
        <w:t xml:space="preserve">) für jede in </w:t>
      </w:r>
      <w:r>
        <w:t xml:space="preserve">den </w:t>
      </w:r>
      <w:r w:rsidRPr="005E51EC">
        <w:t xml:space="preserve">Verkehr gebrachte </w:t>
      </w:r>
      <w:r>
        <w:t>Schaltgerätekombination</w:t>
      </w:r>
      <w:r w:rsidRPr="005E51EC">
        <w:t>.</w:t>
      </w:r>
    </w:p>
    <w:bookmarkEnd w:id="0"/>
    <w:p w14:paraId="09FDA9BE" w14:textId="672BCEB0" w:rsidR="00E733F5" w:rsidRDefault="00E733F5" w:rsidP="00E733F5">
      <w:pPr>
        <w:pStyle w:val="Listenabsatz"/>
        <w:spacing w:after="120"/>
        <w:ind w:left="0"/>
        <w:jc w:val="both"/>
      </w:pPr>
      <w:r w:rsidRPr="005E51EC">
        <w:t>Für den Bauartnachweis werden im Wesentlichen die von dem ursprünglichen Hersteller (Hersteller der Komponenten) erbrachten Nachweise zur Anwendung gebracht. Wenn der Hersteller (Schaltschrankbauer) den Ausbau der Schaltgerätekombination abweichend von den technischen Vorgaben der Montageanleitung des ursprünglichen Komponentenhersteller</w:t>
      </w:r>
      <w:r>
        <w:t>s</w:t>
      </w:r>
      <w:r w:rsidRPr="005E51EC">
        <w:t xml:space="preserve"> ausführt, wird er dadurch für die Veränderung und deren Auswirkungen zum Nachweispflichtigen und muss den Bauartnachweis neu erbringen.</w:t>
      </w:r>
    </w:p>
    <w:p w14:paraId="16A51D7E" w14:textId="77777777" w:rsidR="00E733F5" w:rsidRPr="005E51EC" w:rsidRDefault="00E733F5" w:rsidP="00E733F5">
      <w:pPr>
        <w:pStyle w:val="Listenabsatz"/>
        <w:spacing w:after="120"/>
        <w:ind w:left="0"/>
        <w:jc w:val="both"/>
      </w:pPr>
    </w:p>
    <w:p w14:paraId="63659B17" w14:textId="57691F4C" w:rsidR="00E733F5" w:rsidRDefault="00E733F5" w:rsidP="00E733F5">
      <w:pPr>
        <w:pStyle w:val="Listenabsatz"/>
        <w:spacing w:after="120"/>
        <w:ind w:left="0"/>
        <w:jc w:val="both"/>
      </w:pPr>
      <w:r w:rsidRPr="005E51EC">
        <w:t>Schaltgerätekombinationen sind in den allermeisten Fällen auf die jeweiligen Kundenanforderungen zugeschnitten, beinhalten stark unterschiedliche Kombinationen von Betriebsmitteln und werden daher in Einzelfertigung hergestellt.</w:t>
      </w:r>
    </w:p>
    <w:p w14:paraId="76E28D1C" w14:textId="77777777" w:rsidR="00E733F5" w:rsidRPr="005E51EC" w:rsidRDefault="00E733F5" w:rsidP="00E733F5">
      <w:pPr>
        <w:pStyle w:val="Listenabsatz"/>
        <w:spacing w:after="120"/>
        <w:ind w:left="0"/>
        <w:jc w:val="both"/>
      </w:pPr>
    </w:p>
    <w:p w14:paraId="4BFB9C9E" w14:textId="0124243C" w:rsidR="00E733F5" w:rsidRDefault="00E733F5" w:rsidP="00E733F5">
      <w:pPr>
        <w:pStyle w:val="Listenabsatz"/>
        <w:spacing w:after="120"/>
        <w:ind w:left="0"/>
        <w:jc w:val="both"/>
      </w:pPr>
      <w:r w:rsidRPr="005E51EC">
        <w:t xml:space="preserve">In der </w:t>
      </w:r>
      <w:bookmarkStart w:id="1" w:name="_Hlk63758079"/>
      <w:r w:rsidRPr="005E51EC">
        <w:t>DIN EN 61439 (VDE 0660-600)</w:t>
      </w:r>
      <w:bookmarkEnd w:id="1"/>
      <w:r w:rsidRPr="005E51EC">
        <w:t xml:space="preserve"> werden die Typenprüfungen für TSK (typgeprüfte Schaltgerätekombination) und PTSK (partiell typgeprüfte Schaltgerätekombination) der Vorgängernorm EN 60439 (VDE 0660-500) durch </w:t>
      </w:r>
      <w:r>
        <w:t>eine</w:t>
      </w:r>
      <w:r w:rsidRPr="005E51EC">
        <w:t>n einheitlichen Bauartnachweis ersetzt. Die DIN EN 61439 (VDE 0660-600) beschreibt die Aufgaben- und Verantwortungsbereiche eines "ursprünglichen Herstellers" und d</w:t>
      </w:r>
      <w:r>
        <w:t>i</w:t>
      </w:r>
      <w:r w:rsidRPr="005E51EC">
        <w:t xml:space="preserve">e eines "Herstellers einer Schaltgerätekombination". </w:t>
      </w:r>
    </w:p>
    <w:p w14:paraId="628ECAAA" w14:textId="77777777" w:rsidR="00493FF1" w:rsidRPr="005E51EC" w:rsidRDefault="00493FF1" w:rsidP="00E733F5">
      <w:pPr>
        <w:pStyle w:val="Listenabsatz"/>
        <w:spacing w:after="120"/>
        <w:ind w:left="0"/>
        <w:jc w:val="both"/>
      </w:pPr>
    </w:p>
    <w:p w14:paraId="0EB43C62" w14:textId="77777777" w:rsidR="00E733F5" w:rsidRPr="005E51EC" w:rsidRDefault="00E733F5" w:rsidP="00E733F5">
      <w:pPr>
        <w:pStyle w:val="Listenabsatz"/>
        <w:spacing w:after="120"/>
        <w:ind w:left="0"/>
        <w:jc w:val="both"/>
      </w:pPr>
      <w:r w:rsidRPr="005E51EC">
        <w:t>Der "ursprüngliche Hersteller" ist ein Unternehmen, welches die Komponenten für eine Schaltgerätkombination betriebsfertig und unter Beachtung der anzuwendenden Produktnormen herstellt.</w:t>
      </w:r>
    </w:p>
    <w:p w14:paraId="337D2D0E" w14:textId="77777777" w:rsidR="00E733F5" w:rsidRPr="005E51EC" w:rsidRDefault="00E733F5" w:rsidP="00E733F5">
      <w:pPr>
        <w:pStyle w:val="Listenabsatz"/>
        <w:spacing w:after="120"/>
        <w:ind w:left="0"/>
        <w:jc w:val="both"/>
      </w:pPr>
      <w:r w:rsidRPr="005E51EC">
        <w:t>Der "Hersteller einer Schaltgerätekombination" ist der Schaltschrankbauer oder das Unternehmen, welches aus</w:t>
      </w:r>
      <w:r>
        <w:t xml:space="preserve"> den</w:t>
      </w:r>
      <w:r w:rsidRPr="005E51EC">
        <w:t xml:space="preserve"> Komponenten de</w:t>
      </w:r>
      <w:r>
        <w:t>r</w:t>
      </w:r>
      <w:r w:rsidRPr="005E51EC">
        <w:t xml:space="preserve"> "ursprünglichen Hersteller" eine individuelle Schaltgerätekombination herstellt.</w:t>
      </w:r>
    </w:p>
    <w:p w14:paraId="6436476D" w14:textId="6C4C5797" w:rsidR="00E733F5" w:rsidRDefault="00E733F5" w:rsidP="00E733F5">
      <w:pPr>
        <w:pStyle w:val="Listenabsatz"/>
        <w:spacing w:after="120"/>
        <w:ind w:left="0"/>
        <w:jc w:val="both"/>
      </w:pPr>
    </w:p>
    <w:p w14:paraId="47C935C3" w14:textId="0D206810" w:rsidR="00E733F5" w:rsidRDefault="00E733F5" w:rsidP="00E733F5">
      <w:pPr>
        <w:pStyle w:val="Listenabsatz"/>
        <w:spacing w:after="120"/>
        <w:ind w:left="0"/>
        <w:jc w:val="both"/>
      </w:pPr>
    </w:p>
    <w:p w14:paraId="2F44E8B5" w14:textId="01A038C1" w:rsidR="00E733F5" w:rsidRDefault="00E733F5" w:rsidP="00E733F5">
      <w:pPr>
        <w:pStyle w:val="Listenabsatz"/>
        <w:spacing w:after="120"/>
        <w:ind w:left="0"/>
        <w:jc w:val="both"/>
      </w:pPr>
    </w:p>
    <w:p w14:paraId="7AAE0526" w14:textId="01087620" w:rsidR="00E733F5" w:rsidRDefault="00E733F5" w:rsidP="00E733F5">
      <w:pPr>
        <w:pStyle w:val="Listenabsatz"/>
        <w:spacing w:after="120"/>
        <w:ind w:left="0"/>
        <w:jc w:val="both"/>
      </w:pPr>
    </w:p>
    <w:p w14:paraId="3CA85742" w14:textId="21284A35" w:rsidR="00E733F5" w:rsidRDefault="00E733F5" w:rsidP="00E733F5">
      <w:pPr>
        <w:pStyle w:val="Listenabsatz"/>
        <w:spacing w:after="120"/>
        <w:ind w:left="0"/>
        <w:jc w:val="both"/>
      </w:pPr>
    </w:p>
    <w:p w14:paraId="21B3A048" w14:textId="77777777" w:rsidR="00E733F5" w:rsidRDefault="00E733F5" w:rsidP="00E733F5">
      <w:pPr>
        <w:pStyle w:val="Listenabsatz"/>
        <w:spacing w:after="120"/>
        <w:ind w:left="0"/>
        <w:jc w:val="both"/>
      </w:pPr>
    </w:p>
    <w:p w14:paraId="115F1C88" w14:textId="77777777" w:rsidR="00E733F5" w:rsidRPr="00E733F5" w:rsidRDefault="00E733F5" w:rsidP="00764094">
      <w:pPr>
        <w:pStyle w:val="Listenabsatz"/>
        <w:numPr>
          <w:ilvl w:val="0"/>
          <w:numId w:val="8"/>
        </w:numPr>
        <w:spacing w:after="120"/>
        <w:ind w:left="567" w:hanging="567"/>
        <w:jc w:val="both"/>
        <w:rPr>
          <w:b/>
          <w:bCs/>
          <w:sz w:val="28"/>
          <w:szCs w:val="28"/>
        </w:rPr>
      </w:pPr>
      <w:r w:rsidRPr="00E733F5">
        <w:rPr>
          <w:b/>
          <w:bCs/>
          <w:sz w:val="28"/>
          <w:szCs w:val="28"/>
        </w:rPr>
        <w:lastRenderedPageBreak/>
        <w:t>Bau / Herstellen einer Schaltgerätekombination</w:t>
      </w:r>
    </w:p>
    <w:p w14:paraId="1CF620C8" w14:textId="7A093E4F" w:rsidR="00493FF1" w:rsidRPr="005E51EC" w:rsidRDefault="00493FF1" w:rsidP="00493FF1">
      <w:pPr>
        <w:spacing w:after="120"/>
        <w:jc w:val="both"/>
      </w:pPr>
      <w:r>
        <w:t>D</w:t>
      </w:r>
      <w:r w:rsidRPr="005E51EC">
        <w:t>er</w:t>
      </w:r>
      <w:r>
        <w:t xml:space="preserve"> Bau umfasst insbesondere folgende Schritte:</w:t>
      </w:r>
    </w:p>
    <w:p w14:paraId="67A22C0B" w14:textId="77777777" w:rsidR="00E733F5" w:rsidRPr="005E51EC" w:rsidRDefault="00E733F5" w:rsidP="00764094">
      <w:pPr>
        <w:pStyle w:val="Listenabsatz"/>
        <w:numPr>
          <w:ilvl w:val="0"/>
          <w:numId w:val="13"/>
        </w:numPr>
        <w:spacing w:after="120"/>
        <w:ind w:left="426"/>
        <w:jc w:val="both"/>
      </w:pPr>
      <w:r w:rsidRPr="005E51EC">
        <w:t>Montage von Einzelteilen / Baugruppen in Gehäusen/ Schränken</w:t>
      </w:r>
      <w:r>
        <w:t>,</w:t>
      </w:r>
    </w:p>
    <w:p w14:paraId="53809D07" w14:textId="77777777" w:rsidR="00E733F5" w:rsidRPr="005E51EC" w:rsidRDefault="00E733F5" w:rsidP="00764094">
      <w:pPr>
        <w:pStyle w:val="Listenabsatz"/>
        <w:numPr>
          <w:ilvl w:val="0"/>
          <w:numId w:val="13"/>
        </w:numPr>
        <w:spacing w:after="120"/>
        <w:ind w:left="426"/>
        <w:jc w:val="both"/>
      </w:pPr>
      <w:r w:rsidRPr="005E51EC">
        <w:t>Einbau der Geräte</w:t>
      </w:r>
      <w:r>
        <w:t>,</w:t>
      </w:r>
    </w:p>
    <w:p w14:paraId="0814F920" w14:textId="77777777" w:rsidR="00E733F5" w:rsidRPr="005E51EC" w:rsidRDefault="00E733F5" w:rsidP="00764094">
      <w:pPr>
        <w:pStyle w:val="Listenabsatz"/>
        <w:numPr>
          <w:ilvl w:val="0"/>
          <w:numId w:val="13"/>
        </w:numPr>
        <w:spacing w:after="120"/>
        <w:ind w:left="426"/>
        <w:jc w:val="both"/>
      </w:pPr>
      <w:r w:rsidRPr="005E51EC">
        <w:t>Verdrahtung innerhalb der Schaltanlage</w:t>
      </w:r>
      <w:r>
        <w:t>,</w:t>
      </w:r>
    </w:p>
    <w:p w14:paraId="27A60376" w14:textId="77777777" w:rsidR="00E733F5" w:rsidRPr="005E51EC" w:rsidRDefault="00E733F5" w:rsidP="00764094">
      <w:pPr>
        <w:pStyle w:val="Listenabsatz"/>
        <w:numPr>
          <w:ilvl w:val="0"/>
          <w:numId w:val="13"/>
        </w:numPr>
        <w:spacing w:after="120"/>
        <w:ind w:left="426"/>
        <w:jc w:val="both"/>
      </w:pPr>
      <w:r w:rsidRPr="005E51EC">
        <w:t>Zu- / Abgangsklemmen für von außen eingeführter Leiter</w:t>
      </w:r>
      <w:r>
        <w:t>,</w:t>
      </w:r>
    </w:p>
    <w:p w14:paraId="26DFA09B" w14:textId="77777777" w:rsidR="00E733F5" w:rsidRPr="005E51EC" w:rsidRDefault="00E733F5" w:rsidP="00764094">
      <w:pPr>
        <w:pStyle w:val="Listenabsatz"/>
        <w:numPr>
          <w:ilvl w:val="0"/>
          <w:numId w:val="13"/>
        </w:numPr>
        <w:spacing w:after="120"/>
        <w:ind w:left="426"/>
        <w:jc w:val="both"/>
      </w:pPr>
      <w:r w:rsidRPr="005E51EC">
        <w:t>Montage von Türen, Abdeckungen und Verkleidungen</w:t>
      </w:r>
      <w:r>
        <w:t>,</w:t>
      </w:r>
    </w:p>
    <w:p w14:paraId="6C2132DF" w14:textId="0318B982" w:rsidR="00E733F5" w:rsidRDefault="00E733F5" w:rsidP="00764094">
      <w:pPr>
        <w:pStyle w:val="Listenabsatz"/>
        <w:numPr>
          <w:ilvl w:val="0"/>
          <w:numId w:val="13"/>
        </w:numPr>
        <w:spacing w:after="120"/>
        <w:ind w:left="426"/>
        <w:jc w:val="both"/>
      </w:pPr>
      <w:r w:rsidRPr="005E51EC">
        <w:t>Aufschriften / Dokumentation</w:t>
      </w:r>
      <w:r>
        <w:t>.</w:t>
      </w:r>
    </w:p>
    <w:p w14:paraId="6691716A" w14:textId="77777777" w:rsidR="00E733F5" w:rsidRDefault="00E733F5" w:rsidP="00E733F5">
      <w:pPr>
        <w:pStyle w:val="Listenabsatz"/>
        <w:spacing w:after="120"/>
        <w:ind w:left="993"/>
        <w:jc w:val="both"/>
      </w:pPr>
    </w:p>
    <w:p w14:paraId="50A989AD" w14:textId="63C72D61" w:rsidR="00E733F5" w:rsidRPr="00E733F5" w:rsidRDefault="00E733F5" w:rsidP="00764094">
      <w:pPr>
        <w:pStyle w:val="Listenabsatz"/>
        <w:numPr>
          <w:ilvl w:val="0"/>
          <w:numId w:val="8"/>
        </w:numPr>
        <w:spacing w:after="120"/>
        <w:ind w:left="567" w:hanging="567"/>
        <w:jc w:val="both"/>
        <w:rPr>
          <w:b/>
          <w:bCs/>
          <w:sz w:val="28"/>
          <w:szCs w:val="28"/>
        </w:rPr>
      </w:pPr>
      <w:r w:rsidRPr="00E733F5">
        <w:rPr>
          <w:b/>
          <w:bCs/>
          <w:sz w:val="28"/>
          <w:szCs w:val="28"/>
        </w:rPr>
        <w:t>Stücknachweis</w:t>
      </w:r>
    </w:p>
    <w:p w14:paraId="131384A6" w14:textId="41CFEBE8" w:rsidR="00E733F5" w:rsidRDefault="00E733F5" w:rsidP="00E733F5">
      <w:pPr>
        <w:spacing w:after="120"/>
        <w:jc w:val="both"/>
      </w:pPr>
      <w:r>
        <w:t>Im Gegensatz zum</w:t>
      </w:r>
      <w:r w:rsidRPr="005E51EC">
        <w:t xml:space="preserve"> Bauartnachweis, bei dem die vereinbarte bzw. normative Eignung einer Schaltgerätekombination für den vorgesehenen Anwendungsbereich nachgewiesen wird, soll</w:t>
      </w:r>
      <w:r>
        <w:t xml:space="preserve"> mit dem</w:t>
      </w:r>
      <w:r w:rsidRPr="005E51EC">
        <w:t xml:space="preserve"> Stücknachweis nach der Fertigungsphase festgestellt werden, ob </w:t>
      </w:r>
      <w:r>
        <w:t>jede</w:t>
      </w:r>
      <w:r w:rsidRPr="005E51EC">
        <w:t xml:space="preserve"> einzelne nach den Wünschen des Anwenders hergestellte Schaltgerätekombination mit den Fertigungsunterlagen übereinstimm</w:t>
      </w:r>
      <w:r>
        <w:t>t</w:t>
      </w:r>
      <w:r w:rsidRPr="005E51EC">
        <w:t xml:space="preserve">. Es sollen Qualitätsmängel und Fertigungsfehler, die bei einer </w:t>
      </w:r>
      <w:r>
        <w:t>Errichtung</w:t>
      </w:r>
      <w:r w:rsidRPr="005E51EC">
        <w:t xml:space="preserve"> auftreten können (z. B. Verdrahtungsfehler, Fehler in Werkstoffen und Komponenten)</w:t>
      </w:r>
      <w:r>
        <w:t>,</w:t>
      </w:r>
      <w:r w:rsidRPr="005E51EC">
        <w:t xml:space="preserve"> aufgedeckt werden</w:t>
      </w:r>
      <w:r>
        <w:t xml:space="preserve"> (Werkstattnachweis).</w:t>
      </w:r>
    </w:p>
    <w:p w14:paraId="7115E384" w14:textId="4B3DF0B5" w:rsidR="00493FF1" w:rsidRPr="005E51EC" w:rsidRDefault="00493FF1" w:rsidP="00E733F5">
      <w:pPr>
        <w:spacing w:after="120"/>
        <w:jc w:val="both"/>
      </w:pPr>
    </w:p>
    <w:p w14:paraId="6ED47CC3" w14:textId="6710148E" w:rsidR="00E733F5" w:rsidRDefault="00E733F5" w:rsidP="00E733F5">
      <w:pPr>
        <w:spacing w:after="120"/>
        <w:ind w:left="567" w:hanging="567"/>
        <w:jc w:val="both"/>
        <w:rPr>
          <w:b/>
          <w:bCs/>
        </w:rPr>
      </w:pPr>
      <w:r w:rsidRPr="005E51EC">
        <w:rPr>
          <w:b/>
          <w:bCs/>
        </w:rPr>
        <w:t xml:space="preserve">Folgende Prüfungen sind vor Auslieferung der </w:t>
      </w:r>
      <w:r w:rsidRPr="005D1228">
        <w:rPr>
          <w:b/>
          <w:bCs/>
        </w:rPr>
        <w:t>Schaltgerätekombination</w:t>
      </w:r>
      <w:r w:rsidRPr="005E51EC">
        <w:rPr>
          <w:b/>
          <w:bCs/>
        </w:rPr>
        <w:t xml:space="preserve"> durchzuführen:</w:t>
      </w:r>
    </w:p>
    <w:p w14:paraId="1260BD84" w14:textId="6EF187AA" w:rsidR="000223C8" w:rsidRPr="005E51EC" w:rsidRDefault="000223C8" w:rsidP="00E733F5">
      <w:pPr>
        <w:spacing w:after="120"/>
        <w:ind w:left="567" w:hanging="567"/>
        <w:jc w:val="both"/>
        <w:rPr>
          <w:b/>
          <w:bCs/>
        </w:rPr>
      </w:pPr>
      <w:r w:rsidRPr="000223C8">
        <w:drawing>
          <wp:anchor distT="0" distB="0" distL="114300" distR="114300" simplePos="0" relativeHeight="251658240" behindDoc="0" locked="0" layoutInCell="1" allowOverlap="1" wp14:anchorId="73F10108" wp14:editId="3B91A181">
            <wp:simplePos x="0" y="0"/>
            <wp:positionH relativeFrom="margin">
              <wp:posOffset>3591560</wp:posOffset>
            </wp:positionH>
            <wp:positionV relativeFrom="margin">
              <wp:posOffset>3849517</wp:posOffset>
            </wp:positionV>
            <wp:extent cx="2447925" cy="4084320"/>
            <wp:effectExtent l="0" t="0" r="3175" b="5080"/>
            <wp:wrapSquare wrapText="bothSides"/>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isch enthält.&#10;&#10;Automatisch generierte Beschreibung"/>
                    <pic:cNvPicPr/>
                  </pic:nvPicPr>
                  <pic:blipFill>
                    <a:blip r:embed="rId11"/>
                    <a:stretch>
                      <a:fillRect/>
                    </a:stretch>
                  </pic:blipFill>
                  <pic:spPr>
                    <a:xfrm>
                      <a:off x="0" y="0"/>
                      <a:ext cx="2447925" cy="4084320"/>
                    </a:xfrm>
                    <a:prstGeom prst="rect">
                      <a:avLst/>
                    </a:prstGeom>
                  </pic:spPr>
                </pic:pic>
              </a:graphicData>
            </a:graphic>
            <wp14:sizeRelH relativeFrom="margin">
              <wp14:pctWidth>0</wp14:pctWidth>
            </wp14:sizeRelH>
            <wp14:sizeRelV relativeFrom="margin">
              <wp14:pctHeight>0</wp14:pctHeight>
            </wp14:sizeRelV>
          </wp:anchor>
        </w:drawing>
      </w:r>
    </w:p>
    <w:p w14:paraId="68C34856" w14:textId="77777777" w:rsidR="00E733F5" w:rsidRPr="005E51EC" w:rsidRDefault="00E733F5" w:rsidP="00764094">
      <w:pPr>
        <w:pStyle w:val="Listenabsatz"/>
        <w:numPr>
          <w:ilvl w:val="0"/>
          <w:numId w:val="14"/>
        </w:numPr>
        <w:spacing w:after="120"/>
        <w:ind w:left="567" w:hanging="425"/>
        <w:jc w:val="both"/>
      </w:pPr>
      <w:r w:rsidRPr="005E51EC">
        <w:t>Schutzart von Gehäusen (Dichtung, Abdeckung);</w:t>
      </w:r>
    </w:p>
    <w:p w14:paraId="26BB030E" w14:textId="77777777" w:rsidR="00E733F5" w:rsidRPr="005E51EC" w:rsidRDefault="00E733F5" w:rsidP="00764094">
      <w:pPr>
        <w:pStyle w:val="Listenabsatz"/>
        <w:numPr>
          <w:ilvl w:val="0"/>
          <w:numId w:val="14"/>
        </w:numPr>
        <w:spacing w:after="120"/>
        <w:ind w:left="567" w:hanging="425"/>
        <w:jc w:val="both"/>
      </w:pPr>
      <w:r w:rsidRPr="005E51EC">
        <w:t>Luft- und Kriechstrecken;</w:t>
      </w:r>
    </w:p>
    <w:p w14:paraId="6F70F491" w14:textId="77777777" w:rsidR="00E733F5" w:rsidRPr="005E51EC" w:rsidRDefault="00E733F5" w:rsidP="00764094">
      <w:pPr>
        <w:pStyle w:val="Listenabsatz"/>
        <w:numPr>
          <w:ilvl w:val="0"/>
          <w:numId w:val="14"/>
        </w:numPr>
        <w:spacing w:after="120"/>
        <w:ind w:left="567" w:hanging="425"/>
        <w:jc w:val="both"/>
      </w:pPr>
      <w:r w:rsidRPr="005E51EC">
        <w:t>Schutz gegen elektrischen Schlag und Durchgängigkeit der Schutzleiterkreise;</w:t>
      </w:r>
    </w:p>
    <w:p w14:paraId="5B635FA0" w14:textId="77777777" w:rsidR="00E733F5" w:rsidRPr="005E51EC" w:rsidRDefault="00E733F5" w:rsidP="00764094">
      <w:pPr>
        <w:pStyle w:val="Listenabsatz"/>
        <w:numPr>
          <w:ilvl w:val="0"/>
          <w:numId w:val="14"/>
        </w:numPr>
        <w:spacing w:after="120"/>
        <w:ind w:left="567" w:hanging="425"/>
        <w:jc w:val="both"/>
      </w:pPr>
      <w:r w:rsidRPr="005E51EC">
        <w:t>Einbau von Betriebsmitteln;</w:t>
      </w:r>
    </w:p>
    <w:p w14:paraId="0E586E32" w14:textId="77777777" w:rsidR="00E733F5" w:rsidRPr="005E51EC" w:rsidRDefault="00E733F5" w:rsidP="00764094">
      <w:pPr>
        <w:pStyle w:val="Listenabsatz"/>
        <w:numPr>
          <w:ilvl w:val="0"/>
          <w:numId w:val="14"/>
        </w:numPr>
        <w:spacing w:after="120"/>
        <w:ind w:left="567" w:hanging="425"/>
        <w:jc w:val="both"/>
      </w:pPr>
      <w:r w:rsidRPr="005E51EC">
        <w:t>Innere elektrische Stromkreise und Verbindungen;</w:t>
      </w:r>
    </w:p>
    <w:p w14:paraId="71882B4F" w14:textId="77777777" w:rsidR="00E733F5" w:rsidRPr="005E51EC" w:rsidRDefault="00E733F5" w:rsidP="00764094">
      <w:pPr>
        <w:pStyle w:val="Listenabsatz"/>
        <w:numPr>
          <w:ilvl w:val="0"/>
          <w:numId w:val="14"/>
        </w:numPr>
        <w:spacing w:after="120"/>
        <w:ind w:left="567" w:hanging="425"/>
        <w:jc w:val="both"/>
      </w:pPr>
      <w:r w:rsidRPr="005E51EC">
        <w:t>Anschlüsse für von außen eingeführter Leiter;</w:t>
      </w:r>
    </w:p>
    <w:p w14:paraId="0FF269EB" w14:textId="77777777" w:rsidR="00E733F5" w:rsidRPr="005E51EC" w:rsidRDefault="00E733F5" w:rsidP="00764094">
      <w:pPr>
        <w:pStyle w:val="Listenabsatz"/>
        <w:numPr>
          <w:ilvl w:val="0"/>
          <w:numId w:val="14"/>
        </w:numPr>
        <w:spacing w:after="120"/>
        <w:ind w:left="567" w:hanging="425"/>
        <w:jc w:val="both"/>
      </w:pPr>
      <w:r w:rsidRPr="005E51EC">
        <w:t>Mechanische Funktion (Betätigungselemente, Verriegelungen);</w:t>
      </w:r>
    </w:p>
    <w:p w14:paraId="61D6055B" w14:textId="77777777" w:rsidR="00E733F5" w:rsidRPr="005E51EC" w:rsidRDefault="00E733F5" w:rsidP="00764094">
      <w:pPr>
        <w:pStyle w:val="Listenabsatz"/>
        <w:numPr>
          <w:ilvl w:val="0"/>
          <w:numId w:val="14"/>
        </w:numPr>
        <w:spacing w:after="120"/>
        <w:ind w:left="567" w:hanging="425"/>
        <w:jc w:val="both"/>
      </w:pPr>
      <w:r w:rsidRPr="005E51EC">
        <w:t>Isolationseigenschaften;</w:t>
      </w:r>
    </w:p>
    <w:p w14:paraId="6A985B9B" w14:textId="77777777" w:rsidR="00E733F5" w:rsidRPr="005E51EC" w:rsidRDefault="00E733F5" w:rsidP="00764094">
      <w:pPr>
        <w:pStyle w:val="Listenabsatz"/>
        <w:numPr>
          <w:ilvl w:val="0"/>
          <w:numId w:val="14"/>
        </w:numPr>
        <w:spacing w:after="120"/>
        <w:ind w:left="567" w:hanging="425"/>
        <w:jc w:val="both"/>
      </w:pPr>
      <w:r w:rsidRPr="005E51EC">
        <w:t>Verdrahtung, Betriebsverhalten und Funktion.</w:t>
      </w:r>
    </w:p>
    <w:p w14:paraId="462A86C2" w14:textId="77777777" w:rsidR="000223C8" w:rsidRDefault="000223C8" w:rsidP="00493FF1">
      <w:pPr>
        <w:spacing w:after="120"/>
        <w:jc w:val="both"/>
      </w:pPr>
    </w:p>
    <w:p w14:paraId="69DC3673" w14:textId="383B1C4C" w:rsidR="00E733F5" w:rsidRDefault="00E733F5" w:rsidP="00493FF1">
      <w:pPr>
        <w:spacing w:after="120"/>
        <w:jc w:val="both"/>
      </w:pPr>
      <w:r w:rsidRPr="005E51EC">
        <w:t xml:space="preserve">Es bietet sich an, zum Stücknachweis ein Protokoll in Form einer Checkliste </w:t>
      </w:r>
      <w:r w:rsidR="000223C8">
        <w:t xml:space="preserve">(beispielsweise PC_GP_16) </w:t>
      </w:r>
      <w:r w:rsidRPr="005E51EC">
        <w:t>zu erstellen.</w:t>
      </w:r>
      <w:r w:rsidR="00493FF1">
        <w:t xml:space="preserve"> </w:t>
      </w:r>
      <w:r w:rsidRPr="005E51EC">
        <w:t>Eine solche Checkliste sollte sowohl vom Monteur als auch vom Prüfer unterzeichnet sein, sodass eine Rückverfolgung möglich ist.</w:t>
      </w:r>
    </w:p>
    <w:p w14:paraId="494A305A" w14:textId="09E8E89E" w:rsidR="000223C8" w:rsidRPr="005E51EC" w:rsidRDefault="000223C8" w:rsidP="00E733F5">
      <w:pPr>
        <w:spacing w:after="120"/>
        <w:jc w:val="both"/>
      </w:pPr>
    </w:p>
    <w:p w14:paraId="4A271ED3" w14:textId="77777777" w:rsidR="000223C8" w:rsidRDefault="000223C8" w:rsidP="00764094">
      <w:pPr>
        <w:pStyle w:val="Listenabsatz"/>
        <w:numPr>
          <w:ilvl w:val="0"/>
          <w:numId w:val="8"/>
        </w:numPr>
        <w:spacing w:after="120"/>
        <w:ind w:left="567" w:hanging="567"/>
        <w:jc w:val="both"/>
        <w:rPr>
          <w:b/>
          <w:bCs/>
          <w:sz w:val="28"/>
          <w:szCs w:val="28"/>
        </w:rPr>
        <w:sectPr w:rsidR="000223C8" w:rsidSect="00927059">
          <w:headerReference w:type="default" r:id="rId12"/>
          <w:footerReference w:type="default" r:id="rId13"/>
          <w:pgSz w:w="11906" w:h="16838"/>
          <w:pgMar w:top="1702" w:right="1133" w:bottom="1134" w:left="1304" w:header="284" w:footer="277" w:gutter="0"/>
          <w:cols w:space="720"/>
          <w:docGrid w:linePitch="360"/>
        </w:sectPr>
      </w:pPr>
    </w:p>
    <w:p w14:paraId="4021C633" w14:textId="77777777" w:rsidR="00E733F5" w:rsidRPr="00E733F5" w:rsidRDefault="00E733F5" w:rsidP="00764094">
      <w:pPr>
        <w:pStyle w:val="Listenabsatz"/>
        <w:numPr>
          <w:ilvl w:val="0"/>
          <w:numId w:val="8"/>
        </w:numPr>
        <w:spacing w:after="120"/>
        <w:ind w:left="567" w:hanging="567"/>
        <w:jc w:val="both"/>
        <w:rPr>
          <w:b/>
          <w:bCs/>
          <w:sz w:val="28"/>
          <w:szCs w:val="28"/>
        </w:rPr>
      </w:pPr>
      <w:r w:rsidRPr="00E733F5">
        <w:rPr>
          <w:b/>
          <w:bCs/>
          <w:sz w:val="28"/>
          <w:szCs w:val="28"/>
        </w:rPr>
        <w:lastRenderedPageBreak/>
        <w:t>Erklärung der CE-Konformität</w:t>
      </w:r>
    </w:p>
    <w:p w14:paraId="6ABD65FF" w14:textId="13B4276B" w:rsidR="00E733F5" w:rsidRDefault="00E733F5" w:rsidP="00E733F5">
      <w:pPr>
        <w:spacing w:after="120"/>
        <w:jc w:val="both"/>
      </w:pPr>
      <w:r w:rsidRPr="005E51EC">
        <w:t>Damit elektrische bzw. elektronische Geräte in der EU verkauft werden dürfen, müssen Hersteller oder Inverkehrbringer im Rahmen der CE-Kennzeichnung und des dahinterstehenden Konformitätsbewertungsprozesses eine gültige Konformitätserklärung abgeben. Zu diesem Zweck hält sich der Hersteller, wenn möglich, an vorhandene harmonisierte Normen, welche für sein Produkt zutreffend sind.</w:t>
      </w:r>
    </w:p>
    <w:p w14:paraId="0158F716" w14:textId="77777777" w:rsidR="000223C8" w:rsidRPr="005E51EC" w:rsidRDefault="000223C8" w:rsidP="00E733F5">
      <w:pPr>
        <w:spacing w:after="120"/>
        <w:jc w:val="both"/>
      </w:pPr>
    </w:p>
    <w:p w14:paraId="7EFECECF" w14:textId="20EE9D6D" w:rsidR="00E733F5" w:rsidRDefault="00E733F5" w:rsidP="00E733F5">
      <w:pPr>
        <w:spacing w:after="120"/>
        <w:jc w:val="both"/>
      </w:pPr>
      <w:r w:rsidRPr="005E51EC">
        <w:t xml:space="preserve">Um den Elektrohandwerker dabei zu unterstützen und ihm die Sicherheit zu geben, seinen Dokumentationspflichten im Sinne der Richtlinien 2014/35/EU bzw. 2006/42/EG sowie der anzuwendenden harmonisierten Norm nachzukommen, bieten führende „Ursprungs-Hersteller von Komponenten“ praxisgerechte Hilfsmittel an. So haben große Hersteller einen Planungsleitfaden „Schaltanlagenbau“ entwickelt. </w:t>
      </w:r>
    </w:p>
    <w:p w14:paraId="6DD66176" w14:textId="77777777" w:rsidR="00E733F5" w:rsidRDefault="00E733F5" w:rsidP="00E733F5">
      <w:pPr>
        <w:spacing w:after="120"/>
        <w:jc w:val="both"/>
      </w:pPr>
    </w:p>
    <w:p w14:paraId="1050DFFA" w14:textId="77777777" w:rsidR="00E733F5" w:rsidRPr="00B752FB" w:rsidRDefault="00E733F5" w:rsidP="00764094">
      <w:pPr>
        <w:pStyle w:val="Listenabsatz"/>
        <w:numPr>
          <w:ilvl w:val="0"/>
          <w:numId w:val="8"/>
        </w:numPr>
        <w:spacing w:after="120"/>
        <w:ind w:left="567" w:hanging="567"/>
        <w:jc w:val="both"/>
        <w:rPr>
          <w:b/>
          <w:bCs/>
          <w:sz w:val="32"/>
          <w:szCs w:val="32"/>
        </w:rPr>
      </w:pPr>
      <w:r w:rsidRPr="000223C8">
        <w:rPr>
          <w:b/>
          <w:bCs/>
          <w:sz w:val="28"/>
          <w:szCs w:val="28"/>
        </w:rPr>
        <w:t>Umfassende</w:t>
      </w:r>
      <w:r w:rsidRPr="00B752FB">
        <w:rPr>
          <w:b/>
          <w:bCs/>
          <w:sz w:val="32"/>
          <w:szCs w:val="32"/>
        </w:rPr>
        <w:t xml:space="preserve"> Dokumentationspflicht </w:t>
      </w:r>
    </w:p>
    <w:p w14:paraId="09AD2834" w14:textId="77777777" w:rsidR="00E733F5" w:rsidRPr="005E51EC" w:rsidRDefault="00E733F5" w:rsidP="00E733F5">
      <w:pPr>
        <w:spacing w:after="120"/>
        <w:jc w:val="both"/>
      </w:pPr>
      <w:r w:rsidRPr="005E51EC">
        <w:t xml:space="preserve">Die aktuelle DIN EN 61439 beinhaltet zudem eine weitreichende Dokumentationspflicht. Danach hat der Hersteller der Schaltgerätekombination eine detaillierte technische Anlagendokumentation zu erstellen, die alle wichtigen Angaben und Dokumentationen enthält. </w:t>
      </w:r>
    </w:p>
    <w:p w14:paraId="52EC1713" w14:textId="77777777" w:rsidR="00E733F5" w:rsidRPr="005E51EC" w:rsidRDefault="00E733F5" w:rsidP="00E733F5">
      <w:pPr>
        <w:spacing w:after="120"/>
        <w:jc w:val="both"/>
      </w:pPr>
      <w:r w:rsidRPr="005E51EC">
        <w:t>Dazu zählen</w:t>
      </w:r>
      <w:r>
        <w:t xml:space="preserve"> u. a.</w:t>
      </w:r>
      <w:r w:rsidRPr="005E51EC">
        <w:t xml:space="preserve"> im Einzelnen:</w:t>
      </w:r>
    </w:p>
    <w:p w14:paraId="463E18FB" w14:textId="77777777" w:rsidR="00E733F5" w:rsidRPr="005E51EC" w:rsidRDefault="00E733F5" w:rsidP="00764094">
      <w:pPr>
        <w:pStyle w:val="Listenabsatz"/>
        <w:numPr>
          <w:ilvl w:val="0"/>
          <w:numId w:val="10"/>
        </w:numPr>
        <w:spacing w:after="120"/>
        <w:ind w:left="426" w:hanging="426"/>
        <w:jc w:val="both"/>
        <w:rPr>
          <w:b/>
          <w:bCs/>
        </w:rPr>
      </w:pPr>
      <w:r w:rsidRPr="005E51EC">
        <w:rPr>
          <w:b/>
          <w:bCs/>
        </w:rPr>
        <w:t>Das Typenschild</w:t>
      </w:r>
    </w:p>
    <w:p w14:paraId="5751304C" w14:textId="77777777" w:rsidR="00E733F5" w:rsidRPr="005E51EC" w:rsidRDefault="00E733F5" w:rsidP="00E733F5">
      <w:pPr>
        <w:spacing w:after="120"/>
        <w:jc w:val="both"/>
      </w:pPr>
      <w:r w:rsidRPr="005E51EC">
        <w:t>Jede Schaltgerätekombination ist nach DIN EN 61439-1 mit einem Typenschild zu versehen. Dieses ist dauerhaft im Verteiler anzubringen und umfasst mindestens folgende Angaben:</w:t>
      </w:r>
    </w:p>
    <w:p w14:paraId="60B6A8A7" w14:textId="77777777" w:rsidR="00E733F5" w:rsidRPr="005E51EC" w:rsidRDefault="00E733F5" w:rsidP="00764094">
      <w:pPr>
        <w:pStyle w:val="Listenabsatz"/>
        <w:numPr>
          <w:ilvl w:val="0"/>
          <w:numId w:val="11"/>
        </w:numPr>
        <w:spacing w:after="120"/>
        <w:ind w:left="426" w:hanging="426"/>
        <w:jc w:val="both"/>
      </w:pPr>
      <w:r w:rsidRPr="005E51EC">
        <w:t>den Namen des Herstellers der SK</w:t>
      </w:r>
    </w:p>
    <w:p w14:paraId="5A70EEBA" w14:textId="77777777" w:rsidR="00E733F5" w:rsidRPr="005E51EC" w:rsidRDefault="00E733F5" w:rsidP="00764094">
      <w:pPr>
        <w:pStyle w:val="Listenabsatz"/>
        <w:numPr>
          <w:ilvl w:val="0"/>
          <w:numId w:val="11"/>
        </w:numPr>
        <w:spacing w:after="120"/>
        <w:ind w:left="426" w:hanging="426"/>
        <w:jc w:val="both"/>
      </w:pPr>
      <w:r w:rsidRPr="005E51EC">
        <w:t>das Herstellerdatum</w:t>
      </w:r>
    </w:p>
    <w:p w14:paraId="39832A2A" w14:textId="77777777" w:rsidR="00E733F5" w:rsidRPr="005E51EC" w:rsidRDefault="00E733F5" w:rsidP="00764094">
      <w:pPr>
        <w:pStyle w:val="Listenabsatz"/>
        <w:numPr>
          <w:ilvl w:val="0"/>
          <w:numId w:val="11"/>
        </w:numPr>
        <w:spacing w:after="120"/>
        <w:ind w:left="426" w:hanging="426"/>
        <w:jc w:val="both"/>
      </w:pPr>
      <w:r w:rsidRPr="005E51EC">
        <w:t>die Typenbezeichnung bzw. eine Referenz-Nr.</w:t>
      </w:r>
    </w:p>
    <w:p w14:paraId="77F569DE" w14:textId="77777777" w:rsidR="00E733F5" w:rsidRPr="005E51EC" w:rsidRDefault="00E733F5" w:rsidP="00764094">
      <w:pPr>
        <w:pStyle w:val="Listenabsatz"/>
        <w:numPr>
          <w:ilvl w:val="0"/>
          <w:numId w:val="11"/>
        </w:numPr>
        <w:spacing w:after="120"/>
        <w:ind w:left="426" w:hanging="426"/>
        <w:jc w:val="both"/>
        <w:rPr>
          <w:rFonts w:eastAsia="Arial"/>
        </w:rPr>
      </w:pPr>
      <w:r w:rsidRPr="005E51EC">
        <w:t>die angewandte Norm EN 61439-X</w:t>
      </w:r>
      <w:r w:rsidRPr="005D1228">
        <w:t xml:space="preserve"> </w:t>
      </w:r>
      <w:r w:rsidRPr="005E51EC">
        <w:rPr>
          <w:rFonts w:eastAsia="Arial"/>
        </w:rPr>
        <w:t>(der zutreffende Teil „X“ ist anzugeben)</w:t>
      </w:r>
    </w:p>
    <w:p w14:paraId="1CEB56F9" w14:textId="77777777" w:rsidR="00E733F5" w:rsidRPr="005E51EC" w:rsidRDefault="00E733F5" w:rsidP="00E733F5">
      <w:pPr>
        <w:jc w:val="both"/>
      </w:pPr>
      <w:r w:rsidRPr="005E51EC">
        <w:t>Darüber hinaus können weitere Angaben sinnvoll sein und sind teilweise auch in den Teilen 2 - 7 der Normenreihe gefordert.</w:t>
      </w:r>
    </w:p>
    <w:p w14:paraId="0B744289" w14:textId="77777777" w:rsidR="00E733F5" w:rsidRPr="005E51EC" w:rsidRDefault="00E733F5" w:rsidP="00764094">
      <w:pPr>
        <w:pStyle w:val="Listenabsatz"/>
        <w:numPr>
          <w:ilvl w:val="0"/>
          <w:numId w:val="10"/>
        </w:numPr>
        <w:tabs>
          <w:tab w:val="left" w:pos="426"/>
        </w:tabs>
        <w:spacing w:before="120" w:after="120"/>
        <w:ind w:left="0" w:firstLine="0"/>
        <w:contextualSpacing w:val="0"/>
        <w:jc w:val="both"/>
        <w:rPr>
          <w:b/>
          <w:bCs/>
        </w:rPr>
      </w:pPr>
      <w:r w:rsidRPr="005E51EC">
        <w:rPr>
          <w:b/>
          <w:bCs/>
        </w:rPr>
        <w:t>Stromlauf- und Aufbaupläne sowie die technischen Daten der Schaltgerätekombination</w:t>
      </w:r>
    </w:p>
    <w:p w14:paraId="06293E77" w14:textId="77777777" w:rsidR="00E733F5" w:rsidRPr="005E51EC" w:rsidRDefault="00E733F5" w:rsidP="00E733F5">
      <w:pPr>
        <w:spacing w:after="120"/>
        <w:jc w:val="both"/>
      </w:pPr>
      <w:r w:rsidRPr="005E51EC">
        <w:t>Diese umfasst</w:t>
      </w:r>
      <w:r>
        <w:t xml:space="preserve"> u. a.</w:t>
      </w:r>
      <w:r w:rsidRPr="005E51EC">
        <w:t>:</w:t>
      </w:r>
    </w:p>
    <w:p w14:paraId="774E13A6" w14:textId="77777777" w:rsidR="00E733F5" w:rsidRPr="005E51EC" w:rsidRDefault="00E733F5" w:rsidP="00764094">
      <w:pPr>
        <w:pStyle w:val="Listenabsatz"/>
        <w:numPr>
          <w:ilvl w:val="0"/>
          <w:numId w:val="13"/>
        </w:numPr>
        <w:spacing w:after="120"/>
        <w:ind w:left="426"/>
        <w:jc w:val="both"/>
      </w:pPr>
      <w:r w:rsidRPr="005E51EC">
        <w:t>die allpolige Darstellung der Verschaltung von Haupt- und Steuerstromkreisen einschließlich einer normgerechten Betriebsmittelkennzeichnung (Referenzkennzeichnung) und Beschriftung,</w:t>
      </w:r>
    </w:p>
    <w:p w14:paraId="0954BEE5" w14:textId="77777777" w:rsidR="00E733F5" w:rsidRPr="005E51EC" w:rsidRDefault="00E733F5" w:rsidP="00764094">
      <w:pPr>
        <w:pStyle w:val="Listenabsatz"/>
        <w:numPr>
          <w:ilvl w:val="0"/>
          <w:numId w:val="13"/>
        </w:numPr>
        <w:spacing w:after="120"/>
        <w:ind w:left="426"/>
        <w:jc w:val="both"/>
      </w:pPr>
      <w:r w:rsidRPr="005E51EC">
        <w:t>die Darstellung des Schrankaufbaues inklusive der Platzierung der eingebauten Geräte,</w:t>
      </w:r>
    </w:p>
    <w:p w14:paraId="132C06C6" w14:textId="77777777" w:rsidR="00E733F5" w:rsidRPr="005E51EC" w:rsidRDefault="00E733F5" w:rsidP="00764094">
      <w:pPr>
        <w:pStyle w:val="Listenabsatz"/>
        <w:numPr>
          <w:ilvl w:val="0"/>
          <w:numId w:val="13"/>
        </w:numPr>
        <w:spacing w:after="120"/>
        <w:ind w:left="426"/>
        <w:jc w:val="both"/>
      </w:pPr>
      <w:r w:rsidRPr="005E51EC">
        <w:t>die Zusammenfassung der normativ geforderten technischen</w:t>
      </w:r>
      <w:r w:rsidRPr="005D1228">
        <w:t xml:space="preserve"> </w:t>
      </w:r>
      <w:r w:rsidRPr="005E51EC">
        <w:t>Daten mit Ausführung und Aussagen zu den Umgebungsbedingungen der Schaltgerätekombination.</w:t>
      </w:r>
    </w:p>
    <w:p w14:paraId="1B0C9A85" w14:textId="77777777" w:rsidR="00E733F5" w:rsidRPr="005E51EC" w:rsidRDefault="00E733F5" w:rsidP="00764094">
      <w:pPr>
        <w:pStyle w:val="Listenabsatz"/>
        <w:numPr>
          <w:ilvl w:val="0"/>
          <w:numId w:val="10"/>
        </w:numPr>
        <w:tabs>
          <w:tab w:val="left" w:pos="426"/>
        </w:tabs>
        <w:spacing w:before="240" w:after="120"/>
        <w:ind w:left="0" w:firstLine="0"/>
        <w:contextualSpacing w:val="0"/>
        <w:jc w:val="both"/>
        <w:rPr>
          <w:b/>
          <w:bCs/>
        </w:rPr>
      </w:pPr>
      <w:r w:rsidRPr="005E51EC">
        <w:rPr>
          <w:b/>
          <w:bCs/>
        </w:rPr>
        <w:t>Stückliste, Betriebsmittelblatt und Bauteileliste</w:t>
      </w:r>
    </w:p>
    <w:p w14:paraId="4D90A9D2" w14:textId="77777777" w:rsidR="00E733F5" w:rsidRPr="005E51EC" w:rsidRDefault="00E733F5" w:rsidP="00E733F5">
      <w:pPr>
        <w:spacing w:after="120"/>
        <w:jc w:val="both"/>
      </w:pPr>
      <w:r w:rsidRPr="005E51EC">
        <w:t>Diese umfassen in tabellarischer Form alle in der Schaltgerätekombination verwendeten Betriebsmittel mit Beschreibung, Artikelnummer, Hersteller und Menge.</w:t>
      </w:r>
    </w:p>
    <w:p w14:paraId="41CFBE65" w14:textId="77777777" w:rsidR="00E733F5" w:rsidRPr="005E51EC" w:rsidRDefault="00E733F5" w:rsidP="00764094">
      <w:pPr>
        <w:pStyle w:val="Listenabsatz"/>
        <w:numPr>
          <w:ilvl w:val="0"/>
          <w:numId w:val="10"/>
        </w:numPr>
        <w:tabs>
          <w:tab w:val="left" w:pos="426"/>
        </w:tabs>
        <w:spacing w:before="240" w:after="120"/>
        <w:ind w:left="0" w:firstLine="0"/>
        <w:contextualSpacing w:val="0"/>
        <w:jc w:val="both"/>
        <w:rPr>
          <w:b/>
          <w:bCs/>
        </w:rPr>
      </w:pPr>
      <w:r w:rsidRPr="005E51EC">
        <w:rPr>
          <w:b/>
          <w:bCs/>
        </w:rPr>
        <w:t>Erwärmungsnachweis</w:t>
      </w:r>
    </w:p>
    <w:p w14:paraId="59C8121D" w14:textId="77777777" w:rsidR="00E733F5" w:rsidRPr="005E51EC" w:rsidRDefault="00E733F5" w:rsidP="00E733F5">
      <w:pPr>
        <w:spacing w:after="120"/>
        <w:jc w:val="both"/>
      </w:pPr>
      <w:r w:rsidRPr="005E51EC">
        <w:t xml:space="preserve">Der Erwärmungsnachweis berücksichtigt die von den eingebauten Geräten abgegebene Verlustleistung sowie die vom Schrankgehäuse abführbare Verlustleistung </w:t>
      </w:r>
      <w:r>
        <w:t xml:space="preserve">bei der vorgegebenen </w:t>
      </w:r>
      <w:r>
        <w:lastRenderedPageBreak/>
        <w:t xml:space="preserve">Umgebungstemperatur </w:t>
      </w:r>
      <w:r w:rsidRPr="005E51EC">
        <w:t>in Abhängigkeit von der maximalen Betriebstemperatur der Einbaugeräte (siehe Datenblätter der Einbaugeräte). Mit dem Erwärmungsnachweis ist zu belegen, dass die entstehende Wärme über das Schrankgehäuse oder ggf. durch zusätzliche Lüftungsmaßnahmen nach außen abgeführt werden kann.</w:t>
      </w:r>
    </w:p>
    <w:p w14:paraId="6B6BD22D" w14:textId="77777777" w:rsidR="00E733F5" w:rsidRPr="005D1228" w:rsidRDefault="00E733F5" w:rsidP="00764094">
      <w:pPr>
        <w:pStyle w:val="Listenabsatz"/>
        <w:numPr>
          <w:ilvl w:val="0"/>
          <w:numId w:val="10"/>
        </w:numPr>
        <w:tabs>
          <w:tab w:val="left" w:pos="426"/>
        </w:tabs>
        <w:spacing w:before="240" w:after="120"/>
        <w:ind w:left="0" w:firstLine="0"/>
        <w:contextualSpacing w:val="0"/>
        <w:jc w:val="both"/>
        <w:rPr>
          <w:b/>
          <w:bCs/>
        </w:rPr>
      </w:pPr>
      <w:r w:rsidRPr="005E51EC">
        <w:rPr>
          <w:b/>
          <w:bCs/>
        </w:rPr>
        <w:t>Bauartnachweis (siehe oben)</w:t>
      </w:r>
    </w:p>
    <w:p w14:paraId="226AFAEA" w14:textId="77777777" w:rsidR="00E733F5" w:rsidRPr="005D1228" w:rsidRDefault="00E733F5" w:rsidP="00764094">
      <w:pPr>
        <w:pStyle w:val="Listenabsatz"/>
        <w:numPr>
          <w:ilvl w:val="0"/>
          <w:numId w:val="10"/>
        </w:numPr>
        <w:tabs>
          <w:tab w:val="left" w:pos="426"/>
        </w:tabs>
        <w:spacing w:before="240" w:after="120"/>
        <w:ind w:left="0" w:firstLine="0"/>
        <w:contextualSpacing w:val="0"/>
        <w:jc w:val="both"/>
        <w:rPr>
          <w:b/>
          <w:bCs/>
        </w:rPr>
      </w:pPr>
      <w:r w:rsidRPr="005E51EC">
        <w:rPr>
          <w:b/>
          <w:bCs/>
        </w:rPr>
        <w:t>Stücknachweis (siehe oben)</w:t>
      </w:r>
    </w:p>
    <w:p w14:paraId="7D28B281" w14:textId="78DE8553" w:rsidR="00E733F5" w:rsidRDefault="00E733F5" w:rsidP="00E733F5">
      <w:pPr>
        <w:spacing w:after="120"/>
        <w:jc w:val="both"/>
      </w:pPr>
      <w:r w:rsidRPr="005D1228">
        <w:t>Ergänzende Forderungen zu technischen Unterlagen ergeben sich aus der RL 2014/35/EU</w:t>
      </w:r>
      <w:r w:rsidRPr="005E51EC">
        <w:t xml:space="preserve"> (z. B. geeignete Risikoanalyse und -bewertung)</w:t>
      </w:r>
      <w:r>
        <w:t>.</w:t>
      </w:r>
    </w:p>
    <w:p w14:paraId="0BADBE83" w14:textId="77777777" w:rsidR="000223C8" w:rsidRPr="005D1228" w:rsidRDefault="000223C8" w:rsidP="00E733F5">
      <w:pPr>
        <w:spacing w:after="120"/>
        <w:jc w:val="both"/>
      </w:pPr>
    </w:p>
    <w:p w14:paraId="1D54F45A" w14:textId="77777777" w:rsidR="00E733F5" w:rsidRPr="005D1228" w:rsidRDefault="00E733F5" w:rsidP="00E733F5">
      <w:pPr>
        <w:spacing w:after="120"/>
        <w:jc w:val="both"/>
      </w:pPr>
      <w:r w:rsidRPr="005E51EC">
        <w:rPr>
          <w:b/>
          <w:bCs/>
        </w:rPr>
        <w:t>Zum Nachweis der Richtlinienkonformität ist zusätzlich eine EU(EG) Konformitätserklärung für das Produkt zu erstellen und das Produkt ist mit einem CE Kennzeichen zu versehen.</w:t>
      </w:r>
    </w:p>
    <w:p w14:paraId="5F2EF357" w14:textId="5465E7F3" w:rsidR="00E733F5" w:rsidRDefault="00E733F5" w:rsidP="00E733F5">
      <w:pPr>
        <w:spacing w:after="120"/>
        <w:jc w:val="both"/>
      </w:pPr>
    </w:p>
    <w:p w14:paraId="64802752" w14:textId="23717106" w:rsidR="00E733F5" w:rsidRPr="005E51EC" w:rsidRDefault="00E733F5" w:rsidP="00E733F5">
      <w:pPr>
        <w:tabs>
          <w:tab w:val="left" w:pos="2438"/>
        </w:tabs>
        <w:spacing w:after="120"/>
        <w:jc w:val="both"/>
      </w:pPr>
      <w:r>
        <w:tab/>
      </w:r>
    </w:p>
    <w:p w14:paraId="273A37DC" w14:textId="77777777" w:rsidR="00E733F5" w:rsidRPr="005E51EC" w:rsidRDefault="00E733F5" w:rsidP="00E733F5">
      <w:pPr>
        <w:spacing w:after="120"/>
        <w:jc w:val="both"/>
        <w:rPr>
          <w:b/>
          <w:iCs/>
          <w:sz w:val="32"/>
          <w:szCs w:val="32"/>
        </w:rPr>
      </w:pPr>
      <w:r w:rsidRPr="005E51EC">
        <w:rPr>
          <w:b/>
          <w:iCs/>
          <w:sz w:val="32"/>
          <w:szCs w:val="32"/>
        </w:rPr>
        <w:t>Fazit:</w:t>
      </w:r>
    </w:p>
    <w:p w14:paraId="6046750F" w14:textId="77777777" w:rsidR="000223C8" w:rsidRDefault="00E733F5" w:rsidP="00E733F5">
      <w:pPr>
        <w:spacing w:after="120"/>
        <w:jc w:val="both"/>
      </w:pPr>
      <w:r w:rsidRPr="005E51EC">
        <w:t xml:space="preserve">Die neue Struktur der Normenreihe gewährleistet, dass in den entsprechenden Produktteilen alle Anforderungen aufgeführt sind, um eine </w:t>
      </w:r>
      <w:r>
        <w:t>n</w:t>
      </w:r>
      <w:r w:rsidRPr="005E51EC">
        <w:t>ormenkonforme Schaltgerätekombination herzustellen.</w:t>
      </w:r>
      <w:r w:rsidR="000223C8">
        <w:t xml:space="preserve"> </w:t>
      </w:r>
    </w:p>
    <w:p w14:paraId="16587F66" w14:textId="77777777" w:rsidR="000223C8" w:rsidRDefault="000223C8" w:rsidP="00E733F5">
      <w:pPr>
        <w:spacing w:after="120"/>
        <w:jc w:val="both"/>
      </w:pPr>
    </w:p>
    <w:p w14:paraId="5E2BB699" w14:textId="77777777" w:rsidR="000223C8" w:rsidRDefault="00E733F5" w:rsidP="00E733F5">
      <w:pPr>
        <w:spacing w:after="120"/>
        <w:jc w:val="both"/>
      </w:pPr>
      <w:r w:rsidRPr="005E51EC">
        <w:t xml:space="preserve">Es wird sehr viel klarer zwischen dem ursprünglichen Hersteller (Systemhersteller) und dem Hersteller (Schaltanlagenbauer) und </w:t>
      </w:r>
      <w:r>
        <w:t>ihrer</w:t>
      </w:r>
      <w:r w:rsidRPr="005E51EC">
        <w:t xml:space="preserve"> jeweiligen Verantwortung für das Produkt unterschieden.</w:t>
      </w:r>
    </w:p>
    <w:p w14:paraId="4B32D9E8" w14:textId="77777777" w:rsidR="000223C8" w:rsidRDefault="000223C8" w:rsidP="00E733F5">
      <w:pPr>
        <w:spacing w:after="120"/>
        <w:jc w:val="both"/>
      </w:pPr>
    </w:p>
    <w:p w14:paraId="2DCB3420" w14:textId="4E0905DD" w:rsidR="00E733F5" w:rsidRPr="005E51EC" w:rsidRDefault="00E733F5" w:rsidP="00E733F5">
      <w:pPr>
        <w:spacing w:after="120"/>
        <w:jc w:val="both"/>
      </w:pPr>
      <w:r w:rsidRPr="005E51EC">
        <w:t>Sie klärt die Anforderungen an die elektrische Sicherheit einer Schaltgerätekombination und der zu erstellenden technischen Dokumentation, damit die formulierten Sicherheitsziele der RL</w:t>
      </w:r>
      <w:r>
        <w:t> </w:t>
      </w:r>
      <w:r w:rsidRPr="005E51EC">
        <w:t>2014/35/EU erreicht werden.</w:t>
      </w:r>
    </w:p>
    <w:p w14:paraId="12461A13" w14:textId="1A99BBA3" w:rsidR="008D036D" w:rsidRDefault="008D036D" w:rsidP="004D74DA">
      <w:r>
        <w:br w:type="page"/>
      </w:r>
    </w:p>
    <w:tbl>
      <w:tblPr>
        <w:tblW w:w="9618"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1"/>
        <w:gridCol w:w="2970"/>
        <w:gridCol w:w="3667"/>
      </w:tblGrid>
      <w:tr w:rsidR="008D036D" w:rsidRPr="00290C41" w14:paraId="3FF2AC2E" w14:textId="77777777" w:rsidTr="001509DB">
        <w:trPr>
          <w:trHeight w:hRule="exact" w:val="765"/>
        </w:trPr>
        <w:tc>
          <w:tcPr>
            <w:tcW w:w="2981" w:type="dxa"/>
            <w:tcBorders>
              <w:top w:val="single" w:sz="12" w:space="0" w:color="auto"/>
              <w:bottom w:val="single" w:sz="12" w:space="0" w:color="auto"/>
            </w:tcBorders>
            <w:vAlign w:val="center"/>
          </w:tcPr>
          <w:p w14:paraId="65DE14A7" w14:textId="77777777" w:rsidR="008D036D" w:rsidRPr="00290C41" w:rsidRDefault="008D036D" w:rsidP="001509DB">
            <w:pPr>
              <w:ind w:right="-1"/>
              <w:jc w:val="both"/>
              <w:rPr>
                <w:b/>
                <w:color w:val="000000" w:themeColor="text1"/>
              </w:rPr>
            </w:pPr>
            <w:r w:rsidRPr="00290C41">
              <w:rPr>
                <w:b/>
                <w:color w:val="000000" w:themeColor="text1"/>
              </w:rPr>
              <w:lastRenderedPageBreak/>
              <w:t>Teilnehmer</w:t>
            </w:r>
          </w:p>
        </w:tc>
        <w:tc>
          <w:tcPr>
            <w:tcW w:w="2970" w:type="dxa"/>
            <w:tcBorders>
              <w:top w:val="single" w:sz="12" w:space="0" w:color="auto"/>
              <w:bottom w:val="single" w:sz="12" w:space="0" w:color="auto"/>
            </w:tcBorders>
            <w:vAlign w:val="center"/>
          </w:tcPr>
          <w:p w14:paraId="13CB45EE" w14:textId="77777777" w:rsidR="008D036D" w:rsidRPr="00290C41" w:rsidRDefault="008D036D" w:rsidP="001509DB">
            <w:pPr>
              <w:ind w:right="-1"/>
              <w:jc w:val="both"/>
              <w:rPr>
                <w:b/>
                <w:color w:val="000000" w:themeColor="text1"/>
              </w:rPr>
            </w:pPr>
            <w:r w:rsidRPr="00290C41">
              <w:rPr>
                <w:b/>
                <w:color w:val="000000" w:themeColor="text1"/>
              </w:rPr>
              <w:t>Bereich / Abt.</w:t>
            </w:r>
          </w:p>
        </w:tc>
        <w:tc>
          <w:tcPr>
            <w:tcW w:w="3667" w:type="dxa"/>
            <w:tcBorders>
              <w:top w:val="single" w:sz="12" w:space="0" w:color="auto"/>
              <w:bottom w:val="single" w:sz="12" w:space="0" w:color="auto"/>
            </w:tcBorders>
            <w:vAlign w:val="center"/>
          </w:tcPr>
          <w:p w14:paraId="78466737" w14:textId="77777777" w:rsidR="008D036D" w:rsidRPr="00290C41" w:rsidRDefault="008D036D" w:rsidP="001509DB">
            <w:pPr>
              <w:ind w:right="-1"/>
              <w:jc w:val="both"/>
              <w:rPr>
                <w:b/>
                <w:color w:val="000000" w:themeColor="text1"/>
              </w:rPr>
            </w:pPr>
            <w:r w:rsidRPr="00290C41">
              <w:rPr>
                <w:b/>
                <w:color w:val="000000" w:themeColor="text1"/>
              </w:rPr>
              <w:t xml:space="preserve">Unterschrift </w:t>
            </w:r>
            <w:r w:rsidRPr="00290C41">
              <w:rPr>
                <w:color w:val="000000" w:themeColor="text1"/>
              </w:rPr>
              <w:t>*)</w:t>
            </w:r>
          </w:p>
        </w:tc>
      </w:tr>
      <w:tr w:rsidR="008D036D" w:rsidRPr="00290C41" w14:paraId="08CE6526" w14:textId="77777777" w:rsidTr="001509DB">
        <w:trPr>
          <w:trHeight w:val="572"/>
        </w:trPr>
        <w:tc>
          <w:tcPr>
            <w:tcW w:w="2981" w:type="dxa"/>
            <w:tcBorders>
              <w:top w:val="single" w:sz="12" w:space="0" w:color="auto"/>
            </w:tcBorders>
            <w:vAlign w:val="center"/>
          </w:tcPr>
          <w:p w14:paraId="5BC43CA6" w14:textId="77777777" w:rsidR="008D036D" w:rsidRPr="00290C41" w:rsidRDefault="008D036D" w:rsidP="001509DB">
            <w:pPr>
              <w:ind w:right="-1"/>
              <w:jc w:val="both"/>
              <w:rPr>
                <w:color w:val="000000" w:themeColor="text1"/>
              </w:rPr>
            </w:pPr>
          </w:p>
        </w:tc>
        <w:tc>
          <w:tcPr>
            <w:tcW w:w="2970" w:type="dxa"/>
            <w:tcBorders>
              <w:top w:val="single" w:sz="12" w:space="0" w:color="auto"/>
            </w:tcBorders>
            <w:vAlign w:val="center"/>
          </w:tcPr>
          <w:p w14:paraId="12578147" w14:textId="77777777" w:rsidR="008D036D" w:rsidRPr="00290C41" w:rsidRDefault="008D036D" w:rsidP="001509DB">
            <w:pPr>
              <w:ind w:right="-1"/>
              <w:jc w:val="both"/>
              <w:rPr>
                <w:color w:val="000000" w:themeColor="text1"/>
              </w:rPr>
            </w:pPr>
          </w:p>
        </w:tc>
        <w:tc>
          <w:tcPr>
            <w:tcW w:w="3667" w:type="dxa"/>
            <w:tcBorders>
              <w:top w:val="single" w:sz="12" w:space="0" w:color="auto"/>
            </w:tcBorders>
            <w:vAlign w:val="center"/>
          </w:tcPr>
          <w:p w14:paraId="42073385" w14:textId="77777777" w:rsidR="008D036D" w:rsidRPr="00290C41" w:rsidRDefault="008D036D" w:rsidP="001509DB">
            <w:pPr>
              <w:ind w:right="-1"/>
              <w:jc w:val="both"/>
              <w:rPr>
                <w:color w:val="000000" w:themeColor="text1"/>
              </w:rPr>
            </w:pPr>
          </w:p>
          <w:p w14:paraId="29504E09" w14:textId="77777777" w:rsidR="008D036D" w:rsidRPr="00290C41" w:rsidRDefault="008D036D" w:rsidP="001509DB">
            <w:pPr>
              <w:ind w:right="-1"/>
              <w:jc w:val="both"/>
              <w:rPr>
                <w:color w:val="000000" w:themeColor="text1"/>
              </w:rPr>
            </w:pPr>
          </w:p>
        </w:tc>
      </w:tr>
      <w:tr w:rsidR="008D036D" w:rsidRPr="00290C41" w14:paraId="2CD26ABB" w14:textId="77777777" w:rsidTr="001509DB">
        <w:trPr>
          <w:trHeight w:val="572"/>
        </w:trPr>
        <w:tc>
          <w:tcPr>
            <w:tcW w:w="2981" w:type="dxa"/>
            <w:vAlign w:val="center"/>
          </w:tcPr>
          <w:p w14:paraId="710B06EB" w14:textId="77777777" w:rsidR="008D036D" w:rsidRPr="00290C41" w:rsidRDefault="008D036D" w:rsidP="001509DB">
            <w:pPr>
              <w:ind w:right="-1"/>
              <w:jc w:val="both"/>
              <w:rPr>
                <w:color w:val="000000" w:themeColor="text1"/>
              </w:rPr>
            </w:pPr>
          </w:p>
        </w:tc>
        <w:tc>
          <w:tcPr>
            <w:tcW w:w="2970" w:type="dxa"/>
            <w:vAlign w:val="center"/>
          </w:tcPr>
          <w:p w14:paraId="4F155457" w14:textId="77777777" w:rsidR="008D036D" w:rsidRPr="00290C41" w:rsidRDefault="008D036D" w:rsidP="001509DB">
            <w:pPr>
              <w:ind w:right="-1"/>
              <w:jc w:val="both"/>
              <w:rPr>
                <w:color w:val="000000" w:themeColor="text1"/>
              </w:rPr>
            </w:pPr>
          </w:p>
        </w:tc>
        <w:tc>
          <w:tcPr>
            <w:tcW w:w="3667" w:type="dxa"/>
            <w:vAlign w:val="center"/>
          </w:tcPr>
          <w:p w14:paraId="005167E6" w14:textId="77777777" w:rsidR="008D036D" w:rsidRPr="00290C41" w:rsidRDefault="008D036D" w:rsidP="001509DB">
            <w:pPr>
              <w:ind w:right="-1"/>
              <w:jc w:val="both"/>
              <w:rPr>
                <w:color w:val="000000" w:themeColor="text1"/>
              </w:rPr>
            </w:pPr>
          </w:p>
          <w:p w14:paraId="4E0B914F" w14:textId="77777777" w:rsidR="008D036D" w:rsidRPr="00290C41" w:rsidRDefault="008D036D" w:rsidP="001509DB">
            <w:pPr>
              <w:ind w:right="-1"/>
              <w:jc w:val="both"/>
              <w:rPr>
                <w:color w:val="000000" w:themeColor="text1"/>
              </w:rPr>
            </w:pPr>
          </w:p>
        </w:tc>
      </w:tr>
      <w:tr w:rsidR="008D036D" w:rsidRPr="00290C41" w14:paraId="35896C25" w14:textId="77777777" w:rsidTr="001509DB">
        <w:trPr>
          <w:trHeight w:val="557"/>
        </w:trPr>
        <w:tc>
          <w:tcPr>
            <w:tcW w:w="2981" w:type="dxa"/>
            <w:vAlign w:val="center"/>
          </w:tcPr>
          <w:p w14:paraId="1F55406F" w14:textId="77777777" w:rsidR="008D036D" w:rsidRPr="00290C41" w:rsidRDefault="008D036D" w:rsidP="001509DB">
            <w:pPr>
              <w:ind w:right="-1"/>
              <w:jc w:val="both"/>
              <w:rPr>
                <w:color w:val="000000" w:themeColor="text1"/>
              </w:rPr>
            </w:pPr>
          </w:p>
        </w:tc>
        <w:tc>
          <w:tcPr>
            <w:tcW w:w="2970" w:type="dxa"/>
            <w:vAlign w:val="center"/>
          </w:tcPr>
          <w:p w14:paraId="24959427" w14:textId="77777777" w:rsidR="008D036D" w:rsidRPr="00290C41" w:rsidRDefault="008D036D" w:rsidP="001509DB">
            <w:pPr>
              <w:ind w:right="-1"/>
              <w:jc w:val="both"/>
              <w:rPr>
                <w:color w:val="000000" w:themeColor="text1"/>
              </w:rPr>
            </w:pPr>
          </w:p>
        </w:tc>
        <w:tc>
          <w:tcPr>
            <w:tcW w:w="3667" w:type="dxa"/>
            <w:vAlign w:val="center"/>
          </w:tcPr>
          <w:p w14:paraId="19616DFE" w14:textId="77777777" w:rsidR="008D036D" w:rsidRPr="00290C41" w:rsidRDefault="008D036D" w:rsidP="001509DB">
            <w:pPr>
              <w:ind w:right="-1"/>
              <w:jc w:val="both"/>
              <w:rPr>
                <w:color w:val="000000" w:themeColor="text1"/>
              </w:rPr>
            </w:pPr>
          </w:p>
          <w:p w14:paraId="49C56A3C" w14:textId="77777777" w:rsidR="008D036D" w:rsidRPr="00290C41" w:rsidRDefault="008D036D" w:rsidP="001509DB">
            <w:pPr>
              <w:ind w:right="-1"/>
              <w:jc w:val="both"/>
              <w:rPr>
                <w:color w:val="000000" w:themeColor="text1"/>
              </w:rPr>
            </w:pPr>
          </w:p>
        </w:tc>
      </w:tr>
      <w:tr w:rsidR="008D036D" w:rsidRPr="00290C41" w14:paraId="75CC32CB" w14:textId="77777777" w:rsidTr="001509DB">
        <w:trPr>
          <w:trHeight w:val="557"/>
        </w:trPr>
        <w:tc>
          <w:tcPr>
            <w:tcW w:w="2981" w:type="dxa"/>
            <w:vAlign w:val="center"/>
          </w:tcPr>
          <w:p w14:paraId="740693F1" w14:textId="77777777" w:rsidR="008D036D" w:rsidRPr="00290C41" w:rsidRDefault="008D036D" w:rsidP="001509DB">
            <w:pPr>
              <w:ind w:right="-1"/>
              <w:jc w:val="both"/>
              <w:rPr>
                <w:color w:val="000000" w:themeColor="text1"/>
              </w:rPr>
            </w:pPr>
          </w:p>
        </w:tc>
        <w:tc>
          <w:tcPr>
            <w:tcW w:w="2970" w:type="dxa"/>
            <w:vAlign w:val="center"/>
          </w:tcPr>
          <w:p w14:paraId="3B666FD9" w14:textId="77777777" w:rsidR="008D036D" w:rsidRPr="00290C41" w:rsidRDefault="008D036D" w:rsidP="001509DB">
            <w:pPr>
              <w:ind w:right="-1"/>
              <w:jc w:val="both"/>
              <w:rPr>
                <w:color w:val="000000" w:themeColor="text1"/>
              </w:rPr>
            </w:pPr>
          </w:p>
        </w:tc>
        <w:tc>
          <w:tcPr>
            <w:tcW w:w="3667" w:type="dxa"/>
            <w:vAlign w:val="center"/>
          </w:tcPr>
          <w:p w14:paraId="63DDB5DD" w14:textId="77777777" w:rsidR="008D036D" w:rsidRPr="00290C41" w:rsidRDefault="008D036D" w:rsidP="001509DB">
            <w:pPr>
              <w:ind w:right="-1"/>
              <w:jc w:val="both"/>
              <w:rPr>
                <w:color w:val="000000" w:themeColor="text1"/>
              </w:rPr>
            </w:pPr>
          </w:p>
          <w:p w14:paraId="4B96DDEA" w14:textId="77777777" w:rsidR="008D036D" w:rsidRPr="00290C41" w:rsidRDefault="008D036D" w:rsidP="001509DB">
            <w:pPr>
              <w:ind w:right="-1"/>
              <w:jc w:val="both"/>
              <w:rPr>
                <w:color w:val="000000" w:themeColor="text1"/>
              </w:rPr>
            </w:pPr>
          </w:p>
        </w:tc>
      </w:tr>
      <w:tr w:rsidR="008D036D" w:rsidRPr="00290C41" w14:paraId="426767F3" w14:textId="77777777" w:rsidTr="001509DB">
        <w:trPr>
          <w:trHeight w:val="572"/>
        </w:trPr>
        <w:tc>
          <w:tcPr>
            <w:tcW w:w="2981" w:type="dxa"/>
            <w:vAlign w:val="center"/>
          </w:tcPr>
          <w:p w14:paraId="35C59F51" w14:textId="77777777" w:rsidR="008D036D" w:rsidRPr="00290C41" w:rsidRDefault="008D036D" w:rsidP="001509DB">
            <w:pPr>
              <w:ind w:right="-1"/>
              <w:jc w:val="both"/>
              <w:rPr>
                <w:color w:val="000000" w:themeColor="text1"/>
              </w:rPr>
            </w:pPr>
          </w:p>
        </w:tc>
        <w:tc>
          <w:tcPr>
            <w:tcW w:w="2970" w:type="dxa"/>
            <w:vAlign w:val="center"/>
          </w:tcPr>
          <w:p w14:paraId="797DACC8" w14:textId="77777777" w:rsidR="008D036D" w:rsidRPr="00290C41" w:rsidRDefault="008D036D" w:rsidP="001509DB">
            <w:pPr>
              <w:ind w:right="-1"/>
              <w:jc w:val="both"/>
              <w:rPr>
                <w:color w:val="000000" w:themeColor="text1"/>
              </w:rPr>
            </w:pPr>
          </w:p>
        </w:tc>
        <w:tc>
          <w:tcPr>
            <w:tcW w:w="3667" w:type="dxa"/>
            <w:vAlign w:val="center"/>
          </w:tcPr>
          <w:p w14:paraId="655A63FF" w14:textId="77777777" w:rsidR="008D036D" w:rsidRPr="00290C41" w:rsidRDefault="008D036D" w:rsidP="001509DB">
            <w:pPr>
              <w:ind w:right="-1"/>
              <w:jc w:val="both"/>
              <w:rPr>
                <w:color w:val="000000" w:themeColor="text1"/>
              </w:rPr>
            </w:pPr>
          </w:p>
          <w:p w14:paraId="57BB2AD7" w14:textId="77777777" w:rsidR="008D036D" w:rsidRPr="00290C41" w:rsidRDefault="008D036D" w:rsidP="001509DB">
            <w:pPr>
              <w:ind w:right="-1"/>
              <w:jc w:val="both"/>
              <w:rPr>
                <w:color w:val="000000" w:themeColor="text1"/>
              </w:rPr>
            </w:pPr>
          </w:p>
        </w:tc>
      </w:tr>
      <w:tr w:rsidR="008D036D" w:rsidRPr="00290C41" w14:paraId="3BCE2C10" w14:textId="77777777" w:rsidTr="001509DB">
        <w:trPr>
          <w:trHeight w:val="557"/>
        </w:trPr>
        <w:tc>
          <w:tcPr>
            <w:tcW w:w="2981" w:type="dxa"/>
            <w:vAlign w:val="center"/>
          </w:tcPr>
          <w:p w14:paraId="140BBA0F" w14:textId="77777777" w:rsidR="008D036D" w:rsidRPr="00290C41" w:rsidRDefault="008D036D" w:rsidP="001509DB">
            <w:pPr>
              <w:ind w:right="-1"/>
              <w:jc w:val="both"/>
              <w:rPr>
                <w:color w:val="000000" w:themeColor="text1"/>
              </w:rPr>
            </w:pPr>
          </w:p>
        </w:tc>
        <w:tc>
          <w:tcPr>
            <w:tcW w:w="2970" w:type="dxa"/>
            <w:vAlign w:val="center"/>
          </w:tcPr>
          <w:p w14:paraId="20ED90B1" w14:textId="77777777" w:rsidR="008D036D" w:rsidRPr="00290C41" w:rsidRDefault="008D036D" w:rsidP="001509DB">
            <w:pPr>
              <w:ind w:right="-1"/>
              <w:jc w:val="both"/>
              <w:rPr>
                <w:color w:val="000000" w:themeColor="text1"/>
              </w:rPr>
            </w:pPr>
          </w:p>
        </w:tc>
        <w:tc>
          <w:tcPr>
            <w:tcW w:w="3667" w:type="dxa"/>
            <w:vAlign w:val="center"/>
          </w:tcPr>
          <w:p w14:paraId="54D49577" w14:textId="77777777" w:rsidR="008D036D" w:rsidRPr="00290C41" w:rsidRDefault="008D036D" w:rsidP="001509DB">
            <w:pPr>
              <w:ind w:right="-1"/>
              <w:jc w:val="both"/>
              <w:rPr>
                <w:color w:val="000000" w:themeColor="text1"/>
              </w:rPr>
            </w:pPr>
          </w:p>
          <w:p w14:paraId="7A76D4C9" w14:textId="77777777" w:rsidR="008D036D" w:rsidRPr="00290C41" w:rsidRDefault="008D036D" w:rsidP="001509DB">
            <w:pPr>
              <w:ind w:right="-1"/>
              <w:jc w:val="both"/>
              <w:rPr>
                <w:color w:val="000000" w:themeColor="text1"/>
              </w:rPr>
            </w:pPr>
          </w:p>
        </w:tc>
      </w:tr>
      <w:tr w:rsidR="008D036D" w:rsidRPr="00290C41" w14:paraId="6C921B1A" w14:textId="77777777" w:rsidTr="001509DB">
        <w:trPr>
          <w:trHeight w:val="572"/>
        </w:trPr>
        <w:tc>
          <w:tcPr>
            <w:tcW w:w="2981" w:type="dxa"/>
            <w:vAlign w:val="center"/>
          </w:tcPr>
          <w:p w14:paraId="6F7D4431" w14:textId="77777777" w:rsidR="008D036D" w:rsidRPr="00290C41" w:rsidRDefault="008D036D" w:rsidP="001509DB">
            <w:pPr>
              <w:ind w:right="-1"/>
              <w:jc w:val="both"/>
              <w:rPr>
                <w:color w:val="000000" w:themeColor="text1"/>
              </w:rPr>
            </w:pPr>
          </w:p>
        </w:tc>
        <w:tc>
          <w:tcPr>
            <w:tcW w:w="2970" w:type="dxa"/>
            <w:vAlign w:val="center"/>
          </w:tcPr>
          <w:p w14:paraId="33ADF899" w14:textId="77777777" w:rsidR="008D036D" w:rsidRPr="00290C41" w:rsidRDefault="008D036D" w:rsidP="001509DB">
            <w:pPr>
              <w:ind w:right="-1"/>
              <w:jc w:val="both"/>
              <w:rPr>
                <w:color w:val="000000" w:themeColor="text1"/>
              </w:rPr>
            </w:pPr>
          </w:p>
        </w:tc>
        <w:tc>
          <w:tcPr>
            <w:tcW w:w="3667" w:type="dxa"/>
            <w:vAlign w:val="center"/>
          </w:tcPr>
          <w:p w14:paraId="3426D588" w14:textId="77777777" w:rsidR="008D036D" w:rsidRPr="00290C41" w:rsidRDefault="008D036D" w:rsidP="001509DB">
            <w:pPr>
              <w:ind w:right="-1"/>
              <w:jc w:val="both"/>
              <w:rPr>
                <w:color w:val="000000" w:themeColor="text1"/>
              </w:rPr>
            </w:pPr>
          </w:p>
          <w:p w14:paraId="50DA94FA" w14:textId="77777777" w:rsidR="008D036D" w:rsidRPr="00290C41" w:rsidRDefault="008D036D" w:rsidP="001509DB">
            <w:pPr>
              <w:ind w:right="-1"/>
              <w:jc w:val="both"/>
              <w:rPr>
                <w:color w:val="000000" w:themeColor="text1"/>
              </w:rPr>
            </w:pPr>
          </w:p>
        </w:tc>
      </w:tr>
      <w:tr w:rsidR="008D036D" w:rsidRPr="00290C41" w14:paraId="6DFDAB6A" w14:textId="77777777" w:rsidTr="001509DB">
        <w:trPr>
          <w:trHeight w:val="557"/>
        </w:trPr>
        <w:tc>
          <w:tcPr>
            <w:tcW w:w="2981" w:type="dxa"/>
            <w:vAlign w:val="center"/>
          </w:tcPr>
          <w:p w14:paraId="3C269DF2" w14:textId="77777777" w:rsidR="008D036D" w:rsidRPr="00290C41" w:rsidRDefault="008D036D" w:rsidP="001509DB">
            <w:pPr>
              <w:ind w:right="-1"/>
              <w:jc w:val="both"/>
              <w:rPr>
                <w:color w:val="000000" w:themeColor="text1"/>
              </w:rPr>
            </w:pPr>
          </w:p>
        </w:tc>
        <w:tc>
          <w:tcPr>
            <w:tcW w:w="2970" w:type="dxa"/>
            <w:vAlign w:val="center"/>
          </w:tcPr>
          <w:p w14:paraId="30861D2A" w14:textId="77777777" w:rsidR="008D036D" w:rsidRPr="00290C41" w:rsidRDefault="008D036D" w:rsidP="001509DB">
            <w:pPr>
              <w:ind w:right="-1"/>
              <w:jc w:val="both"/>
              <w:rPr>
                <w:color w:val="000000" w:themeColor="text1"/>
              </w:rPr>
            </w:pPr>
          </w:p>
        </w:tc>
        <w:tc>
          <w:tcPr>
            <w:tcW w:w="3667" w:type="dxa"/>
            <w:vAlign w:val="center"/>
          </w:tcPr>
          <w:p w14:paraId="24199C57" w14:textId="77777777" w:rsidR="008D036D" w:rsidRPr="00290C41" w:rsidRDefault="008D036D" w:rsidP="001509DB">
            <w:pPr>
              <w:ind w:right="-1"/>
              <w:jc w:val="both"/>
              <w:rPr>
                <w:color w:val="000000" w:themeColor="text1"/>
              </w:rPr>
            </w:pPr>
          </w:p>
          <w:p w14:paraId="058F8568" w14:textId="77777777" w:rsidR="008D036D" w:rsidRPr="00290C41" w:rsidRDefault="008D036D" w:rsidP="001509DB">
            <w:pPr>
              <w:ind w:right="-1"/>
              <w:jc w:val="both"/>
              <w:rPr>
                <w:color w:val="000000" w:themeColor="text1"/>
              </w:rPr>
            </w:pPr>
          </w:p>
        </w:tc>
      </w:tr>
      <w:tr w:rsidR="008D036D" w:rsidRPr="00290C41" w14:paraId="501425A0" w14:textId="77777777" w:rsidTr="001509DB">
        <w:trPr>
          <w:trHeight w:val="572"/>
        </w:trPr>
        <w:tc>
          <w:tcPr>
            <w:tcW w:w="2981" w:type="dxa"/>
            <w:vAlign w:val="center"/>
          </w:tcPr>
          <w:p w14:paraId="37A5EA09" w14:textId="77777777" w:rsidR="008D036D" w:rsidRPr="00290C41" w:rsidRDefault="008D036D" w:rsidP="001509DB">
            <w:pPr>
              <w:ind w:right="-1"/>
              <w:jc w:val="both"/>
              <w:rPr>
                <w:color w:val="000000" w:themeColor="text1"/>
              </w:rPr>
            </w:pPr>
          </w:p>
        </w:tc>
        <w:tc>
          <w:tcPr>
            <w:tcW w:w="2970" w:type="dxa"/>
            <w:vAlign w:val="center"/>
          </w:tcPr>
          <w:p w14:paraId="73101DBA" w14:textId="77777777" w:rsidR="008D036D" w:rsidRPr="00290C41" w:rsidRDefault="008D036D" w:rsidP="001509DB">
            <w:pPr>
              <w:ind w:right="-1"/>
              <w:jc w:val="both"/>
              <w:rPr>
                <w:color w:val="000000" w:themeColor="text1"/>
              </w:rPr>
            </w:pPr>
          </w:p>
        </w:tc>
        <w:tc>
          <w:tcPr>
            <w:tcW w:w="3667" w:type="dxa"/>
            <w:vAlign w:val="center"/>
          </w:tcPr>
          <w:p w14:paraId="4C516D31" w14:textId="77777777" w:rsidR="008D036D" w:rsidRPr="00290C41" w:rsidRDefault="008D036D" w:rsidP="001509DB">
            <w:pPr>
              <w:ind w:right="-1"/>
              <w:jc w:val="both"/>
              <w:rPr>
                <w:color w:val="000000" w:themeColor="text1"/>
              </w:rPr>
            </w:pPr>
          </w:p>
          <w:p w14:paraId="6AD6DE1E" w14:textId="77777777" w:rsidR="008D036D" w:rsidRPr="00290C41" w:rsidRDefault="008D036D" w:rsidP="001509DB">
            <w:pPr>
              <w:ind w:right="-1"/>
              <w:jc w:val="both"/>
              <w:rPr>
                <w:color w:val="000000" w:themeColor="text1"/>
              </w:rPr>
            </w:pPr>
          </w:p>
        </w:tc>
      </w:tr>
      <w:tr w:rsidR="008D036D" w:rsidRPr="00290C41" w14:paraId="24FAE929" w14:textId="77777777" w:rsidTr="001509DB">
        <w:trPr>
          <w:trHeight w:val="557"/>
        </w:trPr>
        <w:tc>
          <w:tcPr>
            <w:tcW w:w="2981" w:type="dxa"/>
            <w:vAlign w:val="center"/>
          </w:tcPr>
          <w:p w14:paraId="2FF4475D" w14:textId="77777777" w:rsidR="008D036D" w:rsidRPr="00290C41" w:rsidRDefault="008D036D" w:rsidP="001509DB">
            <w:pPr>
              <w:ind w:right="-1"/>
              <w:jc w:val="both"/>
              <w:rPr>
                <w:color w:val="000000" w:themeColor="text1"/>
              </w:rPr>
            </w:pPr>
          </w:p>
        </w:tc>
        <w:tc>
          <w:tcPr>
            <w:tcW w:w="2970" w:type="dxa"/>
            <w:vAlign w:val="center"/>
          </w:tcPr>
          <w:p w14:paraId="49628543" w14:textId="77777777" w:rsidR="008D036D" w:rsidRPr="00290C41" w:rsidRDefault="008D036D" w:rsidP="001509DB">
            <w:pPr>
              <w:ind w:right="-1"/>
              <w:jc w:val="both"/>
              <w:rPr>
                <w:color w:val="000000" w:themeColor="text1"/>
              </w:rPr>
            </w:pPr>
          </w:p>
        </w:tc>
        <w:tc>
          <w:tcPr>
            <w:tcW w:w="3667" w:type="dxa"/>
            <w:vAlign w:val="center"/>
          </w:tcPr>
          <w:p w14:paraId="639F4A4F" w14:textId="77777777" w:rsidR="008D036D" w:rsidRPr="00290C41" w:rsidRDefault="008D036D" w:rsidP="001509DB">
            <w:pPr>
              <w:ind w:right="-1"/>
              <w:jc w:val="both"/>
              <w:rPr>
                <w:color w:val="000000" w:themeColor="text1"/>
              </w:rPr>
            </w:pPr>
          </w:p>
          <w:p w14:paraId="70F292E9" w14:textId="77777777" w:rsidR="008D036D" w:rsidRPr="00290C41" w:rsidRDefault="008D036D" w:rsidP="001509DB">
            <w:pPr>
              <w:ind w:right="-1"/>
              <w:jc w:val="both"/>
              <w:rPr>
                <w:color w:val="000000" w:themeColor="text1"/>
              </w:rPr>
            </w:pPr>
          </w:p>
        </w:tc>
      </w:tr>
      <w:tr w:rsidR="008D036D" w:rsidRPr="00290C41" w14:paraId="524E0FDD" w14:textId="77777777" w:rsidTr="001509DB">
        <w:trPr>
          <w:trHeight w:val="572"/>
        </w:trPr>
        <w:tc>
          <w:tcPr>
            <w:tcW w:w="2981" w:type="dxa"/>
            <w:tcBorders>
              <w:bottom w:val="single" w:sz="12" w:space="0" w:color="auto"/>
            </w:tcBorders>
            <w:vAlign w:val="center"/>
          </w:tcPr>
          <w:p w14:paraId="48CF8EC1" w14:textId="77777777" w:rsidR="008D036D" w:rsidRPr="00290C41" w:rsidRDefault="008D036D" w:rsidP="001509DB">
            <w:pPr>
              <w:ind w:right="-1"/>
              <w:jc w:val="both"/>
              <w:rPr>
                <w:color w:val="000000" w:themeColor="text1"/>
              </w:rPr>
            </w:pPr>
          </w:p>
        </w:tc>
        <w:tc>
          <w:tcPr>
            <w:tcW w:w="2970" w:type="dxa"/>
            <w:tcBorders>
              <w:bottom w:val="single" w:sz="12" w:space="0" w:color="auto"/>
            </w:tcBorders>
            <w:vAlign w:val="center"/>
          </w:tcPr>
          <w:p w14:paraId="5DA4592E" w14:textId="77777777" w:rsidR="008D036D" w:rsidRPr="00290C41" w:rsidRDefault="008D036D" w:rsidP="001509DB">
            <w:pPr>
              <w:ind w:right="-1"/>
              <w:jc w:val="both"/>
              <w:rPr>
                <w:color w:val="000000" w:themeColor="text1"/>
              </w:rPr>
            </w:pPr>
          </w:p>
        </w:tc>
        <w:tc>
          <w:tcPr>
            <w:tcW w:w="3667" w:type="dxa"/>
            <w:tcBorders>
              <w:bottom w:val="single" w:sz="12" w:space="0" w:color="auto"/>
            </w:tcBorders>
            <w:vAlign w:val="center"/>
          </w:tcPr>
          <w:p w14:paraId="04FE161A" w14:textId="77777777" w:rsidR="008D036D" w:rsidRPr="00290C41" w:rsidRDefault="008D036D" w:rsidP="001509DB">
            <w:pPr>
              <w:ind w:right="-1"/>
              <w:jc w:val="both"/>
              <w:rPr>
                <w:color w:val="000000" w:themeColor="text1"/>
              </w:rPr>
            </w:pPr>
          </w:p>
          <w:p w14:paraId="22A29580" w14:textId="77777777" w:rsidR="008D036D" w:rsidRPr="00290C41" w:rsidRDefault="008D036D" w:rsidP="001509DB">
            <w:pPr>
              <w:ind w:right="-1"/>
              <w:jc w:val="both"/>
              <w:rPr>
                <w:color w:val="000000" w:themeColor="text1"/>
              </w:rPr>
            </w:pPr>
          </w:p>
        </w:tc>
      </w:tr>
    </w:tbl>
    <w:p w14:paraId="17C36C40" w14:textId="77777777" w:rsidR="008D036D" w:rsidRPr="00290C41" w:rsidRDefault="008D036D" w:rsidP="008D036D">
      <w:pPr>
        <w:ind w:right="-1"/>
        <w:jc w:val="both"/>
        <w:rPr>
          <w:color w:val="000000" w:themeColor="text1"/>
        </w:rPr>
      </w:pPr>
    </w:p>
    <w:p w14:paraId="3F1C9A5B" w14:textId="77777777" w:rsidR="008D036D" w:rsidRPr="00290C41" w:rsidRDefault="008D036D" w:rsidP="008D036D">
      <w:pPr>
        <w:ind w:right="-1"/>
        <w:jc w:val="both"/>
        <w:rPr>
          <w:color w:val="000000" w:themeColor="text1"/>
        </w:rPr>
      </w:pPr>
      <w:r w:rsidRPr="00290C41">
        <w:rPr>
          <w:color w:val="000000" w:themeColor="text1"/>
        </w:rPr>
        <w:t xml:space="preserve">*) Mit seiner Unterschrift bestätigt der/die Teilnehmer/in, dass der Inhalt der Schulung verstanden wurde. </w:t>
      </w:r>
    </w:p>
    <w:p w14:paraId="475A7D5C" w14:textId="77777777" w:rsidR="008D036D" w:rsidRPr="00290C41" w:rsidRDefault="008D036D" w:rsidP="008D036D">
      <w:pPr>
        <w:ind w:right="-1"/>
        <w:jc w:val="both"/>
        <w:rPr>
          <w:color w:val="000000" w:themeColor="text1"/>
        </w:rPr>
      </w:pPr>
    </w:p>
    <w:p w14:paraId="75880644" w14:textId="77777777" w:rsidR="008D036D" w:rsidRPr="00290C41" w:rsidRDefault="008D036D" w:rsidP="008D036D">
      <w:pPr>
        <w:ind w:right="-1"/>
        <w:jc w:val="both"/>
        <w:rPr>
          <w:color w:val="000000" w:themeColor="text1"/>
        </w:rPr>
      </w:pPr>
      <w:r w:rsidRPr="00290C41">
        <w:rPr>
          <w:b/>
          <w:color w:val="000000" w:themeColor="text1"/>
        </w:rPr>
        <w:t xml:space="preserve">Ablauf: </w:t>
      </w:r>
      <w:r w:rsidRPr="00290C41">
        <w:rPr>
          <w:color w:val="000000" w:themeColor="text1"/>
        </w:rPr>
        <w:t>Die Elektrokurzschulungen sind für die verantwortlichen Elektrofachkräfte (VEFK) gedacht, um diese in Ihrer Schulungs- und Unterweisungsarbeit zu unterstützten. Die Kurzschulungen können von der VEFK selbst oder von entsprechend befähigten Beschäftigten durchgeführt werden. Es ist darauf zu achten, dass nicht nur die eigenen Elektro-Mitarbeiter, sondern auch die Leiharbeiter geschult werden.</w:t>
      </w:r>
    </w:p>
    <w:p w14:paraId="16C02F2A" w14:textId="77777777" w:rsidR="001E1F91" w:rsidRPr="004D74DA" w:rsidRDefault="001E1F91" w:rsidP="004D74DA"/>
    <w:sectPr w:rsidR="001E1F91" w:rsidRPr="004D74DA" w:rsidSect="00927059">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9F1D" w14:textId="77777777" w:rsidR="00764094" w:rsidRDefault="00764094" w:rsidP="00826AF7">
      <w:r>
        <w:separator/>
      </w:r>
    </w:p>
    <w:p w14:paraId="508D155E" w14:textId="77777777" w:rsidR="00764094" w:rsidRDefault="00764094" w:rsidP="00826AF7"/>
    <w:p w14:paraId="4F799E53" w14:textId="77777777" w:rsidR="00764094" w:rsidRDefault="00764094" w:rsidP="00826AF7"/>
  </w:endnote>
  <w:endnote w:type="continuationSeparator" w:id="0">
    <w:p w14:paraId="470ACD0E" w14:textId="77777777" w:rsidR="00764094" w:rsidRDefault="00764094" w:rsidP="00826AF7">
      <w:r>
        <w:continuationSeparator/>
      </w:r>
    </w:p>
    <w:p w14:paraId="04697CA3" w14:textId="77777777" w:rsidR="00764094" w:rsidRDefault="00764094" w:rsidP="00826AF7"/>
    <w:p w14:paraId="5DDF37EE" w14:textId="77777777" w:rsidR="00764094" w:rsidRDefault="00764094"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84"/>
      <w:gridCol w:w="1134"/>
      <w:gridCol w:w="1024"/>
      <w:gridCol w:w="1114"/>
      <w:gridCol w:w="1114"/>
      <w:gridCol w:w="1114"/>
    </w:tblGrid>
    <w:tr w:rsidR="000F4359" w:rsidRPr="004C1C05" w14:paraId="59E54423" w14:textId="77777777" w:rsidTr="00B00520">
      <w:trPr>
        <w:trHeight w:val="240"/>
      </w:trPr>
      <w:tc>
        <w:tcPr>
          <w:tcW w:w="1814" w:type="dxa"/>
          <w:vAlign w:val="center"/>
        </w:tcPr>
        <w:p w14:paraId="56395ACF" w14:textId="77777777" w:rsidR="000F4359" w:rsidRPr="004C1C05" w:rsidRDefault="000F4359" w:rsidP="000F4359">
          <w:pPr>
            <w:pStyle w:val="Fuzeile"/>
            <w:spacing w:after="0"/>
            <w:ind w:right="-83"/>
            <w:rPr>
              <w:sz w:val="16"/>
              <w:szCs w:val="16"/>
            </w:rPr>
          </w:pPr>
          <w:r w:rsidRPr="004C1C05">
            <w:rPr>
              <w:sz w:val="16"/>
              <w:szCs w:val="16"/>
            </w:rPr>
            <w:t>Ausgabe/Revision:</w:t>
          </w:r>
        </w:p>
      </w:tc>
      <w:tc>
        <w:tcPr>
          <w:tcW w:w="1113" w:type="dxa"/>
          <w:vAlign w:val="center"/>
        </w:tcPr>
        <w:p w14:paraId="715DA38B" w14:textId="6B9BDA82" w:rsidR="000F4359" w:rsidRPr="004C1C05" w:rsidRDefault="00E733F5" w:rsidP="000F4359">
          <w:pPr>
            <w:pStyle w:val="Fuzeile"/>
            <w:spacing w:after="0"/>
            <w:ind w:right="-83"/>
            <w:rPr>
              <w:sz w:val="16"/>
              <w:szCs w:val="16"/>
            </w:rPr>
          </w:pPr>
          <w:r>
            <w:rPr>
              <w:sz w:val="16"/>
              <w:szCs w:val="16"/>
            </w:rPr>
            <w:t>1</w:t>
          </w:r>
        </w:p>
      </w:tc>
      <w:tc>
        <w:tcPr>
          <w:tcW w:w="1184" w:type="dxa"/>
          <w:vAlign w:val="center"/>
        </w:tcPr>
        <w:p w14:paraId="3057FE5D" w14:textId="0367F3B2" w:rsidR="000F4359" w:rsidRPr="004C1C05" w:rsidRDefault="000F4359" w:rsidP="000F4359">
          <w:pPr>
            <w:pStyle w:val="Fuzeile"/>
            <w:spacing w:after="0"/>
            <w:ind w:right="-83"/>
            <w:rPr>
              <w:sz w:val="16"/>
              <w:szCs w:val="16"/>
            </w:rPr>
          </w:pPr>
        </w:p>
      </w:tc>
      <w:tc>
        <w:tcPr>
          <w:tcW w:w="1134" w:type="dxa"/>
          <w:vAlign w:val="center"/>
        </w:tcPr>
        <w:p w14:paraId="3AC5FACB" w14:textId="40E3EF81" w:rsidR="000F4359" w:rsidRPr="004C1C05" w:rsidRDefault="000F4359" w:rsidP="000F4359">
          <w:pPr>
            <w:pStyle w:val="Fuzeile"/>
            <w:spacing w:after="0"/>
            <w:ind w:right="-83"/>
            <w:rPr>
              <w:sz w:val="16"/>
              <w:szCs w:val="16"/>
            </w:rPr>
          </w:pPr>
        </w:p>
      </w:tc>
      <w:tc>
        <w:tcPr>
          <w:tcW w:w="1024" w:type="dxa"/>
          <w:vAlign w:val="center"/>
        </w:tcPr>
        <w:p w14:paraId="583322C0" w14:textId="77777777" w:rsidR="000F4359" w:rsidRPr="004C1C05" w:rsidRDefault="000F4359" w:rsidP="000F4359">
          <w:pPr>
            <w:pStyle w:val="Fuzeile"/>
            <w:spacing w:after="0"/>
            <w:ind w:right="-83"/>
            <w:rPr>
              <w:sz w:val="16"/>
              <w:szCs w:val="16"/>
            </w:rPr>
          </w:pPr>
        </w:p>
      </w:tc>
      <w:tc>
        <w:tcPr>
          <w:tcW w:w="1114" w:type="dxa"/>
          <w:vAlign w:val="center"/>
        </w:tcPr>
        <w:p w14:paraId="3CC8F3E5" w14:textId="77777777" w:rsidR="000F4359" w:rsidRPr="004C1C05" w:rsidRDefault="000F4359" w:rsidP="000F4359">
          <w:pPr>
            <w:pStyle w:val="Fuzeile"/>
            <w:spacing w:after="0"/>
            <w:ind w:right="-83"/>
            <w:rPr>
              <w:sz w:val="16"/>
              <w:szCs w:val="16"/>
            </w:rPr>
          </w:pPr>
        </w:p>
      </w:tc>
      <w:tc>
        <w:tcPr>
          <w:tcW w:w="1114" w:type="dxa"/>
          <w:vAlign w:val="center"/>
        </w:tcPr>
        <w:p w14:paraId="0441715C" w14:textId="77777777" w:rsidR="000F4359" w:rsidRPr="004C1C05" w:rsidRDefault="000F4359" w:rsidP="000F4359">
          <w:pPr>
            <w:pStyle w:val="Fuzeile"/>
            <w:spacing w:after="0"/>
            <w:ind w:right="-83"/>
            <w:rPr>
              <w:sz w:val="16"/>
              <w:szCs w:val="16"/>
            </w:rPr>
          </w:pPr>
          <w:r w:rsidRPr="004C1C05">
            <w:rPr>
              <w:sz w:val="16"/>
              <w:szCs w:val="16"/>
            </w:rPr>
            <w:t>Seite:</w:t>
          </w:r>
        </w:p>
      </w:tc>
      <w:tc>
        <w:tcPr>
          <w:tcW w:w="1114" w:type="dxa"/>
          <w:vAlign w:val="center"/>
        </w:tcPr>
        <w:p w14:paraId="5DA68FBE" w14:textId="77777777" w:rsidR="000F4359" w:rsidRPr="004C1C05" w:rsidRDefault="000F4359" w:rsidP="000F4359">
          <w:pPr>
            <w:pStyle w:val="Fuzeile"/>
            <w:spacing w:after="0"/>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sidR="00F97810">
            <w:rPr>
              <w:noProof/>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sidR="00F97810">
            <w:rPr>
              <w:noProof/>
              <w:sz w:val="16"/>
              <w:szCs w:val="16"/>
            </w:rPr>
            <w:t>1</w:t>
          </w:r>
          <w:r w:rsidRPr="004C1C05">
            <w:rPr>
              <w:sz w:val="16"/>
              <w:szCs w:val="16"/>
            </w:rPr>
            <w:fldChar w:fldCharType="end"/>
          </w:r>
        </w:p>
      </w:tc>
    </w:tr>
    <w:tr w:rsidR="000F4359" w:rsidRPr="004C1C05" w14:paraId="170C4AA8" w14:textId="77777777" w:rsidTr="00B00520">
      <w:tc>
        <w:tcPr>
          <w:tcW w:w="1814" w:type="dxa"/>
          <w:vAlign w:val="center"/>
        </w:tcPr>
        <w:p w14:paraId="4B73E3EE" w14:textId="77777777" w:rsidR="000F4359" w:rsidRPr="004C1C05" w:rsidRDefault="000F4359" w:rsidP="000F4359">
          <w:pPr>
            <w:pStyle w:val="Fuzeile"/>
            <w:spacing w:after="0"/>
            <w:ind w:right="-83"/>
            <w:rPr>
              <w:sz w:val="16"/>
              <w:szCs w:val="16"/>
            </w:rPr>
          </w:pPr>
          <w:r w:rsidRPr="004C1C05">
            <w:rPr>
              <w:sz w:val="16"/>
              <w:szCs w:val="16"/>
            </w:rPr>
            <w:t>Datum:</w:t>
          </w:r>
        </w:p>
      </w:tc>
      <w:tc>
        <w:tcPr>
          <w:tcW w:w="1113" w:type="dxa"/>
          <w:vAlign w:val="center"/>
        </w:tcPr>
        <w:p w14:paraId="37FC0CE9" w14:textId="4CEF476D" w:rsidR="000F4359" w:rsidRPr="004C1C05" w:rsidRDefault="008D036D" w:rsidP="000F4359">
          <w:pPr>
            <w:pStyle w:val="Fuzeile"/>
            <w:spacing w:after="0"/>
            <w:ind w:right="-83"/>
            <w:rPr>
              <w:sz w:val="16"/>
              <w:szCs w:val="16"/>
            </w:rPr>
          </w:pPr>
          <w:r>
            <w:rPr>
              <w:sz w:val="16"/>
              <w:szCs w:val="16"/>
            </w:rPr>
            <w:t>01.</w:t>
          </w:r>
          <w:r w:rsidR="00E733F5">
            <w:rPr>
              <w:sz w:val="16"/>
              <w:szCs w:val="16"/>
            </w:rPr>
            <w:t>0</w:t>
          </w:r>
          <w:r>
            <w:rPr>
              <w:sz w:val="16"/>
              <w:szCs w:val="16"/>
            </w:rPr>
            <w:t>7</w:t>
          </w:r>
          <w:r w:rsidR="00E733F5">
            <w:rPr>
              <w:sz w:val="16"/>
              <w:szCs w:val="16"/>
            </w:rPr>
            <w:t>.2022</w:t>
          </w:r>
        </w:p>
      </w:tc>
      <w:tc>
        <w:tcPr>
          <w:tcW w:w="1184" w:type="dxa"/>
          <w:vAlign w:val="center"/>
        </w:tcPr>
        <w:p w14:paraId="5B880C40" w14:textId="17274E34" w:rsidR="000F4359" w:rsidRPr="004C1C05" w:rsidRDefault="000F4359" w:rsidP="000F4359">
          <w:pPr>
            <w:pStyle w:val="Fuzeile"/>
            <w:spacing w:after="0"/>
            <w:ind w:right="-83"/>
            <w:rPr>
              <w:sz w:val="16"/>
              <w:szCs w:val="16"/>
            </w:rPr>
          </w:pPr>
        </w:p>
      </w:tc>
      <w:tc>
        <w:tcPr>
          <w:tcW w:w="1134" w:type="dxa"/>
          <w:vAlign w:val="center"/>
        </w:tcPr>
        <w:p w14:paraId="0D4AE9A4" w14:textId="079C6DA7" w:rsidR="000F4359" w:rsidRPr="004C1C05" w:rsidRDefault="000F4359" w:rsidP="000F4359">
          <w:pPr>
            <w:pStyle w:val="Fuzeile"/>
            <w:spacing w:after="0"/>
            <w:ind w:right="-83"/>
            <w:rPr>
              <w:sz w:val="16"/>
              <w:szCs w:val="16"/>
            </w:rPr>
          </w:pPr>
        </w:p>
      </w:tc>
      <w:tc>
        <w:tcPr>
          <w:tcW w:w="1024" w:type="dxa"/>
          <w:vAlign w:val="center"/>
        </w:tcPr>
        <w:p w14:paraId="0DF1EBC2" w14:textId="77777777" w:rsidR="000F4359" w:rsidRPr="004C1C05" w:rsidRDefault="000F4359" w:rsidP="000F4359">
          <w:pPr>
            <w:pStyle w:val="Fuzeile"/>
            <w:spacing w:after="0"/>
            <w:ind w:right="-83"/>
            <w:rPr>
              <w:sz w:val="16"/>
              <w:szCs w:val="16"/>
            </w:rPr>
          </w:pPr>
        </w:p>
      </w:tc>
      <w:tc>
        <w:tcPr>
          <w:tcW w:w="1114" w:type="dxa"/>
          <w:vAlign w:val="center"/>
        </w:tcPr>
        <w:p w14:paraId="14EE2747" w14:textId="77777777" w:rsidR="000F4359" w:rsidRPr="004C1C05" w:rsidRDefault="000F4359" w:rsidP="000F4359">
          <w:pPr>
            <w:pStyle w:val="Fuzeile"/>
            <w:spacing w:after="0"/>
            <w:ind w:right="-83"/>
            <w:rPr>
              <w:sz w:val="16"/>
              <w:szCs w:val="16"/>
            </w:rPr>
          </w:pPr>
        </w:p>
      </w:tc>
      <w:tc>
        <w:tcPr>
          <w:tcW w:w="1114" w:type="dxa"/>
          <w:vAlign w:val="center"/>
        </w:tcPr>
        <w:p w14:paraId="0F65924F" w14:textId="77777777" w:rsidR="000F4359" w:rsidRPr="004C1C05" w:rsidRDefault="000F4359" w:rsidP="000F4359">
          <w:pPr>
            <w:pStyle w:val="Fuzeile"/>
            <w:spacing w:after="0"/>
            <w:ind w:right="-83"/>
            <w:rPr>
              <w:sz w:val="16"/>
              <w:szCs w:val="16"/>
            </w:rPr>
          </w:pPr>
          <w:r w:rsidRPr="004C1C05">
            <w:rPr>
              <w:sz w:val="16"/>
              <w:szCs w:val="16"/>
            </w:rPr>
            <w:t>Gültig ab:</w:t>
          </w:r>
        </w:p>
      </w:tc>
      <w:tc>
        <w:tcPr>
          <w:tcW w:w="1114" w:type="dxa"/>
          <w:vAlign w:val="center"/>
        </w:tcPr>
        <w:p w14:paraId="46AA8710" w14:textId="77777777" w:rsidR="000F4359" w:rsidRPr="004C1C05" w:rsidRDefault="000F4359" w:rsidP="000F4359">
          <w:pPr>
            <w:pStyle w:val="Fuzeile"/>
            <w:spacing w:after="0"/>
            <w:ind w:right="-83"/>
            <w:rPr>
              <w:sz w:val="16"/>
              <w:szCs w:val="16"/>
            </w:rPr>
          </w:pPr>
        </w:p>
      </w:tc>
    </w:tr>
    <w:tr w:rsidR="000F4359" w:rsidRPr="004C1C05" w14:paraId="1CDEF039" w14:textId="77777777" w:rsidTr="00B00520">
      <w:tc>
        <w:tcPr>
          <w:tcW w:w="1814" w:type="dxa"/>
          <w:vAlign w:val="center"/>
        </w:tcPr>
        <w:p w14:paraId="4D98BA57" w14:textId="77777777" w:rsidR="000F4359" w:rsidRPr="004C1C05" w:rsidRDefault="000F4359" w:rsidP="000F4359">
          <w:pPr>
            <w:pStyle w:val="Fuzeile"/>
            <w:spacing w:after="0"/>
            <w:ind w:right="-83"/>
            <w:rPr>
              <w:sz w:val="16"/>
              <w:szCs w:val="16"/>
            </w:rPr>
          </w:pPr>
          <w:r w:rsidRPr="004C1C05">
            <w:rPr>
              <w:sz w:val="16"/>
              <w:szCs w:val="16"/>
            </w:rPr>
            <w:t>Erstellt/geändert:</w:t>
          </w:r>
        </w:p>
      </w:tc>
      <w:tc>
        <w:tcPr>
          <w:tcW w:w="1113" w:type="dxa"/>
          <w:vAlign w:val="center"/>
        </w:tcPr>
        <w:p w14:paraId="773174FE" w14:textId="71D0383C" w:rsidR="000F4359" w:rsidRPr="004C1C05" w:rsidRDefault="00E733F5" w:rsidP="000F4359">
          <w:pPr>
            <w:pStyle w:val="Fuzeile"/>
            <w:spacing w:after="0"/>
            <w:ind w:right="-83"/>
            <w:rPr>
              <w:sz w:val="16"/>
              <w:szCs w:val="16"/>
            </w:rPr>
          </w:pPr>
          <w:proofErr w:type="spellStart"/>
          <w:r>
            <w:rPr>
              <w:sz w:val="16"/>
              <w:szCs w:val="16"/>
            </w:rPr>
            <w:t>R.O.E.GmbH</w:t>
          </w:r>
          <w:proofErr w:type="spellEnd"/>
        </w:p>
      </w:tc>
      <w:tc>
        <w:tcPr>
          <w:tcW w:w="1184" w:type="dxa"/>
          <w:vAlign w:val="center"/>
        </w:tcPr>
        <w:p w14:paraId="3F6228DD" w14:textId="6CB915F0" w:rsidR="000F4359" w:rsidRPr="004C1C05" w:rsidRDefault="000F4359" w:rsidP="000F4359">
          <w:pPr>
            <w:pStyle w:val="Fuzeile"/>
            <w:spacing w:after="0"/>
            <w:ind w:right="-83"/>
            <w:rPr>
              <w:sz w:val="16"/>
              <w:szCs w:val="16"/>
            </w:rPr>
          </w:pPr>
        </w:p>
      </w:tc>
      <w:tc>
        <w:tcPr>
          <w:tcW w:w="1134" w:type="dxa"/>
          <w:vAlign w:val="center"/>
        </w:tcPr>
        <w:p w14:paraId="33C6720A" w14:textId="5F8AD924" w:rsidR="000F4359" w:rsidRPr="004C1C05" w:rsidRDefault="000F4359" w:rsidP="000F4359">
          <w:pPr>
            <w:pStyle w:val="Fuzeile"/>
            <w:spacing w:after="0"/>
            <w:ind w:right="-83"/>
            <w:rPr>
              <w:sz w:val="16"/>
              <w:szCs w:val="16"/>
            </w:rPr>
          </w:pPr>
        </w:p>
      </w:tc>
      <w:tc>
        <w:tcPr>
          <w:tcW w:w="1024" w:type="dxa"/>
          <w:vAlign w:val="center"/>
        </w:tcPr>
        <w:p w14:paraId="5F11B59C" w14:textId="77777777" w:rsidR="000F4359" w:rsidRPr="004C1C05" w:rsidRDefault="000F4359" w:rsidP="000F4359">
          <w:pPr>
            <w:pStyle w:val="Fuzeile"/>
            <w:spacing w:after="0"/>
            <w:ind w:right="-83"/>
            <w:rPr>
              <w:sz w:val="16"/>
              <w:szCs w:val="16"/>
            </w:rPr>
          </w:pPr>
        </w:p>
      </w:tc>
      <w:tc>
        <w:tcPr>
          <w:tcW w:w="1114" w:type="dxa"/>
          <w:vAlign w:val="center"/>
        </w:tcPr>
        <w:p w14:paraId="4571028E"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4C1C05" w:rsidRDefault="000F4359" w:rsidP="000F4359">
          <w:pPr>
            <w:pStyle w:val="Fuzeile"/>
            <w:spacing w:after="0"/>
            <w:ind w:right="-83"/>
            <w:rPr>
              <w:sz w:val="16"/>
              <w:szCs w:val="16"/>
            </w:rPr>
          </w:pPr>
        </w:p>
      </w:tc>
      <w:tc>
        <w:tcPr>
          <w:tcW w:w="1114" w:type="dxa"/>
          <w:vAlign w:val="center"/>
        </w:tcPr>
        <w:p w14:paraId="78D19F73" w14:textId="77777777" w:rsidR="000F4359" w:rsidRPr="004C1C05" w:rsidRDefault="000F4359" w:rsidP="000F4359">
          <w:pPr>
            <w:pStyle w:val="Fuzeile"/>
            <w:spacing w:after="0"/>
            <w:ind w:right="-83"/>
            <w:rPr>
              <w:sz w:val="16"/>
              <w:szCs w:val="16"/>
            </w:rPr>
          </w:pPr>
        </w:p>
      </w:tc>
    </w:tr>
    <w:tr w:rsidR="000F4359" w:rsidRPr="004C1C05" w14:paraId="237051E6" w14:textId="77777777" w:rsidTr="00B00520">
      <w:tc>
        <w:tcPr>
          <w:tcW w:w="1814" w:type="dxa"/>
          <w:vAlign w:val="center"/>
        </w:tcPr>
        <w:p w14:paraId="2FB26E7C" w14:textId="77777777" w:rsidR="000F4359" w:rsidRPr="004C1C05" w:rsidRDefault="000F4359" w:rsidP="000F4359">
          <w:pPr>
            <w:pStyle w:val="Fuzeile"/>
            <w:spacing w:after="0"/>
            <w:ind w:right="-83"/>
            <w:rPr>
              <w:sz w:val="16"/>
              <w:szCs w:val="16"/>
            </w:rPr>
          </w:pPr>
          <w:r w:rsidRPr="004C1C05">
            <w:rPr>
              <w:sz w:val="16"/>
              <w:szCs w:val="16"/>
            </w:rPr>
            <w:t>Genehmigt:</w:t>
          </w:r>
        </w:p>
      </w:tc>
      <w:tc>
        <w:tcPr>
          <w:tcW w:w="1113" w:type="dxa"/>
          <w:vAlign w:val="center"/>
        </w:tcPr>
        <w:p w14:paraId="6B45523A" w14:textId="77777777" w:rsidR="000F4359" w:rsidRPr="004C1C05" w:rsidRDefault="000F4359" w:rsidP="000F4359">
          <w:pPr>
            <w:pStyle w:val="Fuzeile"/>
            <w:spacing w:after="0"/>
            <w:ind w:right="-83"/>
            <w:rPr>
              <w:sz w:val="16"/>
              <w:szCs w:val="16"/>
            </w:rPr>
          </w:pPr>
        </w:p>
      </w:tc>
      <w:tc>
        <w:tcPr>
          <w:tcW w:w="1184" w:type="dxa"/>
          <w:vAlign w:val="center"/>
        </w:tcPr>
        <w:p w14:paraId="5D706A56" w14:textId="77777777" w:rsidR="000F4359" w:rsidRPr="004C1C05" w:rsidRDefault="000F4359" w:rsidP="000F4359">
          <w:pPr>
            <w:pStyle w:val="Fuzeile"/>
            <w:spacing w:after="0"/>
            <w:ind w:right="-83"/>
            <w:rPr>
              <w:sz w:val="16"/>
              <w:szCs w:val="16"/>
            </w:rPr>
          </w:pPr>
        </w:p>
      </w:tc>
      <w:tc>
        <w:tcPr>
          <w:tcW w:w="1134" w:type="dxa"/>
          <w:vAlign w:val="center"/>
        </w:tcPr>
        <w:p w14:paraId="3CAC5B68" w14:textId="77777777" w:rsidR="000F4359" w:rsidRPr="004C1C05" w:rsidRDefault="000F4359" w:rsidP="000F4359">
          <w:pPr>
            <w:pStyle w:val="Fuzeile"/>
            <w:spacing w:after="0"/>
            <w:ind w:right="-83"/>
            <w:rPr>
              <w:sz w:val="16"/>
              <w:szCs w:val="16"/>
            </w:rPr>
          </w:pPr>
        </w:p>
      </w:tc>
      <w:tc>
        <w:tcPr>
          <w:tcW w:w="1024" w:type="dxa"/>
          <w:vAlign w:val="center"/>
        </w:tcPr>
        <w:p w14:paraId="3B3B696B" w14:textId="77777777" w:rsidR="000F4359" w:rsidRPr="004C1C05" w:rsidRDefault="000F4359" w:rsidP="000F4359">
          <w:pPr>
            <w:pStyle w:val="Fuzeile"/>
            <w:spacing w:after="0"/>
            <w:ind w:right="-83"/>
            <w:rPr>
              <w:sz w:val="16"/>
              <w:szCs w:val="16"/>
            </w:rPr>
          </w:pPr>
        </w:p>
      </w:tc>
      <w:tc>
        <w:tcPr>
          <w:tcW w:w="1114" w:type="dxa"/>
          <w:vAlign w:val="center"/>
        </w:tcPr>
        <w:p w14:paraId="7147F008"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4C1C05" w:rsidRDefault="000F4359" w:rsidP="000F4359">
          <w:pPr>
            <w:pStyle w:val="Fuzeile"/>
            <w:spacing w:after="0"/>
            <w:ind w:right="-83"/>
            <w:rPr>
              <w:sz w:val="16"/>
              <w:szCs w:val="16"/>
            </w:rPr>
          </w:pPr>
        </w:p>
      </w:tc>
      <w:tc>
        <w:tcPr>
          <w:tcW w:w="1114" w:type="dxa"/>
          <w:vAlign w:val="center"/>
        </w:tcPr>
        <w:p w14:paraId="24F34379" w14:textId="77777777" w:rsidR="000F4359" w:rsidRPr="004C1C05" w:rsidRDefault="000F4359" w:rsidP="000F4359">
          <w:pPr>
            <w:pStyle w:val="Fuzeile"/>
            <w:spacing w:after="0"/>
            <w:ind w:right="-83"/>
            <w:rPr>
              <w:sz w:val="16"/>
              <w:szCs w:val="16"/>
            </w:rPr>
          </w:pPr>
        </w:p>
      </w:tc>
    </w:tr>
  </w:tbl>
  <w:p w14:paraId="2702AF56" w14:textId="77777777" w:rsidR="00330719" w:rsidRPr="004C1C05" w:rsidRDefault="000F4359" w:rsidP="004D74DA">
    <w:pPr>
      <w:spacing w:before="60"/>
    </w:pPr>
    <w:r w:rsidRPr="004C1C05">
      <w:rPr>
        <w:b/>
        <w:sz w:val="16"/>
      </w:rPr>
      <w:t xml:space="preserve">© Copyright </w:t>
    </w:r>
    <w:r w:rsidR="004679BF" w:rsidRPr="004C1C05">
      <w:rPr>
        <w:b/>
        <w:sz w:val="16"/>
      </w:rPr>
      <w:t>R.O.E. Online GmbH</w:t>
    </w:r>
    <w:r w:rsidRPr="004C1C05">
      <w:rPr>
        <w:b/>
        <w:sz w:val="16"/>
      </w:rPr>
      <w:t>, keine unerlaubte Vervielfältigung</w:t>
    </w:r>
    <w:r w:rsidR="00445BD0" w:rsidRPr="004C1C05">
      <w:rPr>
        <w:b/>
        <w:sz w:val="16"/>
      </w:rPr>
      <w:t>,</w:t>
    </w:r>
    <w:r w:rsidRPr="004C1C05">
      <w:rPr>
        <w:b/>
        <w:sz w:val="16"/>
      </w:rPr>
      <w:t xml:space="preserve"> auch </w:t>
    </w:r>
    <w:r w:rsidR="00445BD0" w:rsidRPr="004C1C05">
      <w:rPr>
        <w:b/>
        <w:sz w:val="16"/>
      </w:rPr>
      <w:t xml:space="preserve">nicht </w:t>
    </w:r>
    <w:r w:rsidR="00B8757B" w:rsidRPr="004C1C05">
      <w:rPr>
        <w:b/>
        <w:sz w:val="16"/>
      </w:rPr>
      <w:t>a</w:t>
    </w:r>
    <w:r w:rsidRPr="004C1C05">
      <w:rPr>
        <w:b/>
        <w:sz w:val="16"/>
      </w:rPr>
      <w:t>uszugsweise</w:t>
    </w:r>
    <w:r w:rsidR="00445BD0" w:rsidRPr="004C1C05">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CA8E" w14:textId="77777777" w:rsidR="00764094" w:rsidRDefault="00764094" w:rsidP="00826AF7">
      <w:r>
        <w:separator/>
      </w:r>
    </w:p>
    <w:p w14:paraId="145083A7" w14:textId="77777777" w:rsidR="00764094" w:rsidRDefault="00764094" w:rsidP="00826AF7"/>
    <w:p w14:paraId="6FD75DE1" w14:textId="77777777" w:rsidR="00764094" w:rsidRDefault="00764094" w:rsidP="00826AF7"/>
  </w:footnote>
  <w:footnote w:type="continuationSeparator" w:id="0">
    <w:p w14:paraId="1B28E557" w14:textId="77777777" w:rsidR="00764094" w:rsidRDefault="00764094" w:rsidP="00826AF7">
      <w:r>
        <w:continuationSeparator/>
      </w:r>
    </w:p>
    <w:p w14:paraId="0AF2FBCC" w14:textId="77777777" w:rsidR="00764094" w:rsidRDefault="00764094" w:rsidP="00826AF7"/>
    <w:p w14:paraId="26B275A3" w14:textId="77777777" w:rsidR="00764094" w:rsidRDefault="00764094"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4D74DA">
      <w:trPr>
        <w:trHeight w:val="841"/>
      </w:trPr>
      <w:tc>
        <w:tcPr>
          <w:tcW w:w="2349" w:type="dxa"/>
          <w:vAlign w:val="center"/>
        </w:tcPr>
        <w:p w14:paraId="742C4325" w14:textId="682952DB" w:rsidR="00DB66E9" w:rsidRPr="00E21DC0" w:rsidRDefault="0050708F" w:rsidP="00C40A14">
          <w:pPr>
            <w:pStyle w:val="KeinLeerraum"/>
            <w:jc w:val="center"/>
            <w:rPr>
              <w:b/>
              <w:sz w:val="18"/>
            </w:rPr>
          </w:pPr>
          <w:r>
            <w:rPr>
              <w:noProof/>
            </w:rPr>
            <w:drawing>
              <wp:inline distT="0" distB="0" distL="0" distR="0" wp14:anchorId="0452F64F" wp14:editId="7DBFD8BC">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618D6DC9" w:rsidR="00DB66E9" w:rsidRPr="00E21DC0" w:rsidRDefault="008D036D" w:rsidP="002A63CB">
          <w:pPr>
            <w:jc w:val="center"/>
            <w:rPr>
              <w:b/>
              <w:sz w:val="36"/>
              <w:szCs w:val="36"/>
            </w:rPr>
          </w:pPr>
          <w:r w:rsidRPr="00FB77FE">
            <w:rPr>
              <w:b/>
              <w:sz w:val="36"/>
              <w:szCs w:val="36"/>
            </w:rPr>
            <w:t>Kurzunterweisung</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4D74DA">
      <w:trPr>
        <w:trHeight w:val="832"/>
      </w:trPr>
      <w:tc>
        <w:tcPr>
          <w:tcW w:w="2349" w:type="dxa"/>
          <w:vAlign w:val="center"/>
        </w:tcPr>
        <w:p w14:paraId="37896C1D" w14:textId="4DC12E87" w:rsidR="00330719" w:rsidRPr="00E21DC0" w:rsidRDefault="002303AC" w:rsidP="002A63CB">
          <w:pPr>
            <w:jc w:val="center"/>
          </w:pPr>
          <w:r w:rsidRPr="00E21DC0">
            <w:rPr>
              <w:b/>
            </w:rPr>
            <w:t>UW_</w:t>
          </w:r>
          <w:r w:rsidR="008D036D">
            <w:rPr>
              <w:b/>
            </w:rPr>
            <w:t>KU</w:t>
          </w:r>
          <w:r w:rsidRPr="00E21DC0">
            <w:rPr>
              <w:b/>
            </w:rPr>
            <w:t>_</w:t>
          </w:r>
          <w:r w:rsidR="008D036D">
            <w:rPr>
              <w:b/>
            </w:rPr>
            <w:t>25</w:t>
          </w:r>
        </w:p>
      </w:tc>
      <w:tc>
        <w:tcPr>
          <w:tcW w:w="5026" w:type="dxa"/>
          <w:vAlign w:val="center"/>
        </w:tcPr>
        <w:p w14:paraId="2E05780B" w14:textId="00E725D6" w:rsidR="00330719" w:rsidRPr="00E21DC0" w:rsidRDefault="00E733F5" w:rsidP="00732A49">
          <w:pPr>
            <w:spacing w:after="0"/>
            <w:jc w:val="center"/>
            <w:rPr>
              <w:sz w:val="28"/>
              <w:szCs w:val="28"/>
            </w:rPr>
          </w:pPr>
          <w:r>
            <w:rPr>
              <w:sz w:val="28"/>
              <w:szCs w:val="28"/>
            </w:rPr>
            <w:t>Errichten von Niederspannungs-Schaltgerätekombinationen</w:t>
          </w:r>
        </w:p>
      </w:tc>
      <w:tc>
        <w:tcPr>
          <w:tcW w:w="2236" w:type="dxa"/>
          <w:vAlign w:val="center"/>
        </w:tcPr>
        <w:p w14:paraId="22DAF9DE" w14:textId="77777777" w:rsidR="00330719" w:rsidRPr="00E21DC0" w:rsidRDefault="00330719" w:rsidP="002A63CB">
          <w:pPr>
            <w:jc w:val="center"/>
          </w:pPr>
        </w:p>
      </w:tc>
    </w:tr>
  </w:tbl>
  <w:p w14:paraId="1D17CDA2" w14:textId="34D44E39"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EC10F8B"/>
    <w:multiLevelType w:val="hybridMultilevel"/>
    <w:tmpl w:val="F2F09B5E"/>
    <w:lvl w:ilvl="0" w:tplc="E72C358E">
      <w:start w:val="1"/>
      <w:numFmt w:val="decimal"/>
      <w:lvlText w:val="%1."/>
      <w:lvlJc w:val="left"/>
      <w:pPr>
        <w:ind w:left="1068" w:hanging="360"/>
      </w:pPr>
    </w:lvl>
    <w:lvl w:ilvl="1" w:tplc="1B12DC46" w:tentative="1">
      <w:start w:val="1"/>
      <w:numFmt w:val="lowerLetter"/>
      <w:lvlText w:val="%2."/>
      <w:lvlJc w:val="left"/>
      <w:pPr>
        <w:ind w:left="1788" w:hanging="360"/>
      </w:pPr>
    </w:lvl>
    <w:lvl w:ilvl="2" w:tplc="E41EFC4A" w:tentative="1">
      <w:start w:val="1"/>
      <w:numFmt w:val="lowerRoman"/>
      <w:lvlText w:val="%3."/>
      <w:lvlJc w:val="right"/>
      <w:pPr>
        <w:ind w:left="2508" w:hanging="180"/>
      </w:pPr>
    </w:lvl>
    <w:lvl w:ilvl="3" w:tplc="39644212" w:tentative="1">
      <w:start w:val="1"/>
      <w:numFmt w:val="decimal"/>
      <w:lvlText w:val="%4."/>
      <w:lvlJc w:val="left"/>
      <w:pPr>
        <w:ind w:left="3228" w:hanging="360"/>
      </w:pPr>
    </w:lvl>
    <w:lvl w:ilvl="4" w:tplc="0C36F10E" w:tentative="1">
      <w:start w:val="1"/>
      <w:numFmt w:val="lowerLetter"/>
      <w:lvlText w:val="%5."/>
      <w:lvlJc w:val="left"/>
      <w:pPr>
        <w:ind w:left="3948" w:hanging="360"/>
      </w:pPr>
    </w:lvl>
    <w:lvl w:ilvl="5" w:tplc="6B0661CE" w:tentative="1">
      <w:start w:val="1"/>
      <w:numFmt w:val="lowerRoman"/>
      <w:lvlText w:val="%6."/>
      <w:lvlJc w:val="right"/>
      <w:pPr>
        <w:ind w:left="4668" w:hanging="180"/>
      </w:pPr>
    </w:lvl>
    <w:lvl w:ilvl="6" w:tplc="7CE01950" w:tentative="1">
      <w:start w:val="1"/>
      <w:numFmt w:val="decimal"/>
      <w:lvlText w:val="%7."/>
      <w:lvlJc w:val="left"/>
      <w:pPr>
        <w:ind w:left="5388" w:hanging="360"/>
      </w:pPr>
    </w:lvl>
    <w:lvl w:ilvl="7" w:tplc="9C480FDE" w:tentative="1">
      <w:start w:val="1"/>
      <w:numFmt w:val="lowerLetter"/>
      <w:lvlText w:val="%8."/>
      <w:lvlJc w:val="left"/>
      <w:pPr>
        <w:ind w:left="6108" w:hanging="360"/>
      </w:pPr>
    </w:lvl>
    <w:lvl w:ilvl="8" w:tplc="10B2D068" w:tentative="1">
      <w:start w:val="1"/>
      <w:numFmt w:val="lowerRoman"/>
      <w:lvlText w:val="%9."/>
      <w:lvlJc w:val="right"/>
      <w:pPr>
        <w:ind w:left="6828" w:hanging="180"/>
      </w:pPr>
    </w:lvl>
  </w:abstractNum>
  <w:abstractNum w:abstractNumId="4" w15:restartNumberingAfterBreak="0">
    <w:nsid w:val="2BFC271A"/>
    <w:multiLevelType w:val="hybridMultilevel"/>
    <w:tmpl w:val="A99A0984"/>
    <w:lvl w:ilvl="0" w:tplc="D82A712C">
      <w:start w:val="1"/>
      <w:numFmt w:val="bullet"/>
      <w:lvlText w:val=""/>
      <w:lvlJc w:val="left"/>
      <w:pPr>
        <w:ind w:left="1428" w:hanging="360"/>
      </w:pPr>
      <w:rPr>
        <w:rFonts w:ascii="Symbol" w:hAnsi="Symbol" w:hint="default"/>
      </w:rPr>
    </w:lvl>
    <w:lvl w:ilvl="1" w:tplc="013C9220" w:tentative="1">
      <w:start w:val="1"/>
      <w:numFmt w:val="bullet"/>
      <w:lvlText w:val="o"/>
      <w:lvlJc w:val="left"/>
      <w:pPr>
        <w:ind w:left="2148" w:hanging="360"/>
      </w:pPr>
      <w:rPr>
        <w:rFonts w:ascii="Courier New" w:hAnsi="Courier New" w:cs="Courier New" w:hint="default"/>
      </w:rPr>
    </w:lvl>
    <w:lvl w:ilvl="2" w:tplc="82A4304A" w:tentative="1">
      <w:start w:val="1"/>
      <w:numFmt w:val="bullet"/>
      <w:lvlText w:val=""/>
      <w:lvlJc w:val="left"/>
      <w:pPr>
        <w:ind w:left="2868" w:hanging="360"/>
      </w:pPr>
      <w:rPr>
        <w:rFonts w:ascii="Wingdings" w:hAnsi="Wingdings" w:hint="default"/>
      </w:rPr>
    </w:lvl>
    <w:lvl w:ilvl="3" w:tplc="0BF4F7D8" w:tentative="1">
      <w:start w:val="1"/>
      <w:numFmt w:val="bullet"/>
      <w:lvlText w:val=""/>
      <w:lvlJc w:val="left"/>
      <w:pPr>
        <w:ind w:left="3588" w:hanging="360"/>
      </w:pPr>
      <w:rPr>
        <w:rFonts w:ascii="Symbol" w:hAnsi="Symbol" w:hint="default"/>
      </w:rPr>
    </w:lvl>
    <w:lvl w:ilvl="4" w:tplc="9C4A4BC2" w:tentative="1">
      <w:start w:val="1"/>
      <w:numFmt w:val="bullet"/>
      <w:lvlText w:val="o"/>
      <w:lvlJc w:val="left"/>
      <w:pPr>
        <w:ind w:left="4308" w:hanging="360"/>
      </w:pPr>
      <w:rPr>
        <w:rFonts w:ascii="Courier New" w:hAnsi="Courier New" w:cs="Courier New" w:hint="default"/>
      </w:rPr>
    </w:lvl>
    <w:lvl w:ilvl="5" w:tplc="DC24EA26" w:tentative="1">
      <w:start w:val="1"/>
      <w:numFmt w:val="bullet"/>
      <w:lvlText w:val=""/>
      <w:lvlJc w:val="left"/>
      <w:pPr>
        <w:ind w:left="5028" w:hanging="360"/>
      </w:pPr>
      <w:rPr>
        <w:rFonts w:ascii="Wingdings" w:hAnsi="Wingdings" w:hint="default"/>
      </w:rPr>
    </w:lvl>
    <w:lvl w:ilvl="6" w:tplc="50900BE8" w:tentative="1">
      <w:start w:val="1"/>
      <w:numFmt w:val="bullet"/>
      <w:lvlText w:val=""/>
      <w:lvlJc w:val="left"/>
      <w:pPr>
        <w:ind w:left="5748" w:hanging="360"/>
      </w:pPr>
      <w:rPr>
        <w:rFonts w:ascii="Symbol" w:hAnsi="Symbol" w:hint="default"/>
      </w:rPr>
    </w:lvl>
    <w:lvl w:ilvl="7" w:tplc="2CE23866" w:tentative="1">
      <w:start w:val="1"/>
      <w:numFmt w:val="bullet"/>
      <w:lvlText w:val="o"/>
      <w:lvlJc w:val="left"/>
      <w:pPr>
        <w:ind w:left="6468" w:hanging="360"/>
      </w:pPr>
      <w:rPr>
        <w:rFonts w:ascii="Courier New" w:hAnsi="Courier New" w:cs="Courier New" w:hint="default"/>
      </w:rPr>
    </w:lvl>
    <w:lvl w:ilvl="8" w:tplc="1640140C" w:tentative="1">
      <w:start w:val="1"/>
      <w:numFmt w:val="bullet"/>
      <w:lvlText w:val=""/>
      <w:lvlJc w:val="left"/>
      <w:pPr>
        <w:ind w:left="7188" w:hanging="360"/>
      </w:pPr>
      <w:rPr>
        <w:rFonts w:ascii="Wingdings" w:hAnsi="Wingdings" w:hint="default"/>
      </w:rPr>
    </w:lvl>
  </w:abstractNum>
  <w:abstractNum w:abstractNumId="5"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7" w15:restartNumberingAfterBreak="0">
    <w:nsid w:val="389E54AB"/>
    <w:multiLevelType w:val="hybridMultilevel"/>
    <w:tmpl w:val="BEFC6BC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A931B00"/>
    <w:multiLevelType w:val="hybridMultilevel"/>
    <w:tmpl w:val="081213AC"/>
    <w:lvl w:ilvl="0" w:tplc="2AB26268">
      <w:start w:val="1"/>
      <w:numFmt w:val="decimal"/>
      <w:lvlText w:val="%1."/>
      <w:lvlJc w:val="left"/>
      <w:pPr>
        <w:ind w:left="1068" w:hanging="360"/>
      </w:pPr>
    </w:lvl>
    <w:lvl w:ilvl="1" w:tplc="BF84E6CC" w:tentative="1">
      <w:start w:val="1"/>
      <w:numFmt w:val="lowerLetter"/>
      <w:lvlText w:val="%2."/>
      <w:lvlJc w:val="left"/>
      <w:pPr>
        <w:ind w:left="1788" w:hanging="360"/>
      </w:pPr>
    </w:lvl>
    <w:lvl w:ilvl="2" w:tplc="AD46F35C" w:tentative="1">
      <w:start w:val="1"/>
      <w:numFmt w:val="lowerRoman"/>
      <w:lvlText w:val="%3."/>
      <w:lvlJc w:val="right"/>
      <w:pPr>
        <w:ind w:left="2508" w:hanging="180"/>
      </w:pPr>
    </w:lvl>
    <w:lvl w:ilvl="3" w:tplc="B47C82AC" w:tentative="1">
      <w:start w:val="1"/>
      <w:numFmt w:val="decimal"/>
      <w:lvlText w:val="%4."/>
      <w:lvlJc w:val="left"/>
      <w:pPr>
        <w:ind w:left="3228" w:hanging="360"/>
      </w:pPr>
    </w:lvl>
    <w:lvl w:ilvl="4" w:tplc="A7C4AF9A" w:tentative="1">
      <w:start w:val="1"/>
      <w:numFmt w:val="lowerLetter"/>
      <w:lvlText w:val="%5."/>
      <w:lvlJc w:val="left"/>
      <w:pPr>
        <w:ind w:left="3948" w:hanging="360"/>
      </w:pPr>
    </w:lvl>
    <w:lvl w:ilvl="5" w:tplc="3C2CCF4C" w:tentative="1">
      <w:start w:val="1"/>
      <w:numFmt w:val="lowerRoman"/>
      <w:lvlText w:val="%6."/>
      <w:lvlJc w:val="right"/>
      <w:pPr>
        <w:ind w:left="4668" w:hanging="180"/>
      </w:pPr>
    </w:lvl>
    <w:lvl w:ilvl="6" w:tplc="1EF03A56" w:tentative="1">
      <w:start w:val="1"/>
      <w:numFmt w:val="decimal"/>
      <w:lvlText w:val="%7."/>
      <w:lvlJc w:val="left"/>
      <w:pPr>
        <w:ind w:left="5388" w:hanging="360"/>
      </w:pPr>
    </w:lvl>
    <w:lvl w:ilvl="7" w:tplc="658C30E4" w:tentative="1">
      <w:start w:val="1"/>
      <w:numFmt w:val="lowerLetter"/>
      <w:lvlText w:val="%8."/>
      <w:lvlJc w:val="left"/>
      <w:pPr>
        <w:ind w:left="6108" w:hanging="360"/>
      </w:pPr>
    </w:lvl>
    <w:lvl w:ilvl="8" w:tplc="2142698E" w:tentative="1">
      <w:start w:val="1"/>
      <w:numFmt w:val="lowerRoman"/>
      <w:lvlText w:val="%9."/>
      <w:lvlJc w:val="right"/>
      <w:pPr>
        <w:ind w:left="6828" w:hanging="180"/>
      </w:pPr>
    </w:lvl>
  </w:abstractNum>
  <w:abstractNum w:abstractNumId="10"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11" w15:restartNumberingAfterBreak="0">
    <w:nsid w:val="54191C66"/>
    <w:multiLevelType w:val="hybridMultilevel"/>
    <w:tmpl w:val="081213AC"/>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57546B08"/>
    <w:multiLevelType w:val="hybridMultilevel"/>
    <w:tmpl w:val="DEE22A24"/>
    <w:lvl w:ilvl="0" w:tplc="94F40156">
      <w:start w:val="1"/>
      <w:numFmt w:val="decimal"/>
      <w:lvlText w:val="%1."/>
      <w:lvlJc w:val="left"/>
      <w:pPr>
        <w:ind w:left="360" w:hanging="360"/>
      </w:pPr>
    </w:lvl>
    <w:lvl w:ilvl="1" w:tplc="A51A4BFE" w:tentative="1">
      <w:start w:val="1"/>
      <w:numFmt w:val="lowerLetter"/>
      <w:lvlText w:val="%2."/>
      <w:lvlJc w:val="left"/>
      <w:pPr>
        <w:ind w:left="1080" w:hanging="360"/>
      </w:pPr>
    </w:lvl>
    <w:lvl w:ilvl="2" w:tplc="DA081378" w:tentative="1">
      <w:start w:val="1"/>
      <w:numFmt w:val="lowerRoman"/>
      <w:lvlText w:val="%3."/>
      <w:lvlJc w:val="right"/>
      <w:pPr>
        <w:ind w:left="1800" w:hanging="180"/>
      </w:pPr>
    </w:lvl>
    <w:lvl w:ilvl="3" w:tplc="4A006EF4" w:tentative="1">
      <w:start w:val="1"/>
      <w:numFmt w:val="decimal"/>
      <w:lvlText w:val="%4."/>
      <w:lvlJc w:val="left"/>
      <w:pPr>
        <w:ind w:left="2520" w:hanging="360"/>
      </w:pPr>
    </w:lvl>
    <w:lvl w:ilvl="4" w:tplc="152A5110" w:tentative="1">
      <w:start w:val="1"/>
      <w:numFmt w:val="lowerLetter"/>
      <w:lvlText w:val="%5."/>
      <w:lvlJc w:val="left"/>
      <w:pPr>
        <w:ind w:left="3240" w:hanging="360"/>
      </w:pPr>
    </w:lvl>
    <w:lvl w:ilvl="5" w:tplc="423C76A6" w:tentative="1">
      <w:start w:val="1"/>
      <w:numFmt w:val="lowerRoman"/>
      <w:lvlText w:val="%6."/>
      <w:lvlJc w:val="right"/>
      <w:pPr>
        <w:ind w:left="3960" w:hanging="180"/>
      </w:pPr>
    </w:lvl>
    <w:lvl w:ilvl="6" w:tplc="48B0EDDE" w:tentative="1">
      <w:start w:val="1"/>
      <w:numFmt w:val="decimal"/>
      <w:lvlText w:val="%7."/>
      <w:lvlJc w:val="left"/>
      <w:pPr>
        <w:ind w:left="4680" w:hanging="360"/>
      </w:pPr>
    </w:lvl>
    <w:lvl w:ilvl="7" w:tplc="E06AE95E" w:tentative="1">
      <w:start w:val="1"/>
      <w:numFmt w:val="lowerLetter"/>
      <w:lvlText w:val="%8."/>
      <w:lvlJc w:val="left"/>
      <w:pPr>
        <w:ind w:left="5400" w:hanging="360"/>
      </w:pPr>
    </w:lvl>
    <w:lvl w:ilvl="8" w:tplc="48487DC8" w:tentative="1">
      <w:start w:val="1"/>
      <w:numFmt w:val="lowerRoman"/>
      <w:lvlText w:val="%9."/>
      <w:lvlJc w:val="right"/>
      <w:pPr>
        <w:ind w:left="6120" w:hanging="180"/>
      </w:pPr>
    </w:lvl>
  </w:abstractNum>
  <w:abstractNum w:abstractNumId="13" w15:restartNumberingAfterBreak="0">
    <w:nsid w:val="633B10E7"/>
    <w:multiLevelType w:val="hybridMultilevel"/>
    <w:tmpl w:val="51D00114"/>
    <w:lvl w:ilvl="0" w:tplc="8C447D04">
      <w:start w:val="1"/>
      <w:numFmt w:val="decimal"/>
      <w:lvlText w:val="%1."/>
      <w:lvlJc w:val="left"/>
      <w:pPr>
        <w:ind w:left="720" w:hanging="360"/>
      </w:pPr>
    </w:lvl>
    <w:lvl w:ilvl="1" w:tplc="87F2B9A0">
      <w:start w:val="1"/>
      <w:numFmt w:val="lowerLetter"/>
      <w:lvlText w:val="%2."/>
      <w:lvlJc w:val="left"/>
      <w:pPr>
        <w:ind w:left="1440" w:hanging="360"/>
      </w:pPr>
    </w:lvl>
    <w:lvl w:ilvl="2" w:tplc="9DFC7474">
      <w:start w:val="1"/>
      <w:numFmt w:val="lowerRoman"/>
      <w:lvlText w:val="%3."/>
      <w:lvlJc w:val="right"/>
      <w:pPr>
        <w:ind w:left="2160" w:hanging="180"/>
      </w:pPr>
    </w:lvl>
    <w:lvl w:ilvl="3" w:tplc="21A4EDA6">
      <w:start w:val="1"/>
      <w:numFmt w:val="decimal"/>
      <w:lvlText w:val="%4."/>
      <w:lvlJc w:val="left"/>
      <w:pPr>
        <w:ind w:left="2880" w:hanging="360"/>
      </w:pPr>
    </w:lvl>
    <w:lvl w:ilvl="4" w:tplc="9C2E3250">
      <w:start w:val="1"/>
      <w:numFmt w:val="lowerLetter"/>
      <w:lvlText w:val="%5."/>
      <w:lvlJc w:val="left"/>
      <w:pPr>
        <w:ind w:left="3600" w:hanging="360"/>
      </w:pPr>
    </w:lvl>
    <w:lvl w:ilvl="5" w:tplc="7334350A">
      <w:start w:val="1"/>
      <w:numFmt w:val="lowerRoman"/>
      <w:lvlText w:val="%6."/>
      <w:lvlJc w:val="right"/>
      <w:pPr>
        <w:ind w:left="4320" w:hanging="180"/>
      </w:pPr>
    </w:lvl>
    <w:lvl w:ilvl="6" w:tplc="306C0518">
      <w:start w:val="1"/>
      <w:numFmt w:val="decimal"/>
      <w:lvlText w:val="%7."/>
      <w:lvlJc w:val="left"/>
      <w:pPr>
        <w:ind w:left="5040" w:hanging="360"/>
      </w:pPr>
    </w:lvl>
    <w:lvl w:ilvl="7" w:tplc="AC6886D0">
      <w:start w:val="1"/>
      <w:numFmt w:val="lowerLetter"/>
      <w:lvlText w:val="%8."/>
      <w:lvlJc w:val="left"/>
      <w:pPr>
        <w:ind w:left="5760" w:hanging="360"/>
      </w:pPr>
    </w:lvl>
    <w:lvl w:ilvl="8" w:tplc="48B82C8C">
      <w:start w:val="1"/>
      <w:numFmt w:val="lowerRoman"/>
      <w:lvlText w:val="%9."/>
      <w:lvlJc w:val="right"/>
      <w:pPr>
        <w:ind w:left="6480" w:hanging="180"/>
      </w:pPr>
    </w:lvl>
  </w:abstractNum>
  <w:num w:numId="1" w16cid:durableId="373314380">
    <w:abstractNumId w:val="6"/>
  </w:num>
  <w:num w:numId="2" w16cid:durableId="1015226349">
    <w:abstractNumId w:val="10"/>
  </w:num>
  <w:num w:numId="3" w16cid:durableId="1573156629">
    <w:abstractNumId w:val="8"/>
  </w:num>
  <w:num w:numId="4" w16cid:durableId="867720947">
    <w:abstractNumId w:val="5"/>
  </w:num>
  <w:num w:numId="5" w16cid:durableId="1732576586">
    <w:abstractNumId w:val="2"/>
  </w:num>
  <w:num w:numId="6" w16cid:durableId="1651203230">
    <w:abstractNumId w:val="1"/>
  </w:num>
  <w:num w:numId="7" w16cid:durableId="1196848009">
    <w:abstractNumId w:val="0"/>
  </w:num>
  <w:num w:numId="8" w16cid:durableId="1091001836">
    <w:abstractNumId w:val="13"/>
  </w:num>
  <w:num w:numId="9" w16cid:durableId="926694421">
    <w:abstractNumId w:val="9"/>
  </w:num>
  <w:num w:numId="10" w16cid:durableId="242572955">
    <w:abstractNumId w:val="3"/>
  </w:num>
  <w:num w:numId="11" w16cid:durableId="599605435">
    <w:abstractNumId w:val="4"/>
  </w:num>
  <w:num w:numId="12" w16cid:durableId="357196802">
    <w:abstractNumId w:val="12"/>
  </w:num>
  <w:num w:numId="13" w16cid:durableId="1742680412">
    <w:abstractNumId w:val="7"/>
  </w:num>
  <w:num w:numId="14" w16cid:durableId="76769934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23C8"/>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55CC"/>
    <w:rsid w:val="000C6A29"/>
    <w:rsid w:val="000E1425"/>
    <w:rsid w:val="000E70B5"/>
    <w:rsid w:val="000F4359"/>
    <w:rsid w:val="00100DC9"/>
    <w:rsid w:val="00113431"/>
    <w:rsid w:val="00120817"/>
    <w:rsid w:val="00121416"/>
    <w:rsid w:val="00137832"/>
    <w:rsid w:val="001402C3"/>
    <w:rsid w:val="001451D7"/>
    <w:rsid w:val="00152A3E"/>
    <w:rsid w:val="00154449"/>
    <w:rsid w:val="00157F51"/>
    <w:rsid w:val="00160054"/>
    <w:rsid w:val="0016037D"/>
    <w:rsid w:val="001638CC"/>
    <w:rsid w:val="001639E0"/>
    <w:rsid w:val="00165E35"/>
    <w:rsid w:val="00171F84"/>
    <w:rsid w:val="00175AFB"/>
    <w:rsid w:val="00182075"/>
    <w:rsid w:val="00182446"/>
    <w:rsid w:val="00194762"/>
    <w:rsid w:val="00195ECB"/>
    <w:rsid w:val="001A46D5"/>
    <w:rsid w:val="001B10E1"/>
    <w:rsid w:val="001D07A8"/>
    <w:rsid w:val="001D2245"/>
    <w:rsid w:val="001D68BB"/>
    <w:rsid w:val="001E17D2"/>
    <w:rsid w:val="001E1F91"/>
    <w:rsid w:val="001E2C1F"/>
    <w:rsid w:val="001E4563"/>
    <w:rsid w:val="001E5B55"/>
    <w:rsid w:val="00206522"/>
    <w:rsid w:val="00216CD4"/>
    <w:rsid w:val="00226D01"/>
    <w:rsid w:val="002303AC"/>
    <w:rsid w:val="00242DCD"/>
    <w:rsid w:val="00243D09"/>
    <w:rsid w:val="00244302"/>
    <w:rsid w:val="002577EA"/>
    <w:rsid w:val="00257A91"/>
    <w:rsid w:val="0026486F"/>
    <w:rsid w:val="002667FA"/>
    <w:rsid w:val="002670BC"/>
    <w:rsid w:val="00290A87"/>
    <w:rsid w:val="002A0674"/>
    <w:rsid w:val="002A63CB"/>
    <w:rsid w:val="002A6A64"/>
    <w:rsid w:val="002C7507"/>
    <w:rsid w:val="002D08AD"/>
    <w:rsid w:val="002D5804"/>
    <w:rsid w:val="002D5E17"/>
    <w:rsid w:val="002E00A9"/>
    <w:rsid w:val="002E7496"/>
    <w:rsid w:val="002F3BB5"/>
    <w:rsid w:val="00303E39"/>
    <w:rsid w:val="00304F23"/>
    <w:rsid w:val="00305438"/>
    <w:rsid w:val="0031074E"/>
    <w:rsid w:val="00314BCE"/>
    <w:rsid w:val="00317C3B"/>
    <w:rsid w:val="0032016F"/>
    <w:rsid w:val="00330719"/>
    <w:rsid w:val="00332BC1"/>
    <w:rsid w:val="0033379C"/>
    <w:rsid w:val="00337444"/>
    <w:rsid w:val="00343F20"/>
    <w:rsid w:val="003579E2"/>
    <w:rsid w:val="00371D90"/>
    <w:rsid w:val="00374452"/>
    <w:rsid w:val="00386D24"/>
    <w:rsid w:val="00387456"/>
    <w:rsid w:val="00392CCE"/>
    <w:rsid w:val="00393968"/>
    <w:rsid w:val="00394516"/>
    <w:rsid w:val="00396861"/>
    <w:rsid w:val="003A5A68"/>
    <w:rsid w:val="003B7375"/>
    <w:rsid w:val="003D7539"/>
    <w:rsid w:val="003E0AA6"/>
    <w:rsid w:val="003F0948"/>
    <w:rsid w:val="003F4F74"/>
    <w:rsid w:val="003F624E"/>
    <w:rsid w:val="003F6C8A"/>
    <w:rsid w:val="00400023"/>
    <w:rsid w:val="00403934"/>
    <w:rsid w:val="004060B5"/>
    <w:rsid w:val="00415722"/>
    <w:rsid w:val="0041639C"/>
    <w:rsid w:val="00417779"/>
    <w:rsid w:val="0042405C"/>
    <w:rsid w:val="00427102"/>
    <w:rsid w:val="004300D8"/>
    <w:rsid w:val="0043041C"/>
    <w:rsid w:val="00431B8C"/>
    <w:rsid w:val="004424BB"/>
    <w:rsid w:val="004446A0"/>
    <w:rsid w:val="00445BD0"/>
    <w:rsid w:val="004510F0"/>
    <w:rsid w:val="004523E8"/>
    <w:rsid w:val="004612B5"/>
    <w:rsid w:val="004639D8"/>
    <w:rsid w:val="00464322"/>
    <w:rsid w:val="00464A09"/>
    <w:rsid w:val="004679BF"/>
    <w:rsid w:val="00472853"/>
    <w:rsid w:val="004779EF"/>
    <w:rsid w:val="00480CEF"/>
    <w:rsid w:val="00483692"/>
    <w:rsid w:val="00486FAC"/>
    <w:rsid w:val="004917C9"/>
    <w:rsid w:val="00493FF1"/>
    <w:rsid w:val="004A680D"/>
    <w:rsid w:val="004B0140"/>
    <w:rsid w:val="004B0A6F"/>
    <w:rsid w:val="004B2D5C"/>
    <w:rsid w:val="004B38B5"/>
    <w:rsid w:val="004C1C05"/>
    <w:rsid w:val="004C32B1"/>
    <w:rsid w:val="004C533D"/>
    <w:rsid w:val="004C5C13"/>
    <w:rsid w:val="004D164C"/>
    <w:rsid w:val="004D63BC"/>
    <w:rsid w:val="004D74DA"/>
    <w:rsid w:val="004F2B84"/>
    <w:rsid w:val="00501116"/>
    <w:rsid w:val="00504630"/>
    <w:rsid w:val="0050708F"/>
    <w:rsid w:val="005202B9"/>
    <w:rsid w:val="00520C47"/>
    <w:rsid w:val="00520D91"/>
    <w:rsid w:val="00521379"/>
    <w:rsid w:val="00525C0B"/>
    <w:rsid w:val="005339A5"/>
    <w:rsid w:val="005404B9"/>
    <w:rsid w:val="005405CC"/>
    <w:rsid w:val="0054337C"/>
    <w:rsid w:val="00544D0E"/>
    <w:rsid w:val="0054611A"/>
    <w:rsid w:val="0055233E"/>
    <w:rsid w:val="0056496F"/>
    <w:rsid w:val="00567F8B"/>
    <w:rsid w:val="00570380"/>
    <w:rsid w:val="0057319B"/>
    <w:rsid w:val="00574897"/>
    <w:rsid w:val="00575D55"/>
    <w:rsid w:val="00594D75"/>
    <w:rsid w:val="005B23CE"/>
    <w:rsid w:val="005B4824"/>
    <w:rsid w:val="005B5493"/>
    <w:rsid w:val="005B686A"/>
    <w:rsid w:val="005C35BE"/>
    <w:rsid w:val="005C4F0E"/>
    <w:rsid w:val="005C516D"/>
    <w:rsid w:val="005D3964"/>
    <w:rsid w:val="005D5053"/>
    <w:rsid w:val="005F0979"/>
    <w:rsid w:val="005F19BE"/>
    <w:rsid w:val="005F5FF8"/>
    <w:rsid w:val="005F7DFA"/>
    <w:rsid w:val="006152E4"/>
    <w:rsid w:val="00616179"/>
    <w:rsid w:val="0063364D"/>
    <w:rsid w:val="00642B13"/>
    <w:rsid w:val="006432E4"/>
    <w:rsid w:val="00660648"/>
    <w:rsid w:val="00681944"/>
    <w:rsid w:val="00683232"/>
    <w:rsid w:val="006A6CF7"/>
    <w:rsid w:val="006A6D21"/>
    <w:rsid w:val="006B4AAD"/>
    <w:rsid w:val="006B5DD7"/>
    <w:rsid w:val="006C09B8"/>
    <w:rsid w:val="006C138E"/>
    <w:rsid w:val="006C2A23"/>
    <w:rsid w:val="006C31DE"/>
    <w:rsid w:val="006C3D6A"/>
    <w:rsid w:val="006C4F04"/>
    <w:rsid w:val="006D6005"/>
    <w:rsid w:val="006E14F7"/>
    <w:rsid w:val="00701D0C"/>
    <w:rsid w:val="0070668F"/>
    <w:rsid w:val="007106A0"/>
    <w:rsid w:val="00715779"/>
    <w:rsid w:val="00717290"/>
    <w:rsid w:val="00727689"/>
    <w:rsid w:val="00732424"/>
    <w:rsid w:val="00732A49"/>
    <w:rsid w:val="00742859"/>
    <w:rsid w:val="00747685"/>
    <w:rsid w:val="00750F34"/>
    <w:rsid w:val="00764094"/>
    <w:rsid w:val="0077037F"/>
    <w:rsid w:val="00771EE2"/>
    <w:rsid w:val="00786983"/>
    <w:rsid w:val="007933E6"/>
    <w:rsid w:val="00794EDC"/>
    <w:rsid w:val="007A3BEF"/>
    <w:rsid w:val="007B175C"/>
    <w:rsid w:val="007B4148"/>
    <w:rsid w:val="007C253F"/>
    <w:rsid w:val="007F6562"/>
    <w:rsid w:val="00801234"/>
    <w:rsid w:val="00803EC7"/>
    <w:rsid w:val="008161C1"/>
    <w:rsid w:val="00821CD4"/>
    <w:rsid w:val="00824023"/>
    <w:rsid w:val="0082539C"/>
    <w:rsid w:val="00826AF7"/>
    <w:rsid w:val="00832299"/>
    <w:rsid w:val="0084413A"/>
    <w:rsid w:val="008564BE"/>
    <w:rsid w:val="00857751"/>
    <w:rsid w:val="0086047D"/>
    <w:rsid w:val="0086432B"/>
    <w:rsid w:val="00867D12"/>
    <w:rsid w:val="0088313D"/>
    <w:rsid w:val="0088746E"/>
    <w:rsid w:val="00887A1A"/>
    <w:rsid w:val="00887DE6"/>
    <w:rsid w:val="008935D4"/>
    <w:rsid w:val="00893E9D"/>
    <w:rsid w:val="008950A7"/>
    <w:rsid w:val="008A51EC"/>
    <w:rsid w:val="008B05D9"/>
    <w:rsid w:val="008B1FA7"/>
    <w:rsid w:val="008B24B0"/>
    <w:rsid w:val="008B41D9"/>
    <w:rsid w:val="008B7550"/>
    <w:rsid w:val="008B757C"/>
    <w:rsid w:val="008C0FEC"/>
    <w:rsid w:val="008C21BC"/>
    <w:rsid w:val="008C238B"/>
    <w:rsid w:val="008D036D"/>
    <w:rsid w:val="008E44FA"/>
    <w:rsid w:val="008E52FB"/>
    <w:rsid w:val="008F6219"/>
    <w:rsid w:val="0090442A"/>
    <w:rsid w:val="00907E0F"/>
    <w:rsid w:val="0091020D"/>
    <w:rsid w:val="00921A3F"/>
    <w:rsid w:val="00923062"/>
    <w:rsid w:val="00927059"/>
    <w:rsid w:val="00941E5D"/>
    <w:rsid w:val="00954B50"/>
    <w:rsid w:val="00961422"/>
    <w:rsid w:val="0096686D"/>
    <w:rsid w:val="0097720B"/>
    <w:rsid w:val="00977781"/>
    <w:rsid w:val="009945E6"/>
    <w:rsid w:val="009A3A63"/>
    <w:rsid w:val="009B3F1D"/>
    <w:rsid w:val="009B41CE"/>
    <w:rsid w:val="009B6050"/>
    <w:rsid w:val="009B69C5"/>
    <w:rsid w:val="009C22CC"/>
    <w:rsid w:val="009C2C53"/>
    <w:rsid w:val="009D5428"/>
    <w:rsid w:val="009D575F"/>
    <w:rsid w:val="009D5922"/>
    <w:rsid w:val="009E07E4"/>
    <w:rsid w:val="009E0D93"/>
    <w:rsid w:val="009F314C"/>
    <w:rsid w:val="009F3FB7"/>
    <w:rsid w:val="009F69EF"/>
    <w:rsid w:val="00A014A0"/>
    <w:rsid w:val="00A0456D"/>
    <w:rsid w:val="00A05356"/>
    <w:rsid w:val="00A13A43"/>
    <w:rsid w:val="00A176DB"/>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2CA5"/>
    <w:rsid w:val="00AE7059"/>
    <w:rsid w:val="00AE7FAF"/>
    <w:rsid w:val="00AF799F"/>
    <w:rsid w:val="00B00520"/>
    <w:rsid w:val="00B0299F"/>
    <w:rsid w:val="00B05CB5"/>
    <w:rsid w:val="00B24DA4"/>
    <w:rsid w:val="00B24E24"/>
    <w:rsid w:val="00B317EE"/>
    <w:rsid w:val="00B403D6"/>
    <w:rsid w:val="00B44084"/>
    <w:rsid w:val="00B4488E"/>
    <w:rsid w:val="00B452D4"/>
    <w:rsid w:val="00B568E2"/>
    <w:rsid w:val="00B678E9"/>
    <w:rsid w:val="00B81660"/>
    <w:rsid w:val="00B83BF1"/>
    <w:rsid w:val="00B8757B"/>
    <w:rsid w:val="00B900A7"/>
    <w:rsid w:val="00BA4C12"/>
    <w:rsid w:val="00BB1A34"/>
    <w:rsid w:val="00BB1E96"/>
    <w:rsid w:val="00BB1FDB"/>
    <w:rsid w:val="00BB3D43"/>
    <w:rsid w:val="00BB49C0"/>
    <w:rsid w:val="00BC30CB"/>
    <w:rsid w:val="00BD26FF"/>
    <w:rsid w:val="00BD46DE"/>
    <w:rsid w:val="00BD492E"/>
    <w:rsid w:val="00BE7F2C"/>
    <w:rsid w:val="00C128C5"/>
    <w:rsid w:val="00C26931"/>
    <w:rsid w:val="00C274A8"/>
    <w:rsid w:val="00C33C84"/>
    <w:rsid w:val="00C34213"/>
    <w:rsid w:val="00C37C0D"/>
    <w:rsid w:val="00C40A14"/>
    <w:rsid w:val="00C45973"/>
    <w:rsid w:val="00C45B03"/>
    <w:rsid w:val="00C74287"/>
    <w:rsid w:val="00C757E7"/>
    <w:rsid w:val="00C76A82"/>
    <w:rsid w:val="00C948C7"/>
    <w:rsid w:val="00C97F95"/>
    <w:rsid w:val="00CA5634"/>
    <w:rsid w:val="00CA5D4B"/>
    <w:rsid w:val="00CA7C93"/>
    <w:rsid w:val="00CB0FA0"/>
    <w:rsid w:val="00CB5431"/>
    <w:rsid w:val="00CC6301"/>
    <w:rsid w:val="00CE2F4D"/>
    <w:rsid w:val="00CE452B"/>
    <w:rsid w:val="00CE7657"/>
    <w:rsid w:val="00D43A3E"/>
    <w:rsid w:val="00D47697"/>
    <w:rsid w:val="00D56238"/>
    <w:rsid w:val="00D631C6"/>
    <w:rsid w:val="00D632E9"/>
    <w:rsid w:val="00D63872"/>
    <w:rsid w:val="00D72D07"/>
    <w:rsid w:val="00D779E2"/>
    <w:rsid w:val="00D81FC7"/>
    <w:rsid w:val="00D90930"/>
    <w:rsid w:val="00D910E7"/>
    <w:rsid w:val="00D94619"/>
    <w:rsid w:val="00D949D8"/>
    <w:rsid w:val="00D964F6"/>
    <w:rsid w:val="00D9720B"/>
    <w:rsid w:val="00DA301A"/>
    <w:rsid w:val="00DA4C0F"/>
    <w:rsid w:val="00DA65DC"/>
    <w:rsid w:val="00DB465D"/>
    <w:rsid w:val="00DB66E9"/>
    <w:rsid w:val="00DC5A29"/>
    <w:rsid w:val="00DC622D"/>
    <w:rsid w:val="00DD7D52"/>
    <w:rsid w:val="00DE4BE7"/>
    <w:rsid w:val="00DE5F83"/>
    <w:rsid w:val="00DF7FE1"/>
    <w:rsid w:val="00E11197"/>
    <w:rsid w:val="00E21DC0"/>
    <w:rsid w:val="00E35694"/>
    <w:rsid w:val="00E377BE"/>
    <w:rsid w:val="00E43926"/>
    <w:rsid w:val="00E513EE"/>
    <w:rsid w:val="00E54D77"/>
    <w:rsid w:val="00E720A4"/>
    <w:rsid w:val="00E733F5"/>
    <w:rsid w:val="00E82621"/>
    <w:rsid w:val="00E82C90"/>
    <w:rsid w:val="00E83AA9"/>
    <w:rsid w:val="00E86225"/>
    <w:rsid w:val="00E91FD3"/>
    <w:rsid w:val="00E96A4B"/>
    <w:rsid w:val="00E9739E"/>
    <w:rsid w:val="00EC6C9F"/>
    <w:rsid w:val="00ED3B1C"/>
    <w:rsid w:val="00ED7EB4"/>
    <w:rsid w:val="00EE0586"/>
    <w:rsid w:val="00EE12FB"/>
    <w:rsid w:val="00EE13C8"/>
    <w:rsid w:val="00EE6106"/>
    <w:rsid w:val="00F0574C"/>
    <w:rsid w:val="00F16A65"/>
    <w:rsid w:val="00F31CAF"/>
    <w:rsid w:val="00F36420"/>
    <w:rsid w:val="00F40E6B"/>
    <w:rsid w:val="00F44710"/>
    <w:rsid w:val="00F50CAE"/>
    <w:rsid w:val="00F7063A"/>
    <w:rsid w:val="00F72094"/>
    <w:rsid w:val="00F74D75"/>
    <w:rsid w:val="00F84A6A"/>
    <w:rsid w:val="00F97199"/>
    <w:rsid w:val="00F97810"/>
    <w:rsid w:val="00FA4E65"/>
    <w:rsid w:val="00FB0D3A"/>
    <w:rsid w:val="00FB3FAC"/>
    <w:rsid w:val="00FC0A36"/>
    <w:rsid w:val="00FC70B8"/>
    <w:rsid w:val="00FD088D"/>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 w:type="character" w:styleId="Fett">
    <w:name w:val="Strong"/>
    <w:basedOn w:val="Absatz-Standardschriftart"/>
    <w:uiPriority w:val="22"/>
    <w:qFormat/>
    <w:rsid w:val="00732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3" ma:contentTypeDescription="Ein neues Dokument erstellen." ma:contentTypeScope="" ma:versionID="996789cc9ae03eff54613e86a6444507">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8d800649a548417d698e49a4ea66086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ACAC2-7956-4492-B70D-B05B1FE10435}">
  <ds:schemaRefs>
    <ds:schemaRef ds:uri="http://schemas.microsoft.com/sharepoint/v3/contenttype/forms"/>
  </ds:schemaRefs>
</ds:datastoreItem>
</file>

<file path=customXml/itemProps2.xml><?xml version="1.0" encoding="utf-8"?>
<ds:datastoreItem xmlns:ds="http://schemas.openxmlformats.org/officeDocument/2006/customXml" ds:itemID="{AA9A04D0-6287-491C-80BE-BB4AAC01CE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C1DB23-DA4A-8640-9841-843673BD54C8}">
  <ds:schemaRefs>
    <ds:schemaRef ds:uri="http://schemas.openxmlformats.org/officeDocument/2006/bibliography"/>
  </ds:schemaRefs>
</ds:datastoreItem>
</file>

<file path=customXml/itemProps4.xml><?xml version="1.0" encoding="utf-8"?>
<ds:datastoreItem xmlns:ds="http://schemas.openxmlformats.org/officeDocument/2006/customXml" ds:itemID="{9F14D1B0-4CB2-42A2-87C9-311D94433919}"/>
</file>

<file path=docProps/app.xml><?xml version="1.0" encoding="utf-8"?>
<Properties xmlns="http://schemas.openxmlformats.org/officeDocument/2006/extended-properties" xmlns:vt="http://schemas.openxmlformats.org/officeDocument/2006/docPropsVTypes">
  <Template>Normal.dotm</Template>
  <TotalTime>0</TotalTime>
  <Pages>6</Pages>
  <Words>1533</Words>
  <Characters>9658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11169</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René Brünn</cp:lastModifiedBy>
  <cp:revision>7</cp:revision>
  <cp:lastPrinted>2016-03-18T12:46:00Z</cp:lastPrinted>
  <dcterms:created xsi:type="dcterms:W3CDTF">2021-11-27T21:56:00Z</dcterms:created>
  <dcterms:modified xsi:type="dcterms:W3CDTF">2022-04-22T07:35:00Z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ies>
</file>