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19DA" w14:textId="55FBA817" w:rsidR="00B71778" w:rsidRDefault="00464AB1" w:rsidP="00B71778">
      <w:pPr>
        <w:tabs>
          <w:tab w:val="left" w:pos="6075"/>
        </w:tabs>
        <w:jc w:val="both"/>
      </w:pPr>
      <w:r w:rsidRPr="00464AB1">
        <w:t>Das Thema der Elektromobilität und der nötigen Ladeinfrastruktur ist präsenter denn je.</w:t>
      </w:r>
      <w:r w:rsidR="00B71778">
        <w:t xml:space="preserve"> </w:t>
      </w:r>
      <w:r w:rsidRPr="00464AB1">
        <w:t>Im Bereich der Elektromobilität gibt es verschiedenen Regelwerke, die beim Errichten und Betreiben einer Ladeeinrichtung zu beachten sind. Besonders zum Tragen kommen in der technischen Umsetzung die allgemein anerkannten Regeln der Technik von dem Verband der Elektrotechnik Elektronik Informationstechnik e.V. (VDE).</w:t>
      </w:r>
      <w:r w:rsidR="00B71778">
        <w:t xml:space="preserve"> </w:t>
      </w:r>
      <w:r w:rsidRPr="00464AB1">
        <w:t>Von großer Bedeutung sind:</w:t>
      </w:r>
    </w:p>
    <w:p w14:paraId="326C6953" w14:textId="77777777" w:rsidR="00E96A61" w:rsidRPr="00464AB1" w:rsidRDefault="00E96A61" w:rsidP="00B71778">
      <w:pPr>
        <w:tabs>
          <w:tab w:val="left" w:pos="6075"/>
        </w:tabs>
        <w:jc w:val="both"/>
      </w:pPr>
    </w:p>
    <w:p w14:paraId="51335B9D" w14:textId="77777777" w:rsidR="00464AB1" w:rsidRPr="00464AB1" w:rsidRDefault="00464AB1" w:rsidP="00B71778">
      <w:pPr>
        <w:pStyle w:val="Listenabsatz"/>
        <w:numPr>
          <w:ilvl w:val="0"/>
          <w:numId w:val="11"/>
        </w:numPr>
        <w:autoSpaceDE w:val="0"/>
        <w:autoSpaceDN w:val="0"/>
        <w:adjustRightInd w:val="0"/>
        <w:spacing w:after="0"/>
        <w:ind w:left="426"/>
        <w:jc w:val="both"/>
      </w:pPr>
      <w:r w:rsidRPr="00464AB1">
        <w:t xml:space="preserve">die EN 61851-1 </w:t>
      </w:r>
      <w:r w:rsidRPr="00464AB1">
        <w:rPr>
          <w:b/>
          <w:bCs/>
        </w:rPr>
        <w:t>(VDE 0122-1)</w:t>
      </w:r>
      <w:r w:rsidRPr="00464AB1">
        <w:t xml:space="preserve"> </w:t>
      </w:r>
      <w:r w:rsidRPr="00464AB1">
        <w:rPr>
          <w:i/>
          <w:iCs/>
        </w:rPr>
        <w:t>„Elektrische Ausrüstung von Elektro-Straßenfahrzeugen – Konduktive Ladesysteme für Elektrofahrzeuge – Teil 1: Allgemeine Anforderungen“</w:t>
      </w:r>
      <w:r w:rsidRPr="00464AB1">
        <w:t xml:space="preserve">, in dieser sind die grundlegenden Funktionen der Ladeeinrichtung, die Anforderungen an die Steckvorrichtungen und die Ladebetriebsarten geregelt. </w:t>
      </w:r>
    </w:p>
    <w:p w14:paraId="3A4E6DC7" w14:textId="77777777" w:rsidR="00464AB1" w:rsidRPr="00464AB1" w:rsidRDefault="00464AB1" w:rsidP="00B71778">
      <w:pPr>
        <w:pStyle w:val="Listenabsatz"/>
        <w:numPr>
          <w:ilvl w:val="0"/>
          <w:numId w:val="11"/>
        </w:numPr>
        <w:autoSpaceDE w:val="0"/>
        <w:autoSpaceDN w:val="0"/>
        <w:adjustRightInd w:val="0"/>
        <w:spacing w:after="0"/>
        <w:ind w:left="426"/>
        <w:jc w:val="both"/>
      </w:pPr>
      <w:r w:rsidRPr="00464AB1">
        <w:t xml:space="preserve">die </w:t>
      </w:r>
      <w:r w:rsidRPr="00464AB1">
        <w:rPr>
          <w:b/>
          <w:bCs/>
        </w:rPr>
        <w:t>VDE AR-N 4100</w:t>
      </w:r>
      <w:r w:rsidRPr="00464AB1">
        <w:t xml:space="preserve"> </w:t>
      </w:r>
      <w:r w:rsidRPr="00464AB1">
        <w:rPr>
          <w:i/>
          <w:iCs/>
        </w:rPr>
        <w:t>„</w:t>
      </w:r>
      <w:r w:rsidRPr="00464AB1">
        <w:rPr>
          <w:rFonts w:eastAsia="Arial,Bold"/>
          <w:i/>
          <w:iCs/>
        </w:rPr>
        <w:t>Technische Regeln für den Anschluss von Kundenanlagen an das Niederspannungsnetz und deren Betrieb (TAR Niederspannung)“</w:t>
      </w:r>
      <w:r w:rsidRPr="00464AB1">
        <w:rPr>
          <w:i/>
          <w:iCs/>
        </w:rPr>
        <w:t xml:space="preserve"> </w:t>
      </w:r>
    </w:p>
    <w:p w14:paraId="6DD639AA" w14:textId="77777777" w:rsidR="00464AB1" w:rsidRPr="00464AB1" w:rsidRDefault="00464AB1" w:rsidP="00B71778">
      <w:pPr>
        <w:pStyle w:val="Listenabsatz"/>
        <w:numPr>
          <w:ilvl w:val="0"/>
          <w:numId w:val="11"/>
        </w:numPr>
        <w:autoSpaceDE w:val="0"/>
        <w:autoSpaceDN w:val="0"/>
        <w:adjustRightInd w:val="0"/>
        <w:spacing w:after="0"/>
        <w:ind w:left="426"/>
        <w:jc w:val="both"/>
      </w:pPr>
      <w:r w:rsidRPr="00464AB1">
        <w:t xml:space="preserve">die HD 60364-7-722 </w:t>
      </w:r>
      <w:r w:rsidRPr="00464AB1">
        <w:rPr>
          <w:b/>
          <w:bCs/>
        </w:rPr>
        <w:t>VDE 0100-</w:t>
      </w:r>
      <w:r w:rsidRPr="00464AB1">
        <w:rPr>
          <w:b/>
          <w:bCs/>
          <w:i/>
          <w:iCs/>
        </w:rPr>
        <w:t>722</w:t>
      </w:r>
      <w:r w:rsidRPr="00464AB1">
        <w:rPr>
          <w:i/>
          <w:iCs/>
        </w:rPr>
        <w:t xml:space="preserve"> „Errichten von Niederspannungsanlagen – Teil 7-722: Anforderungen für Betriebsstätten, Räume und Anlagen besonderer Art – Stromversorgung von Elektrofahrzeugen“</w:t>
      </w:r>
      <w:r w:rsidRPr="00464AB1">
        <w:t xml:space="preserve">  </w:t>
      </w:r>
    </w:p>
    <w:p w14:paraId="4E6F2ECF" w14:textId="77777777" w:rsidR="00464AB1" w:rsidRPr="00464AB1" w:rsidRDefault="00464AB1" w:rsidP="00464AB1">
      <w:pPr>
        <w:autoSpaceDE w:val="0"/>
        <w:autoSpaceDN w:val="0"/>
        <w:adjustRightInd w:val="0"/>
        <w:jc w:val="both"/>
      </w:pPr>
    </w:p>
    <w:p w14:paraId="1A63A560" w14:textId="2A54CD0A" w:rsidR="00464AB1" w:rsidRPr="00464AB1" w:rsidRDefault="00464AB1" w:rsidP="00464AB1">
      <w:pPr>
        <w:autoSpaceDE w:val="0"/>
        <w:autoSpaceDN w:val="0"/>
        <w:adjustRightInd w:val="0"/>
        <w:jc w:val="both"/>
        <w:rPr>
          <w:rStyle w:val="jnlangue"/>
        </w:rPr>
      </w:pPr>
      <w:r w:rsidRPr="00464AB1">
        <w:t xml:space="preserve">Bei der Planung einer Ladeeinrichtung sollte man aber die Richtlinie vom Verein Deutscher Ingenieure </w:t>
      </w:r>
      <w:r w:rsidRPr="00464AB1">
        <w:rPr>
          <w:b/>
          <w:bCs/>
        </w:rPr>
        <w:t>(VDI) 2166 – Blatt 2</w:t>
      </w:r>
      <w:r w:rsidRPr="00464AB1">
        <w:t xml:space="preserve"> </w:t>
      </w:r>
      <w:r w:rsidRPr="00464AB1">
        <w:rPr>
          <w:i/>
          <w:iCs/>
        </w:rPr>
        <w:t>„Planung elektrischer Anlagen in Gebäuden – Hinweise für die Elektromobilität“</w:t>
      </w:r>
      <w:r w:rsidRPr="00464AB1">
        <w:t xml:space="preserve"> nicht außer Acht lassen. Neben der Richtlinie des VDI spielt auch die „</w:t>
      </w:r>
      <w:r w:rsidRPr="00464AB1">
        <w:rPr>
          <w:rStyle w:val="jnlangue"/>
          <w:i/>
          <w:iCs/>
        </w:rPr>
        <w:t xml:space="preserve">Verordnung über technische Mindestanforderungen an den sicheren und interoperablen Aufbau und Betrieb von öffentlich zugänglichen Ladepunkten für Elektromobile </w:t>
      </w:r>
      <w:r w:rsidRPr="00464AB1">
        <w:rPr>
          <w:rStyle w:val="jnlangue"/>
          <w:b/>
          <w:bCs/>
          <w:i/>
          <w:iCs/>
        </w:rPr>
        <w:t>(Ladesäulenverordnung – LSV)“</w:t>
      </w:r>
      <w:r w:rsidRPr="00464AB1">
        <w:rPr>
          <w:rStyle w:val="jnlangue"/>
          <w:i/>
          <w:iCs/>
        </w:rPr>
        <w:t xml:space="preserve"> </w:t>
      </w:r>
      <w:r w:rsidRPr="00464AB1">
        <w:rPr>
          <w:rStyle w:val="jnlangue"/>
        </w:rPr>
        <w:t>bei der Planung und Überlegung des möglichen Aufstellortes eine bedeutende Rolle.</w:t>
      </w:r>
    </w:p>
    <w:p w14:paraId="41D590E9" w14:textId="1C5A9837" w:rsidR="00464AB1" w:rsidRDefault="00464AB1" w:rsidP="00464AB1">
      <w:pPr>
        <w:autoSpaceDE w:val="0"/>
        <w:autoSpaceDN w:val="0"/>
        <w:adjustRightInd w:val="0"/>
        <w:jc w:val="both"/>
      </w:pPr>
    </w:p>
    <w:p w14:paraId="47A8CFBE" w14:textId="3A6EAF48" w:rsidR="00B71778" w:rsidRDefault="00B71778" w:rsidP="00464AB1">
      <w:pPr>
        <w:autoSpaceDE w:val="0"/>
        <w:autoSpaceDN w:val="0"/>
        <w:adjustRightInd w:val="0"/>
        <w:jc w:val="both"/>
        <w:rPr>
          <w:b/>
          <w:bCs/>
        </w:rPr>
      </w:pPr>
      <w:r w:rsidRPr="00B71778">
        <w:rPr>
          <w:b/>
          <w:bCs/>
        </w:rPr>
        <w:t>Ladebetriebsarten</w:t>
      </w:r>
    </w:p>
    <w:p w14:paraId="5E478821" w14:textId="7E528C2B" w:rsidR="000C1A3C" w:rsidRPr="00B71778" w:rsidRDefault="000C1A3C" w:rsidP="00464AB1">
      <w:pPr>
        <w:autoSpaceDE w:val="0"/>
        <w:autoSpaceDN w:val="0"/>
        <w:adjustRightInd w:val="0"/>
        <w:jc w:val="both"/>
        <w:rPr>
          <w:b/>
          <w:bCs/>
        </w:rPr>
      </w:pPr>
    </w:p>
    <w:p w14:paraId="3A9EC44E" w14:textId="04116F5F" w:rsidR="00B71778" w:rsidRDefault="00B71778" w:rsidP="00464AB1">
      <w:pPr>
        <w:autoSpaceDE w:val="0"/>
        <w:autoSpaceDN w:val="0"/>
        <w:adjustRightInd w:val="0"/>
        <w:jc w:val="both"/>
      </w:pPr>
      <w:r>
        <w:t>D</w:t>
      </w:r>
      <w:r w:rsidR="00464AB1" w:rsidRPr="00464AB1">
        <w:t>ie EN 61851-1 (VDE 0122-1) beschreibt vier Ladebetriebsarten, die zum Laden von Elektrofahrzeugen zur Anwendung kommen</w:t>
      </w:r>
      <w:r>
        <w:t>:</w:t>
      </w:r>
    </w:p>
    <w:p w14:paraId="2BEA374D" w14:textId="127C2573" w:rsidR="00E96A61" w:rsidRPr="00464AB1" w:rsidRDefault="00E96A61" w:rsidP="00464AB1">
      <w:pPr>
        <w:autoSpaceDE w:val="0"/>
        <w:autoSpaceDN w:val="0"/>
        <w:adjustRightInd w:val="0"/>
        <w:jc w:val="both"/>
      </w:pPr>
    </w:p>
    <w:p w14:paraId="61CEA82B" w14:textId="7E4939A1" w:rsidR="00464AB1" w:rsidRPr="00464AB1" w:rsidRDefault="00464AB1" w:rsidP="00B71778">
      <w:pPr>
        <w:pStyle w:val="Listenabsatz"/>
        <w:numPr>
          <w:ilvl w:val="0"/>
          <w:numId w:val="12"/>
        </w:numPr>
        <w:tabs>
          <w:tab w:val="left" w:pos="6075"/>
        </w:tabs>
        <w:ind w:left="426"/>
        <w:jc w:val="both"/>
      </w:pPr>
      <w:r w:rsidRPr="00464AB1">
        <w:rPr>
          <w:b/>
          <w:bCs/>
        </w:rPr>
        <w:t>Ladebetriebsart 1</w:t>
      </w:r>
      <w:r w:rsidRPr="00464AB1">
        <w:t xml:space="preserve"> ist der direkte Anschluss an das Wechselstromnetz. Bei dieser Ladebetriebsart herrscht keine Kommunikation und Überwachung des Ladeprozess.</w:t>
      </w:r>
    </w:p>
    <w:p w14:paraId="501675B4" w14:textId="63A9F9BD" w:rsidR="00464AB1" w:rsidRPr="00464AB1" w:rsidRDefault="00464AB1" w:rsidP="00B71778">
      <w:pPr>
        <w:pStyle w:val="Listenabsatz"/>
        <w:numPr>
          <w:ilvl w:val="0"/>
          <w:numId w:val="12"/>
        </w:numPr>
        <w:tabs>
          <w:tab w:val="left" w:pos="6075"/>
        </w:tabs>
        <w:ind w:left="426"/>
        <w:jc w:val="both"/>
      </w:pPr>
      <w:r w:rsidRPr="00464AB1">
        <w:rPr>
          <w:b/>
          <w:bCs/>
        </w:rPr>
        <w:t>Ladebetriebsart 2</w:t>
      </w:r>
      <w:r w:rsidRPr="00464AB1">
        <w:t xml:space="preserve"> bietet hierzu im Vergleich durch das ladeleitungsintegrierte Steuergerät </w:t>
      </w:r>
    </w:p>
    <w:p w14:paraId="08AE4C71" w14:textId="3759F011" w:rsidR="00464AB1" w:rsidRPr="00464AB1" w:rsidRDefault="00464AB1" w:rsidP="00B71778">
      <w:pPr>
        <w:pStyle w:val="Listenabsatz"/>
        <w:numPr>
          <w:ilvl w:val="0"/>
          <w:numId w:val="12"/>
        </w:numPr>
        <w:tabs>
          <w:tab w:val="left" w:pos="6075"/>
        </w:tabs>
        <w:ind w:left="426"/>
        <w:jc w:val="both"/>
      </w:pPr>
      <w:r w:rsidRPr="00464AB1">
        <w:t>(ICCB in-</w:t>
      </w:r>
      <w:proofErr w:type="spellStart"/>
      <w:r w:rsidRPr="00464AB1">
        <w:t>cable</w:t>
      </w:r>
      <w:proofErr w:type="spellEnd"/>
      <w:r w:rsidRPr="00464AB1">
        <w:t>-</w:t>
      </w:r>
      <w:proofErr w:type="spellStart"/>
      <w:r w:rsidRPr="00464AB1">
        <w:t>control</w:t>
      </w:r>
      <w:proofErr w:type="spellEnd"/>
      <w:r w:rsidRPr="00464AB1">
        <w:t xml:space="preserve">-box) eine Kommunikation zum Fahrzeug und überwacht die Funktion des Schutzleiters. Diese Ladebetriebsart spiegelt sich durch das, meist dem Fahrzeug beiliegende Not-Ladekabel </w:t>
      </w:r>
      <w:proofErr w:type="gramStart"/>
      <w:r w:rsidRPr="00464AB1">
        <w:t>wieder</w:t>
      </w:r>
      <w:proofErr w:type="gramEnd"/>
      <w:r w:rsidRPr="00464AB1">
        <w:t xml:space="preserve">. </w:t>
      </w:r>
    </w:p>
    <w:p w14:paraId="17682465" w14:textId="55C55AC3" w:rsidR="00B71778" w:rsidRDefault="00E96A61" w:rsidP="00B71778">
      <w:pPr>
        <w:tabs>
          <w:tab w:val="left" w:pos="6075"/>
        </w:tabs>
        <w:ind w:left="66"/>
        <w:jc w:val="both"/>
      </w:pPr>
      <w:r w:rsidRPr="00E96A61">
        <w:rPr>
          <w:noProof/>
        </w:rPr>
        <w:drawing>
          <wp:anchor distT="0" distB="0" distL="114300" distR="114300" simplePos="0" relativeHeight="251658240" behindDoc="0" locked="0" layoutInCell="1" allowOverlap="1" wp14:anchorId="6DDC2657" wp14:editId="68EB9F9B">
            <wp:simplePos x="0" y="0"/>
            <wp:positionH relativeFrom="column">
              <wp:posOffset>4801384</wp:posOffset>
            </wp:positionH>
            <wp:positionV relativeFrom="paragraph">
              <wp:posOffset>100330</wp:posOffset>
            </wp:positionV>
            <wp:extent cx="1113155" cy="2133600"/>
            <wp:effectExtent l="0" t="0" r="4445" b="0"/>
            <wp:wrapSquare wrapText="bothSides"/>
            <wp:docPr id="1" name="Grafik 1" descr="Kategoriebild 1 | Hager Tehalit XEV65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egoriebild 1 | Hager Tehalit XEV653C"/>
                    <pic:cNvPicPr>
                      <a:picLocks noChangeAspect="1" noChangeArrowheads="1"/>
                    </pic:cNvPicPr>
                  </pic:nvPicPr>
                  <pic:blipFill rotWithShape="1">
                    <a:blip r:embed="rId11">
                      <a:extLst>
                        <a:ext uri="{28A0092B-C50C-407E-A947-70E740481C1C}">
                          <a14:useLocalDpi xmlns:a14="http://schemas.microsoft.com/office/drawing/2010/main" val="0"/>
                        </a:ext>
                      </a:extLst>
                    </a:blip>
                    <a:srcRect r="47817"/>
                    <a:stretch/>
                  </pic:blipFill>
                  <pic:spPr bwMode="auto">
                    <a:xfrm>
                      <a:off x="0" y="0"/>
                      <a:ext cx="1113155" cy="213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F49DB6" w14:textId="23EB91EE" w:rsidR="00B71778" w:rsidRDefault="00464AB1" w:rsidP="000C1A3C">
      <w:pPr>
        <w:tabs>
          <w:tab w:val="left" w:pos="6075"/>
        </w:tabs>
        <w:ind w:left="66"/>
        <w:jc w:val="both"/>
      </w:pPr>
      <w:r w:rsidRPr="00464AB1">
        <w:t>Diese beiden Ladebetriebsarten stellen für den verwendeten Stromkreis eine zum Teil enorme Belastung dar, da hier die Ladeströme bei bis zu 16 A einphasig liegen und diese über mehrere Stunden fließen. Die bestehende Gebäudeinstallation ist oftmals für diese Belastung nicht ausgelegt und es entsteht somit akute Brandgefahr.</w:t>
      </w:r>
    </w:p>
    <w:p w14:paraId="7D126792" w14:textId="11D876E0" w:rsidR="00E96A61" w:rsidRPr="00464AB1" w:rsidRDefault="00E96A61" w:rsidP="000C1A3C">
      <w:pPr>
        <w:tabs>
          <w:tab w:val="left" w:pos="6075"/>
        </w:tabs>
        <w:ind w:left="66"/>
        <w:jc w:val="both"/>
      </w:pPr>
    </w:p>
    <w:p w14:paraId="0D4E3993" w14:textId="5A34C44E" w:rsidR="00464AB1" w:rsidRPr="00464AB1" w:rsidRDefault="00E96A61" w:rsidP="00B71778">
      <w:pPr>
        <w:pStyle w:val="Listenabsatz"/>
        <w:numPr>
          <w:ilvl w:val="0"/>
          <w:numId w:val="12"/>
        </w:numPr>
        <w:tabs>
          <w:tab w:val="left" w:pos="6075"/>
        </w:tabs>
        <w:ind w:left="426"/>
        <w:jc w:val="both"/>
      </w:pPr>
      <w:r>
        <w:rPr>
          <w:noProof/>
          <w:color w:val="000000" w:themeColor="text1"/>
        </w:rPr>
        <mc:AlternateContent>
          <mc:Choice Requires="wps">
            <w:drawing>
              <wp:anchor distT="0" distB="0" distL="114300" distR="114300" simplePos="0" relativeHeight="251660288" behindDoc="0" locked="0" layoutInCell="1" allowOverlap="1" wp14:anchorId="0C4D85FE" wp14:editId="4D17AE98">
                <wp:simplePos x="0" y="0"/>
                <wp:positionH relativeFrom="column">
                  <wp:posOffset>5189220</wp:posOffset>
                </wp:positionH>
                <wp:positionV relativeFrom="paragraph">
                  <wp:posOffset>41275</wp:posOffset>
                </wp:positionV>
                <wp:extent cx="1675765" cy="233045"/>
                <wp:effectExtent l="0" t="2540" r="10795" b="10795"/>
                <wp:wrapNone/>
                <wp:docPr id="2" name="Textfeld 2"/>
                <wp:cNvGraphicFramePr/>
                <a:graphic xmlns:a="http://schemas.openxmlformats.org/drawingml/2006/main">
                  <a:graphicData uri="http://schemas.microsoft.com/office/word/2010/wordprocessingShape">
                    <wps:wsp>
                      <wps:cNvSpPr txBox="1"/>
                      <wps:spPr>
                        <a:xfrm rot="16200000">
                          <a:off x="0" y="0"/>
                          <a:ext cx="1675765" cy="233045"/>
                        </a:xfrm>
                        <a:prstGeom prst="rect">
                          <a:avLst/>
                        </a:prstGeom>
                        <a:solidFill>
                          <a:schemeClr val="lt1"/>
                        </a:solidFill>
                        <a:ln w="6350">
                          <a:solidFill>
                            <a:schemeClr val="bg1"/>
                          </a:solidFill>
                        </a:ln>
                      </wps:spPr>
                      <wps:txbx>
                        <w:txbxContent>
                          <w:p w14:paraId="7B57D833" w14:textId="734F76F5" w:rsidR="00E96A61" w:rsidRPr="006D712A" w:rsidRDefault="00E96A61" w:rsidP="00E96A61">
                            <w:pPr>
                              <w:jc w:val="center"/>
                              <w:rPr>
                                <w:sz w:val="12"/>
                                <w:szCs w:val="12"/>
                              </w:rPr>
                            </w:pPr>
                            <w:r>
                              <w:rPr>
                                <w:sz w:val="12"/>
                                <w:szCs w:val="12"/>
                              </w:rPr>
                              <w:t>22 kW Ladesäule</w:t>
                            </w:r>
                            <w:r w:rsidRPr="006D712A">
                              <w:rPr>
                                <w:sz w:val="12"/>
                                <w:szCs w:val="12"/>
                              </w:rPr>
                              <w:t xml:space="preserve"> (Quelle www.hager.com)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D85FE" id="_x0000_t202" coordsize="21600,21600" o:spt="202" path="m,l,21600r21600,l21600,xe">
                <v:stroke joinstyle="miter"/>
                <v:path gradientshapeok="t" o:connecttype="rect"/>
              </v:shapetype>
              <v:shape id="Textfeld 2" o:spid="_x0000_s1026" type="#_x0000_t202" style="position:absolute;left:0;text-align:left;margin-left:408.6pt;margin-top:3.25pt;width:131.95pt;height:18.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" fillcolor="white [3201]" strokecolor="white [3212]" strokeweight=".5pt">
                <v:textbox>
                  <w:txbxContent>
                    <w:p w14:paraId="7B57D833" w14:textId="734F76F5" w:rsidR="00E96A61" w:rsidRPr="006D712A" w:rsidRDefault="00E96A61" w:rsidP="00E96A61">
                      <w:pPr>
                        <w:jc w:val="center"/>
                        <w:rPr>
                          <w:sz w:val="12"/>
                          <w:szCs w:val="12"/>
                        </w:rPr>
                      </w:pPr>
                      <w:r>
                        <w:rPr>
                          <w:sz w:val="12"/>
                          <w:szCs w:val="12"/>
                        </w:rPr>
                        <w:t>22 kW Ladesäule</w:t>
                      </w:r>
                      <w:r w:rsidRPr="006D712A">
                        <w:rPr>
                          <w:sz w:val="12"/>
                          <w:szCs w:val="12"/>
                        </w:rPr>
                        <w:t xml:space="preserve"> (Quelle www.hager.com)</w:t>
                      </w:r>
                    </w:p>
                  </w:txbxContent>
                </v:textbox>
              </v:shape>
            </w:pict>
          </mc:Fallback>
        </mc:AlternateContent>
      </w:r>
      <w:r w:rsidR="00464AB1" w:rsidRPr="00464AB1">
        <w:rPr>
          <w:b/>
          <w:bCs/>
        </w:rPr>
        <w:t>Ladebetriebsart 3</w:t>
      </w:r>
      <w:r w:rsidR="00464AB1" w:rsidRPr="00464AB1">
        <w:t xml:space="preserve"> kommt zum Tragen bei Verwendung einer klassischen Ladesäule oder Wallbox. Diese gibt es in den verschiedenen Größenordnungen von 7,4 kW – 50 kW AC.</w:t>
      </w:r>
    </w:p>
    <w:p w14:paraId="31B7C9B9" w14:textId="103C2BAA" w:rsidR="00E96A61" w:rsidRPr="00E96A61" w:rsidRDefault="00464AB1" w:rsidP="00E96A61">
      <w:pPr>
        <w:pStyle w:val="Listenabsatz"/>
        <w:numPr>
          <w:ilvl w:val="0"/>
          <w:numId w:val="12"/>
        </w:numPr>
        <w:tabs>
          <w:tab w:val="left" w:pos="6075"/>
        </w:tabs>
        <w:ind w:left="426"/>
        <w:jc w:val="both"/>
      </w:pPr>
      <w:r w:rsidRPr="00464AB1">
        <w:rPr>
          <w:b/>
          <w:bCs/>
        </w:rPr>
        <w:t>Ladebetriebsart 4</w:t>
      </w:r>
      <w:r w:rsidRPr="00464AB1">
        <w:t>, bei dieser ist der benötigte Laderegler nicht im Fahrzeug verbaut, sondern in der Ladesäule. Hier spricht man von den sogenannten DC-Ladesäulen, deren Ladeleistung bis zu 200 kW DC betragen kann.</w:t>
      </w:r>
      <w:r w:rsidR="00E96A61" w:rsidRPr="00E96A61">
        <w:rPr>
          <w:rFonts w:ascii="Times New Roman" w:hAnsi="Times New Roman" w:cs="Times New Roman"/>
          <w:sz w:val="24"/>
          <w:szCs w:val="24"/>
        </w:rPr>
        <w:fldChar w:fldCharType="begin"/>
      </w:r>
      <w:r w:rsidR="00E96A61" w:rsidRPr="00E96A61">
        <w:rPr>
          <w:rFonts w:ascii="Times New Roman" w:hAnsi="Times New Roman" w:cs="Times New Roman"/>
          <w:sz w:val="24"/>
          <w:szCs w:val="24"/>
        </w:rPr>
        <w:instrText xml:space="preserve"> INCLUDEPICTURE "/var/folders/zn/g9kdt3xs7dzf6vnyw42cbkzm0000gn/T/com.microsoft.Word/WebArchiveCopyPasteTempFiles/303834_41.jpg" \* MERGEFORMATINET </w:instrText>
      </w:r>
      <w:r w:rsidR="00E96A61" w:rsidRPr="00E96A61">
        <w:rPr>
          <w:rFonts w:ascii="Times New Roman" w:hAnsi="Times New Roman" w:cs="Times New Roman"/>
          <w:sz w:val="24"/>
          <w:szCs w:val="24"/>
        </w:rPr>
        <w:fldChar w:fldCharType="separate"/>
      </w:r>
      <w:r w:rsidR="00E96A61" w:rsidRPr="00E96A61">
        <w:rPr>
          <w:rFonts w:ascii="Times New Roman" w:hAnsi="Times New Roman" w:cs="Times New Roman"/>
          <w:sz w:val="24"/>
          <w:szCs w:val="24"/>
        </w:rPr>
        <w:fldChar w:fldCharType="end"/>
      </w:r>
    </w:p>
    <w:p w14:paraId="02852A8F" w14:textId="6E68346A" w:rsidR="00464AB1" w:rsidRDefault="00464AB1" w:rsidP="00464AB1">
      <w:pPr>
        <w:tabs>
          <w:tab w:val="left" w:pos="6075"/>
        </w:tabs>
        <w:jc w:val="both"/>
      </w:pPr>
      <w:r w:rsidRPr="00464AB1">
        <w:lastRenderedPageBreak/>
        <w:t>Bei den Ladebetriebsarten 3</w:t>
      </w:r>
      <w:r w:rsidR="00B71778">
        <w:t xml:space="preserve"> und </w:t>
      </w:r>
      <w:r w:rsidRPr="00464AB1">
        <w:t>4 herrscht eine ständige Kommunikation und Überwachung des Ladeprozess zwischen dem Fahrzeug und der Ladesäule. In der VDE 0100-722 werden klare Forderungen an die Stromversorgung von Elektrofahrzeugen gestellt</w:t>
      </w:r>
      <w:r w:rsidR="00E96A61">
        <w:t xml:space="preserve">, Des </w:t>
      </w:r>
      <w:proofErr w:type="spellStart"/>
      <w:r w:rsidR="00E96A61">
        <w:t>Weiteren</w:t>
      </w:r>
      <w:proofErr w:type="spellEnd"/>
      <w:r w:rsidR="00E96A61">
        <w:t xml:space="preserve"> gelten für die</w:t>
      </w:r>
      <w:r w:rsidRPr="00464AB1">
        <w:t xml:space="preserve"> Ladebetriebsarten 3 und 4 </w:t>
      </w:r>
      <w:r w:rsidR="00E96A61">
        <w:t>zusätzliche</w:t>
      </w:r>
      <w:r w:rsidR="00B71778">
        <w:t xml:space="preserve"> Anforderungen </w:t>
      </w:r>
      <w:r w:rsidRPr="00464AB1">
        <w:t>aus der VDE AR-N 4100:</w:t>
      </w:r>
    </w:p>
    <w:p w14:paraId="1F55EB16" w14:textId="77777777" w:rsidR="00E96A61" w:rsidRPr="00464AB1" w:rsidRDefault="00E96A61" w:rsidP="00464AB1">
      <w:pPr>
        <w:tabs>
          <w:tab w:val="left" w:pos="6075"/>
        </w:tabs>
        <w:jc w:val="both"/>
      </w:pPr>
    </w:p>
    <w:p w14:paraId="49BE6C1E" w14:textId="77777777" w:rsidR="00464AB1" w:rsidRPr="00464AB1" w:rsidRDefault="00464AB1" w:rsidP="00B71778">
      <w:pPr>
        <w:pStyle w:val="Listenabsatz"/>
        <w:numPr>
          <w:ilvl w:val="0"/>
          <w:numId w:val="13"/>
        </w:numPr>
        <w:tabs>
          <w:tab w:val="left" w:pos="6075"/>
        </w:tabs>
        <w:spacing w:after="0"/>
        <w:ind w:left="426"/>
        <w:jc w:val="both"/>
      </w:pPr>
      <w:r w:rsidRPr="00464AB1">
        <w:t>„</w:t>
      </w:r>
      <w:r w:rsidRPr="00464AB1">
        <w:rPr>
          <w:b/>
          <w:bCs/>
        </w:rPr>
        <w:t>Abs. 4.1</w:t>
      </w:r>
      <w:r w:rsidRPr="00464AB1">
        <w:t xml:space="preserve"> […] </w:t>
      </w:r>
      <w:r w:rsidRPr="00464AB1">
        <w:rPr>
          <w:i/>
          <w:iCs/>
        </w:rPr>
        <w:t>Ladeeinrichtungen für Elektrofahrzeuge mit Bemessungsleistung ≥ 3,6 kVA sowie alle elektrischen Speicher sind beim Netzbetreiber anzumelden.“</w:t>
      </w:r>
      <w:r w:rsidRPr="00464AB1">
        <w:t xml:space="preserve"> </w:t>
      </w:r>
    </w:p>
    <w:p w14:paraId="12F328C7" w14:textId="4A6AC530" w:rsidR="00464AB1" w:rsidRPr="00B71778" w:rsidRDefault="00464AB1" w:rsidP="00B71778">
      <w:pPr>
        <w:pStyle w:val="Listenabsatz"/>
        <w:numPr>
          <w:ilvl w:val="0"/>
          <w:numId w:val="13"/>
        </w:numPr>
        <w:tabs>
          <w:tab w:val="left" w:pos="6075"/>
        </w:tabs>
        <w:spacing w:after="0"/>
        <w:ind w:left="426"/>
        <w:jc w:val="both"/>
        <w:rPr>
          <w:i/>
          <w:iCs/>
        </w:rPr>
      </w:pPr>
      <w:r w:rsidRPr="00464AB1">
        <w:t>„</w:t>
      </w:r>
      <w:r w:rsidRPr="00464AB1">
        <w:rPr>
          <w:b/>
          <w:bCs/>
        </w:rPr>
        <w:t>Abs</w:t>
      </w:r>
      <w:r w:rsidRPr="00464AB1">
        <w:t xml:space="preserve">. </w:t>
      </w:r>
      <w:r w:rsidRPr="00464AB1">
        <w:rPr>
          <w:b/>
          <w:bCs/>
        </w:rPr>
        <w:t xml:space="preserve"> 4.1</w:t>
      </w:r>
      <w:r w:rsidRPr="00464AB1">
        <w:t xml:space="preserve"> […] </w:t>
      </w:r>
      <w:r w:rsidRPr="00464AB1">
        <w:rPr>
          <w:i/>
          <w:iCs/>
        </w:rPr>
        <w:t xml:space="preserve">Aus den im ersten Absatz genannten Gründen bedarf der Anschluss folgender Anlagen und elektrischer Verbrauchsmittel der vorherigen Beurteilung und Zustimmung des Netzbetreibers: […] </w:t>
      </w:r>
      <w:r w:rsidRPr="00B71778">
        <w:rPr>
          <w:i/>
          <w:iCs/>
        </w:rPr>
        <w:t>Ladeeinrichtungen für Elektrofahrzeuge, wenn deren Summen-Bemessungsleistung 12 kVA je Kundenanlage überschreitet…“</w:t>
      </w:r>
    </w:p>
    <w:p w14:paraId="1570248D" w14:textId="1F9D62B0" w:rsidR="00464AB1" w:rsidRDefault="00464AB1" w:rsidP="00464AB1">
      <w:pPr>
        <w:tabs>
          <w:tab w:val="left" w:pos="6075"/>
        </w:tabs>
        <w:jc w:val="both"/>
        <w:rPr>
          <w:i/>
          <w:iCs/>
        </w:rPr>
      </w:pPr>
    </w:p>
    <w:p w14:paraId="494C3F26" w14:textId="77777777" w:rsidR="00B71778" w:rsidRPr="00464AB1" w:rsidRDefault="00B71778" w:rsidP="00B71778">
      <w:pPr>
        <w:tabs>
          <w:tab w:val="left" w:pos="6075"/>
        </w:tabs>
        <w:jc w:val="both"/>
      </w:pPr>
      <w:r w:rsidRPr="00464AB1">
        <w:t>Es gilt also sich vorab Gedanken zu machen, für welche Ladeleistung und für welche Ladebetriebsart man sich entscheidet. Klar zu bevorzugen sind hier die Ladebetriebsarten 3 und 4. Die Anschlussleitungen für die Ladebetriebsart 1 und 2 sind als Not-Ladekabel betitelt und sollten auch nur im Notfall genutzt werden.</w:t>
      </w:r>
    </w:p>
    <w:p w14:paraId="326434D9" w14:textId="13630AAB" w:rsidR="00B71778" w:rsidRDefault="00B71778" w:rsidP="00464AB1">
      <w:pPr>
        <w:tabs>
          <w:tab w:val="left" w:pos="6075"/>
        </w:tabs>
        <w:jc w:val="both"/>
        <w:rPr>
          <w:i/>
          <w:iCs/>
        </w:rPr>
      </w:pPr>
    </w:p>
    <w:p w14:paraId="599D03E8" w14:textId="793E382C" w:rsidR="000C1A3C" w:rsidRDefault="000C1A3C" w:rsidP="000C1A3C">
      <w:pPr>
        <w:autoSpaceDE w:val="0"/>
        <w:autoSpaceDN w:val="0"/>
        <w:adjustRightInd w:val="0"/>
        <w:jc w:val="both"/>
        <w:rPr>
          <w:b/>
          <w:bCs/>
        </w:rPr>
      </w:pPr>
      <w:r w:rsidRPr="000C1A3C">
        <w:rPr>
          <w:b/>
          <w:bCs/>
        </w:rPr>
        <w:t>Planung</w:t>
      </w:r>
    </w:p>
    <w:p w14:paraId="62FDD62F" w14:textId="77777777" w:rsidR="000C1A3C" w:rsidRPr="000C1A3C" w:rsidRDefault="000C1A3C" w:rsidP="000C1A3C">
      <w:pPr>
        <w:autoSpaceDE w:val="0"/>
        <w:autoSpaceDN w:val="0"/>
        <w:adjustRightInd w:val="0"/>
        <w:jc w:val="both"/>
        <w:rPr>
          <w:b/>
          <w:bCs/>
        </w:rPr>
      </w:pPr>
    </w:p>
    <w:p w14:paraId="77928C4F" w14:textId="2EAFC8A9" w:rsidR="00464AB1" w:rsidRDefault="00464AB1" w:rsidP="00464AB1">
      <w:pPr>
        <w:autoSpaceDE w:val="0"/>
        <w:autoSpaceDN w:val="0"/>
        <w:adjustRightInd w:val="0"/>
        <w:jc w:val="both"/>
      </w:pPr>
      <w:r w:rsidRPr="00464AB1">
        <w:t xml:space="preserve">Bei der Errichtung einer Ladeeinrichtung kommen für uns verschiedene Normen und Richtlinien zum Tragen. Zum einen haben wir aus der VDE 0100-722 eine klare Forderung, dass der Gleichzeitigkeitsfaktor als </w:t>
      </w:r>
      <w:r w:rsidRPr="00464AB1">
        <w:rPr>
          <w:b/>
          <w:bCs/>
        </w:rPr>
        <w:t>1</w:t>
      </w:r>
      <w:r w:rsidRPr="00464AB1">
        <w:t xml:space="preserve"> angenommen werden muss. Ebenso geht aus dieser Norm hervor, dass:</w:t>
      </w:r>
    </w:p>
    <w:p w14:paraId="28B1C281" w14:textId="77777777" w:rsidR="00E96A61" w:rsidRPr="00464AB1" w:rsidRDefault="00E96A61" w:rsidP="00464AB1">
      <w:pPr>
        <w:autoSpaceDE w:val="0"/>
        <w:autoSpaceDN w:val="0"/>
        <w:adjustRightInd w:val="0"/>
        <w:jc w:val="both"/>
      </w:pPr>
    </w:p>
    <w:p w14:paraId="4C1DA617" w14:textId="77777777" w:rsidR="00464AB1" w:rsidRPr="00464AB1" w:rsidRDefault="00464AB1" w:rsidP="00B71778">
      <w:pPr>
        <w:pStyle w:val="Listenabsatz"/>
        <w:numPr>
          <w:ilvl w:val="0"/>
          <w:numId w:val="14"/>
        </w:numPr>
        <w:autoSpaceDE w:val="0"/>
        <w:autoSpaceDN w:val="0"/>
        <w:adjustRightInd w:val="0"/>
        <w:spacing w:after="0"/>
        <w:ind w:left="426"/>
        <w:jc w:val="both"/>
        <w:rPr>
          <w:color w:val="000000"/>
        </w:rPr>
      </w:pPr>
      <w:r w:rsidRPr="00464AB1">
        <w:t>„</w:t>
      </w:r>
      <w:r w:rsidRPr="00464AB1">
        <w:rPr>
          <w:b/>
          <w:bCs/>
        </w:rPr>
        <w:t>722.533.101</w:t>
      </w:r>
      <w:r w:rsidRPr="00464AB1">
        <w:t xml:space="preserve"> […] </w:t>
      </w:r>
      <w:r w:rsidRPr="00464AB1">
        <w:rPr>
          <w:i/>
          <w:iCs/>
        </w:rPr>
        <w:t xml:space="preserve">jeder Anschlusspunkt durch einen eigenen Endstromkreis versorgt … werden“ </w:t>
      </w:r>
    </w:p>
    <w:p w14:paraId="5A8AD3F1" w14:textId="10D4677C" w:rsidR="00464AB1" w:rsidRPr="00464AB1" w:rsidRDefault="00464AB1" w:rsidP="00B71778">
      <w:pPr>
        <w:pStyle w:val="Listenabsatz"/>
        <w:numPr>
          <w:ilvl w:val="0"/>
          <w:numId w:val="14"/>
        </w:numPr>
        <w:autoSpaceDE w:val="0"/>
        <w:autoSpaceDN w:val="0"/>
        <w:adjustRightInd w:val="0"/>
        <w:spacing w:after="0"/>
        <w:ind w:left="426"/>
        <w:jc w:val="both"/>
        <w:rPr>
          <w:color w:val="000000"/>
        </w:rPr>
      </w:pPr>
      <w:r w:rsidRPr="00464AB1">
        <w:t>„</w:t>
      </w:r>
      <w:r w:rsidRPr="00464AB1">
        <w:rPr>
          <w:b/>
          <w:bCs/>
        </w:rPr>
        <w:t>722.411.3.3</w:t>
      </w:r>
      <w:r w:rsidRPr="00464AB1">
        <w:t xml:space="preserve"> </w:t>
      </w:r>
      <w:r w:rsidRPr="00464AB1">
        <w:rPr>
          <w:i/>
          <w:iCs/>
        </w:rPr>
        <w:t>Jeder AC-Anschlusspunkt muss mit einer separaten Fehlerstrom-Schutzeinrichtung (RCD) mit einem Bemessungsdifferenzstrom ≤ 30 mA geschützt sein.“</w:t>
      </w:r>
      <w:r w:rsidRPr="00464AB1">
        <w:t xml:space="preserve"> </w:t>
      </w:r>
    </w:p>
    <w:p w14:paraId="1AF19F71" w14:textId="77777777" w:rsidR="00464AB1" w:rsidRPr="00464AB1" w:rsidRDefault="00464AB1" w:rsidP="00464AB1">
      <w:pPr>
        <w:pStyle w:val="Listenabsatz"/>
        <w:autoSpaceDE w:val="0"/>
        <w:autoSpaceDN w:val="0"/>
        <w:adjustRightInd w:val="0"/>
        <w:ind w:left="709"/>
        <w:jc w:val="both"/>
        <w:rPr>
          <w:color w:val="000000"/>
        </w:rPr>
      </w:pPr>
    </w:p>
    <w:p w14:paraId="119CA182" w14:textId="467F90CD" w:rsidR="00464AB1" w:rsidRDefault="00464AB1" w:rsidP="00464AB1">
      <w:pPr>
        <w:autoSpaceDE w:val="0"/>
        <w:autoSpaceDN w:val="0"/>
        <w:adjustRightInd w:val="0"/>
        <w:jc w:val="both"/>
      </w:pPr>
      <w:r w:rsidRPr="00464AB1">
        <w:t xml:space="preserve">Bei den Fehlerstromschutzeinrichtungen gilt zu beachten, dass hier ein Typ A eventuell keinen ausreichend Schutz gegen auftretende Gleichfehlerströme bieten kann. Daher fordert die </w:t>
      </w:r>
      <w:r w:rsidRPr="00464AB1">
        <w:rPr>
          <w:b/>
          <w:bCs/>
        </w:rPr>
        <w:t xml:space="preserve">VDE 0100-722 </w:t>
      </w:r>
      <w:r w:rsidRPr="00464AB1">
        <w:t>in Abs.</w:t>
      </w:r>
      <w:r w:rsidRPr="00464AB1">
        <w:rPr>
          <w:b/>
          <w:bCs/>
        </w:rPr>
        <w:t xml:space="preserve"> 722.532.3.101</w:t>
      </w:r>
      <w:r w:rsidRPr="00464AB1">
        <w:t xml:space="preserve"> </w:t>
      </w:r>
    </w:p>
    <w:p w14:paraId="26E2DC52" w14:textId="77777777" w:rsidR="00E96A61" w:rsidRPr="00464AB1" w:rsidRDefault="00E96A61" w:rsidP="00464AB1">
      <w:pPr>
        <w:autoSpaceDE w:val="0"/>
        <w:autoSpaceDN w:val="0"/>
        <w:adjustRightInd w:val="0"/>
        <w:jc w:val="both"/>
      </w:pPr>
    </w:p>
    <w:p w14:paraId="243BD481" w14:textId="437991C3" w:rsidR="00B71778" w:rsidRPr="000C1A3C" w:rsidRDefault="00464AB1" w:rsidP="000C1A3C">
      <w:pPr>
        <w:pStyle w:val="Listenabsatz"/>
        <w:numPr>
          <w:ilvl w:val="0"/>
          <w:numId w:val="15"/>
        </w:numPr>
        <w:autoSpaceDE w:val="0"/>
        <w:autoSpaceDN w:val="0"/>
        <w:adjustRightInd w:val="0"/>
        <w:spacing w:after="0"/>
        <w:ind w:left="426"/>
        <w:jc w:val="both"/>
        <w:rPr>
          <w:i/>
          <w:iCs/>
          <w:color w:val="000000"/>
        </w:rPr>
      </w:pPr>
      <w:r w:rsidRPr="00464AB1">
        <w:rPr>
          <w:i/>
          <w:iCs/>
        </w:rPr>
        <w:t>„</w:t>
      </w:r>
      <w:r w:rsidRPr="00464AB1">
        <w:rPr>
          <w:i/>
          <w:iCs/>
          <w:color w:val="000000"/>
        </w:rPr>
        <w:t>Wenn die EV-Ladestation mit einer Steckdose oder Fahrzeugkupplung nach der Normenreihe EN 62196 (VDE 0623) ausgestattet ist, müssen Schutzvorkehrungen gegen Gleichfehlerströme vorgesehen werden, es sei denn, diese sind in die EV-Ladestation integriert. Geeignete Vorkehrungen für jeden Anschlusspunkt sind Folgende:</w:t>
      </w:r>
    </w:p>
    <w:p w14:paraId="3BF92C4F" w14:textId="77777777" w:rsidR="00B71778" w:rsidRDefault="00464AB1" w:rsidP="00B71778">
      <w:pPr>
        <w:pStyle w:val="Listenabsatz"/>
        <w:numPr>
          <w:ilvl w:val="1"/>
          <w:numId w:val="16"/>
        </w:numPr>
        <w:autoSpaceDE w:val="0"/>
        <w:autoSpaceDN w:val="0"/>
        <w:adjustRightInd w:val="0"/>
        <w:spacing w:after="0"/>
        <w:ind w:left="851"/>
        <w:jc w:val="both"/>
        <w:rPr>
          <w:i/>
          <w:iCs/>
          <w:color w:val="000000"/>
        </w:rPr>
      </w:pPr>
      <w:r w:rsidRPr="00B71778">
        <w:rPr>
          <w:i/>
          <w:iCs/>
          <w:color w:val="000000"/>
        </w:rPr>
        <w:t>der Einsatz einer Fehlerstrom-Schutzeinrichtung (RCD) vom Typ B oder</w:t>
      </w:r>
    </w:p>
    <w:p w14:paraId="1F753A3D" w14:textId="19D28306" w:rsidR="00464AB1" w:rsidRPr="00B71778" w:rsidRDefault="00464AB1" w:rsidP="00B71778">
      <w:pPr>
        <w:pStyle w:val="Listenabsatz"/>
        <w:numPr>
          <w:ilvl w:val="1"/>
          <w:numId w:val="16"/>
        </w:numPr>
        <w:autoSpaceDE w:val="0"/>
        <w:autoSpaceDN w:val="0"/>
        <w:adjustRightInd w:val="0"/>
        <w:spacing w:after="0"/>
        <w:ind w:left="851"/>
        <w:jc w:val="both"/>
        <w:rPr>
          <w:i/>
          <w:iCs/>
          <w:color w:val="000000"/>
        </w:rPr>
      </w:pPr>
      <w:r w:rsidRPr="00B71778">
        <w:rPr>
          <w:i/>
          <w:iCs/>
          <w:color w:val="000000"/>
        </w:rPr>
        <w:t>der Einsatz einer Fehlerstrom-Schutzeinrichtung (RCD) vom Typ A oder Typ F in Verbindung mit einer Fehlergleichstrom-Überwachungseinrichtung (RDC-DD) in Übereinstimmung mit IEC 62955 (VDE 0666-20).“</w:t>
      </w:r>
      <w:r w:rsidRPr="00B71778">
        <w:rPr>
          <w:color w:val="000000"/>
        </w:rPr>
        <w:t xml:space="preserve"> </w:t>
      </w:r>
    </w:p>
    <w:p w14:paraId="6F47EBCE" w14:textId="77777777" w:rsidR="00464AB1" w:rsidRPr="00464AB1" w:rsidRDefault="00464AB1" w:rsidP="00464AB1">
      <w:pPr>
        <w:autoSpaceDE w:val="0"/>
        <w:autoSpaceDN w:val="0"/>
        <w:adjustRightInd w:val="0"/>
        <w:ind w:left="709"/>
        <w:jc w:val="both"/>
        <w:rPr>
          <w:color w:val="000000"/>
        </w:rPr>
      </w:pPr>
    </w:p>
    <w:p w14:paraId="352E4023" w14:textId="41C31797" w:rsidR="00464AB1" w:rsidRPr="00464AB1" w:rsidRDefault="00464AB1" w:rsidP="00464AB1">
      <w:pPr>
        <w:autoSpaceDE w:val="0"/>
        <w:autoSpaceDN w:val="0"/>
        <w:adjustRightInd w:val="0"/>
        <w:jc w:val="both"/>
      </w:pPr>
      <w:r w:rsidRPr="00464AB1">
        <w:t xml:space="preserve">Hier gilt es also besonders auf die Koordination der </w:t>
      </w:r>
      <w:proofErr w:type="spellStart"/>
      <w:proofErr w:type="gramStart"/>
      <w:r w:rsidRPr="00464AB1">
        <w:t>RCD´s</w:t>
      </w:r>
      <w:proofErr w:type="spellEnd"/>
      <w:proofErr w:type="gramEnd"/>
      <w:r w:rsidRPr="00464AB1">
        <w:t xml:space="preserve"> der gesamten elektrischen Anlage zu achten.</w:t>
      </w:r>
    </w:p>
    <w:p w14:paraId="4A5F53C2" w14:textId="1148D5E8" w:rsidR="00464AB1" w:rsidRPr="00464AB1" w:rsidRDefault="00464AB1" w:rsidP="00464AB1">
      <w:pPr>
        <w:autoSpaceDE w:val="0"/>
        <w:autoSpaceDN w:val="0"/>
        <w:adjustRightInd w:val="0"/>
        <w:jc w:val="both"/>
      </w:pPr>
    </w:p>
    <w:p w14:paraId="198116F2" w14:textId="77777777" w:rsidR="00E96A61" w:rsidRDefault="00E96A61" w:rsidP="00464AB1">
      <w:pPr>
        <w:tabs>
          <w:tab w:val="left" w:pos="6075"/>
        </w:tabs>
        <w:jc w:val="both"/>
      </w:pPr>
      <w:r>
        <w:br w:type="page"/>
      </w:r>
    </w:p>
    <w:p w14:paraId="461D1989" w14:textId="52BC366F" w:rsidR="00464AB1" w:rsidRPr="00464AB1" w:rsidRDefault="00464AB1" w:rsidP="00464AB1">
      <w:pPr>
        <w:tabs>
          <w:tab w:val="left" w:pos="6075"/>
        </w:tabs>
        <w:jc w:val="both"/>
      </w:pPr>
      <w:r w:rsidRPr="00464AB1">
        <w:lastRenderedPageBreak/>
        <w:t xml:space="preserve">Die </w:t>
      </w:r>
      <w:r w:rsidRPr="00464AB1">
        <w:rPr>
          <w:b/>
          <w:bCs/>
        </w:rPr>
        <w:t>VDI-Richtlinie 2166 Blatt 2</w:t>
      </w:r>
      <w:r w:rsidRPr="00464AB1">
        <w:t xml:space="preserve"> fasst viele dieser Forderungen aus den vorher genannten VDE-Vorschriften etwas zusammen und ergänzt diese um weitere Aspekte. In dieser Richtline ist nicht nur der elektrotechnische Aspekt berücksichtigt, sondern gibt auch Hinweise und Empfehlungen auf rechtliche und bauliche Aspekte. Hier finden sich Hinweise auf die Gestaltung der Parkflächen für Ladeeinrichtungen, die Beschilderung und Beleuchtung dieser gesonderten Parkflächen.</w:t>
      </w:r>
    </w:p>
    <w:p w14:paraId="6569715D" w14:textId="29D9BCFC" w:rsidR="00464AB1" w:rsidRDefault="00464AB1" w:rsidP="00464AB1">
      <w:pPr>
        <w:tabs>
          <w:tab w:val="left" w:pos="6075"/>
        </w:tabs>
        <w:jc w:val="both"/>
      </w:pPr>
    </w:p>
    <w:p w14:paraId="0BE23C88" w14:textId="136E104B" w:rsidR="000C1A3C" w:rsidRPr="00464AB1" w:rsidRDefault="000C1A3C" w:rsidP="000C1A3C">
      <w:pPr>
        <w:tabs>
          <w:tab w:val="left" w:pos="6075"/>
        </w:tabs>
        <w:jc w:val="both"/>
      </w:pPr>
      <w:r w:rsidRPr="00464AB1">
        <w:t xml:space="preserve">Die </w:t>
      </w:r>
      <w:r w:rsidRPr="00464AB1">
        <w:rPr>
          <w:b/>
          <w:bCs/>
        </w:rPr>
        <w:t xml:space="preserve">Ladesäulenverordnung (LSV) </w:t>
      </w:r>
      <w:r w:rsidRPr="00464AB1">
        <w:t xml:space="preserve">kommt bei der Planung zum Tragen, wenn es sich beim Aufstellort um einen öffentlichen oder halb-öffentlichen Bereich geht. Im </w:t>
      </w:r>
      <w:r w:rsidRPr="00464AB1">
        <w:rPr>
          <w:b/>
          <w:bCs/>
        </w:rPr>
        <w:t>§ 1 Anwendungsbereich</w:t>
      </w:r>
      <w:r w:rsidRPr="00464AB1">
        <w:t xml:space="preserve"> ist dies beschrieben:</w:t>
      </w:r>
    </w:p>
    <w:p w14:paraId="0138F138" w14:textId="77777777" w:rsidR="000C1A3C" w:rsidRPr="00464AB1" w:rsidRDefault="000C1A3C" w:rsidP="000C1A3C">
      <w:pPr>
        <w:tabs>
          <w:tab w:val="left" w:pos="6075"/>
        </w:tabs>
        <w:jc w:val="both"/>
      </w:pPr>
    </w:p>
    <w:p w14:paraId="008AB396" w14:textId="77777777" w:rsidR="000C1A3C" w:rsidRPr="00464AB1" w:rsidRDefault="000C1A3C" w:rsidP="000C1A3C">
      <w:pPr>
        <w:pStyle w:val="Listenabsatz"/>
        <w:numPr>
          <w:ilvl w:val="0"/>
          <w:numId w:val="17"/>
        </w:numPr>
        <w:tabs>
          <w:tab w:val="left" w:pos="6075"/>
        </w:tabs>
        <w:spacing w:after="0"/>
        <w:ind w:left="426"/>
        <w:jc w:val="both"/>
        <w:rPr>
          <w:i/>
          <w:iCs/>
        </w:rPr>
      </w:pPr>
      <w:r w:rsidRPr="00464AB1">
        <w:rPr>
          <w:i/>
          <w:iCs/>
        </w:rPr>
        <w:t>„Diese Verordnung regelt die technischen Mindestanforderungen an den sicheren und interoperablen Aufbau und Betrieb von öffentlich zugänglichen Ladepunkten für Elektromobile sowie weitere Aspekte des Betriebes von Ladepunkten wie Authentifizierung, […]“.</w:t>
      </w:r>
    </w:p>
    <w:p w14:paraId="6418247C" w14:textId="77777777" w:rsidR="000C1A3C" w:rsidRPr="00464AB1" w:rsidRDefault="000C1A3C" w:rsidP="000C1A3C">
      <w:pPr>
        <w:tabs>
          <w:tab w:val="left" w:pos="6075"/>
        </w:tabs>
        <w:jc w:val="both"/>
        <w:rPr>
          <w:i/>
          <w:iCs/>
        </w:rPr>
      </w:pPr>
    </w:p>
    <w:p w14:paraId="0D3C87B8" w14:textId="77777777" w:rsidR="000C1A3C" w:rsidRPr="00464AB1" w:rsidRDefault="000C1A3C" w:rsidP="000C1A3C">
      <w:pPr>
        <w:tabs>
          <w:tab w:val="left" w:pos="6075"/>
        </w:tabs>
        <w:jc w:val="both"/>
      </w:pPr>
      <w:r w:rsidRPr="00464AB1">
        <w:t>Im</w:t>
      </w:r>
      <w:r w:rsidRPr="00464AB1">
        <w:rPr>
          <w:b/>
          <w:bCs/>
        </w:rPr>
        <w:t xml:space="preserve"> § 3 Mindestanforderungen für die technische Sicherheit und Interoperabilität </w:t>
      </w:r>
      <w:r w:rsidRPr="00464AB1">
        <w:t xml:space="preserve">der LSV finden sich technische Anforderungen an die Ausstattung. Hier heißt es im Abs. 1 </w:t>
      </w:r>
    </w:p>
    <w:p w14:paraId="662F60D4" w14:textId="77777777" w:rsidR="000C1A3C" w:rsidRPr="00464AB1" w:rsidRDefault="000C1A3C" w:rsidP="000C1A3C">
      <w:pPr>
        <w:tabs>
          <w:tab w:val="left" w:pos="6075"/>
        </w:tabs>
        <w:jc w:val="both"/>
      </w:pPr>
    </w:p>
    <w:p w14:paraId="42A28DB1" w14:textId="77777777" w:rsidR="000C1A3C" w:rsidRPr="000C1A3C" w:rsidRDefault="000C1A3C" w:rsidP="000C1A3C">
      <w:pPr>
        <w:pStyle w:val="Listenabsatz"/>
        <w:numPr>
          <w:ilvl w:val="0"/>
          <w:numId w:val="17"/>
        </w:numPr>
        <w:tabs>
          <w:tab w:val="left" w:pos="6075"/>
        </w:tabs>
        <w:spacing w:after="0"/>
        <w:ind w:left="426"/>
        <w:jc w:val="both"/>
        <w:rPr>
          <w:i/>
          <w:iCs/>
        </w:rPr>
      </w:pPr>
      <w:r w:rsidRPr="000C1A3C">
        <w:rPr>
          <w:i/>
          <w:iCs/>
        </w:rPr>
        <w:t>„(1) Beim Aufbau von Normalladepunkten, an denen das Wechselstromladen möglich ist, muss aus Gründen der Interoperabilität jeder Ladepunkt mindestens mit Steckdosen oder mit Steckdosen und Fahrzeugkupplungen jeweils des Typs 2 […] ausgerüstet werden.“</w:t>
      </w:r>
    </w:p>
    <w:p w14:paraId="56AA6911" w14:textId="77777777" w:rsidR="000C1A3C" w:rsidRDefault="000C1A3C" w:rsidP="000C1A3C">
      <w:pPr>
        <w:autoSpaceDE w:val="0"/>
        <w:autoSpaceDN w:val="0"/>
        <w:adjustRightInd w:val="0"/>
        <w:jc w:val="both"/>
        <w:rPr>
          <w:b/>
          <w:bCs/>
        </w:rPr>
      </w:pPr>
    </w:p>
    <w:p w14:paraId="2133CC8A" w14:textId="3F0EBFFC" w:rsidR="000C1A3C" w:rsidRDefault="000C1A3C" w:rsidP="000C1A3C">
      <w:pPr>
        <w:autoSpaceDE w:val="0"/>
        <w:autoSpaceDN w:val="0"/>
        <w:adjustRightInd w:val="0"/>
        <w:jc w:val="both"/>
        <w:rPr>
          <w:b/>
          <w:bCs/>
        </w:rPr>
      </w:pPr>
      <w:r w:rsidRPr="000C1A3C">
        <w:rPr>
          <w:b/>
          <w:bCs/>
        </w:rPr>
        <w:t>Prüfung</w:t>
      </w:r>
    </w:p>
    <w:p w14:paraId="33E80A81" w14:textId="0B450A41" w:rsidR="000C1A3C" w:rsidRPr="000C1A3C" w:rsidRDefault="000C1A3C" w:rsidP="000C1A3C">
      <w:pPr>
        <w:autoSpaceDE w:val="0"/>
        <w:autoSpaceDN w:val="0"/>
        <w:adjustRightInd w:val="0"/>
        <w:jc w:val="both"/>
        <w:rPr>
          <w:b/>
          <w:bCs/>
        </w:rPr>
      </w:pPr>
    </w:p>
    <w:p w14:paraId="119EAD05" w14:textId="68202B2E" w:rsidR="00EF243C" w:rsidRPr="00EF243C" w:rsidRDefault="000C1A3C" w:rsidP="00EF243C">
      <w:pPr>
        <w:tabs>
          <w:tab w:val="left" w:pos="6075"/>
        </w:tabs>
        <w:jc w:val="both"/>
      </w:pPr>
      <w:r w:rsidRPr="00464AB1">
        <w:t xml:space="preserve">Die </w:t>
      </w:r>
      <w:r w:rsidRPr="00464AB1">
        <w:rPr>
          <w:b/>
          <w:bCs/>
        </w:rPr>
        <w:t>VDI-Richtlinie 2166 Blatt 2</w:t>
      </w:r>
      <w:r w:rsidRPr="00464AB1">
        <w:t xml:space="preserve"> </w:t>
      </w:r>
      <w:r>
        <w:t>beschreibt unter</w:t>
      </w:r>
      <w:r w:rsidR="00464AB1" w:rsidRPr="00464AB1">
        <w:t xml:space="preserve"> Punkt „9.2.4 Messung“ </w:t>
      </w:r>
      <w:r>
        <w:t xml:space="preserve">auch die Prüfung </w:t>
      </w:r>
      <w:r w:rsidR="00464AB1" w:rsidRPr="00464AB1">
        <w:t xml:space="preserve">nach der Installation. In diesem Abschnitt ist kurz zusammengefasst, das nach der Erstinbetriebnahme nicht nur Messungen nach der </w:t>
      </w:r>
      <w:r w:rsidR="00464AB1" w:rsidRPr="00464AB1">
        <w:rPr>
          <w:b/>
          <w:bCs/>
        </w:rPr>
        <w:t>VDE 0100-600</w:t>
      </w:r>
      <w:r w:rsidR="00464AB1" w:rsidRPr="00464AB1">
        <w:rPr>
          <w:i/>
          <w:iCs/>
        </w:rPr>
        <w:t xml:space="preserve"> „Errichten von Niederspannungsanlagen – Teil 6: Prüfungen“</w:t>
      </w:r>
      <w:r w:rsidR="00464AB1" w:rsidRPr="00464AB1">
        <w:t xml:space="preserve"> durchzuführen sind, sondern auch die unter Punkt „9.2.6 Funktionstest“ der VDI-Richtlinie. Diese betreffen das Prüfen der einzelnen Fahrzeugzustände nach VDE 0122-1.</w:t>
      </w:r>
      <w:r w:rsidR="00EF243C" w:rsidRPr="00EF243C">
        <w:rPr>
          <w:rFonts w:ascii="Times New Roman" w:hAnsi="Times New Roman" w:cs="Times New Roman"/>
          <w:sz w:val="24"/>
          <w:szCs w:val="24"/>
        </w:rPr>
        <w:fldChar w:fldCharType="begin"/>
      </w:r>
      <w:r w:rsidR="00EF243C" w:rsidRPr="00EF243C">
        <w:rPr>
          <w:rFonts w:ascii="Times New Roman" w:hAnsi="Times New Roman" w:cs="Times New Roman"/>
          <w:sz w:val="24"/>
          <w:szCs w:val="24"/>
        </w:rPr>
        <w:instrText xml:space="preserve"> INCLUDEPICTURE "/var/folders/zn/g9kdt3xs7dzf6vnyw42cbkzm0000gn/T/com.microsoft.Word/WebArchiveCopyPasteTempFiles/z525f-adap_metraline-pro-typ-em1_20142.jpg" \* MERGEFORMATINET </w:instrText>
      </w:r>
      <w:r w:rsidR="00EF243C" w:rsidRPr="00EF243C">
        <w:rPr>
          <w:rFonts w:ascii="Times New Roman" w:hAnsi="Times New Roman" w:cs="Times New Roman"/>
          <w:sz w:val="24"/>
          <w:szCs w:val="24"/>
        </w:rPr>
        <w:fldChar w:fldCharType="separate"/>
      </w:r>
      <w:r w:rsidR="00EF243C" w:rsidRPr="00EF243C">
        <w:rPr>
          <w:rFonts w:ascii="Times New Roman" w:hAnsi="Times New Roman" w:cs="Times New Roman"/>
          <w:sz w:val="24"/>
          <w:szCs w:val="24"/>
        </w:rPr>
        <w:fldChar w:fldCharType="end"/>
      </w:r>
    </w:p>
    <w:p w14:paraId="3556E503" w14:textId="352569D7" w:rsidR="00464AB1" w:rsidRPr="00464AB1" w:rsidRDefault="00EF243C" w:rsidP="00464AB1">
      <w:pPr>
        <w:tabs>
          <w:tab w:val="left" w:pos="6075"/>
        </w:tabs>
        <w:jc w:val="both"/>
      </w:pPr>
      <w:r w:rsidRPr="00EF243C">
        <w:rPr>
          <w:rFonts w:ascii="Times New Roman" w:hAnsi="Times New Roman" w:cs="Times New Roman"/>
          <w:noProof/>
          <w:sz w:val="24"/>
          <w:szCs w:val="24"/>
        </w:rPr>
        <w:drawing>
          <wp:anchor distT="0" distB="0" distL="114300" distR="114300" simplePos="0" relativeHeight="251661312" behindDoc="0" locked="0" layoutInCell="1" allowOverlap="1" wp14:anchorId="51930E76" wp14:editId="1726932C">
            <wp:simplePos x="0" y="0"/>
            <wp:positionH relativeFrom="column">
              <wp:posOffset>4558665</wp:posOffset>
            </wp:positionH>
            <wp:positionV relativeFrom="paragraph">
              <wp:posOffset>116168</wp:posOffset>
            </wp:positionV>
            <wp:extent cx="1518285" cy="1604645"/>
            <wp:effectExtent l="0" t="0" r="5715" b="0"/>
            <wp:wrapSquare wrapText="bothSides"/>
            <wp:docPr id="5" name="Grafik 5" descr="Prüfadapter für E-Ladepunkte (1-/3-phasig, Typ 2) für PROFI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üfadapter für E-Ladepunkte (1-/3-phasig, Typ 2) für PROFIT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828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CB9C5" w14:textId="5C44753D" w:rsidR="00EF243C" w:rsidRPr="00EF243C" w:rsidRDefault="00464AB1" w:rsidP="00EF243C">
      <w:pPr>
        <w:spacing w:after="0"/>
        <w:rPr>
          <w:rFonts w:ascii="Times New Roman" w:hAnsi="Times New Roman" w:cs="Times New Roman"/>
          <w:sz w:val="24"/>
          <w:szCs w:val="24"/>
        </w:rPr>
      </w:pPr>
      <w:r w:rsidRPr="00464AB1">
        <w:t>Aus dieser Sicht lässt sich feststellen, dass auch die Anforderungen an die zur Prüfung befähigten Personen und an das benötigte Messequipment stark gestiegen sind. Bevor eine Ladeeinrichtung errichtet und betrieben wird, muss man sich ebenso Gedanken um das Personal und das benötigte Messequipment machen. Nicht nur die Ladeeinrichtung, wie Wallbox oder Ladesäule gilt es zu prüfen, auch die dem Fahrzeug beiliegendem Ladekabel und Not-Lade-kabel (ICCB) sind vor der Erstinbetriebnahme und wiederkehrend zu Prüfen.</w:t>
      </w:r>
      <w:r w:rsidR="00EF243C" w:rsidRPr="00EF243C">
        <w:t xml:space="preserve"> </w:t>
      </w:r>
      <w:r w:rsidR="00EF243C" w:rsidRPr="00EF243C">
        <w:rPr>
          <w:rFonts w:ascii="Times New Roman" w:hAnsi="Times New Roman" w:cs="Times New Roman"/>
          <w:sz w:val="24"/>
          <w:szCs w:val="24"/>
        </w:rPr>
        <w:fldChar w:fldCharType="begin"/>
      </w:r>
      <w:r w:rsidR="00EF243C" w:rsidRPr="00EF243C">
        <w:rPr>
          <w:rFonts w:ascii="Times New Roman" w:hAnsi="Times New Roman" w:cs="Times New Roman"/>
          <w:sz w:val="24"/>
          <w:szCs w:val="24"/>
        </w:rPr>
        <w:instrText xml:space="preserve"> INCLUDEPICTURE "/var/folders/zn/g9kdt3xs7dzf6vnyw42cbkzm0000gn/T/com.microsoft.Word/WebArchiveCopyPasteTempFiles/m525n-profitest-he-xtra_persp1_20290.jpg" \* MERGEFORMATINET </w:instrText>
      </w:r>
      <w:r w:rsidR="00EF243C" w:rsidRPr="00EF243C">
        <w:rPr>
          <w:rFonts w:ascii="Times New Roman" w:hAnsi="Times New Roman" w:cs="Times New Roman"/>
          <w:sz w:val="24"/>
          <w:szCs w:val="24"/>
        </w:rPr>
        <w:fldChar w:fldCharType="separate"/>
      </w:r>
      <w:r w:rsidR="00EF243C" w:rsidRPr="00EF243C">
        <w:rPr>
          <w:rFonts w:ascii="Times New Roman" w:hAnsi="Times New Roman" w:cs="Times New Roman"/>
          <w:sz w:val="24"/>
          <w:szCs w:val="24"/>
        </w:rPr>
        <w:fldChar w:fldCharType="end"/>
      </w:r>
    </w:p>
    <w:p w14:paraId="12461A13" w14:textId="40C38354" w:rsidR="001E1F91" w:rsidRPr="00464AB1" w:rsidRDefault="00EF243C" w:rsidP="00E96A61">
      <w:pPr>
        <w:tabs>
          <w:tab w:val="left" w:pos="6075"/>
        </w:tabs>
        <w:jc w:val="both"/>
      </w:pPr>
      <w:r>
        <w:rPr>
          <w:noProof/>
          <w:color w:val="000000" w:themeColor="text1"/>
        </w:rPr>
        <mc:AlternateContent>
          <mc:Choice Requires="wps">
            <w:drawing>
              <wp:anchor distT="0" distB="0" distL="114300" distR="114300" simplePos="0" relativeHeight="251663360" behindDoc="0" locked="0" layoutInCell="1" allowOverlap="1" wp14:anchorId="415FEE9D" wp14:editId="2A3E17F4">
                <wp:simplePos x="0" y="0"/>
                <wp:positionH relativeFrom="column">
                  <wp:posOffset>3869205</wp:posOffset>
                </wp:positionH>
                <wp:positionV relativeFrom="paragraph">
                  <wp:posOffset>292586</wp:posOffset>
                </wp:positionV>
                <wp:extent cx="2438400" cy="233045"/>
                <wp:effectExtent l="0" t="0" r="12700" b="8255"/>
                <wp:wrapNone/>
                <wp:docPr id="6" name="Textfeld 6"/>
                <wp:cNvGraphicFramePr/>
                <a:graphic xmlns:a="http://schemas.openxmlformats.org/drawingml/2006/main">
                  <a:graphicData uri="http://schemas.microsoft.com/office/word/2010/wordprocessingShape">
                    <wps:wsp>
                      <wps:cNvSpPr txBox="1"/>
                      <wps:spPr>
                        <a:xfrm>
                          <a:off x="0" y="0"/>
                          <a:ext cx="2438400" cy="233045"/>
                        </a:xfrm>
                        <a:prstGeom prst="rect">
                          <a:avLst/>
                        </a:prstGeom>
                        <a:solidFill>
                          <a:schemeClr val="lt1"/>
                        </a:solidFill>
                        <a:ln w="6350">
                          <a:solidFill>
                            <a:schemeClr val="bg1"/>
                          </a:solidFill>
                        </a:ln>
                      </wps:spPr>
                      <wps:txbx>
                        <w:txbxContent>
                          <w:p w14:paraId="7C5DB25F" w14:textId="0978F089" w:rsidR="00EF243C" w:rsidRPr="006D712A" w:rsidRDefault="00EF243C" w:rsidP="00EF243C">
                            <w:pPr>
                              <w:jc w:val="center"/>
                              <w:rPr>
                                <w:sz w:val="12"/>
                                <w:szCs w:val="12"/>
                              </w:rPr>
                            </w:pPr>
                            <w:r w:rsidRPr="00EF243C">
                              <w:rPr>
                                <w:sz w:val="12"/>
                                <w:szCs w:val="12"/>
                              </w:rPr>
                              <w:t>Prüfadapter für E-Ladepunkte (Quelle www.gmc-instruments.de)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EE9D" id="Textfeld 6" o:spid="_x0000_s1027" type="#_x0000_t202" style="position:absolute;left:0;text-align:left;margin-left:304.65pt;margin-top:23.05pt;width:192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" fillcolor="white [3201]" strokecolor="white [3212]" strokeweight=".5pt">
                <v:textbox>
                  <w:txbxContent>
                    <w:p w14:paraId="7C5DB25F" w14:textId="0978F089" w:rsidR="00EF243C" w:rsidRPr="006D712A" w:rsidRDefault="00EF243C" w:rsidP="00EF243C">
                      <w:pPr>
                        <w:jc w:val="center"/>
                        <w:rPr>
                          <w:sz w:val="12"/>
                          <w:szCs w:val="12"/>
                        </w:rPr>
                      </w:pPr>
                      <w:r w:rsidRPr="00EF243C">
                        <w:rPr>
                          <w:sz w:val="12"/>
                          <w:szCs w:val="12"/>
                        </w:rPr>
                        <w:t>Prüfadapter für E-Ladepunkte (Quelle www.gmc-instruments.de)</w:t>
                      </w:r>
                    </w:p>
                  </w:txbxContent>
                </v:textbox>
              </v:shape>
            </w:pict>
          </mc:Fallback>
        </mc:AlternateContent>
      </w:r>
    </w:p>
    <w:sectPr w:rsidR="001E1F91" w:rsidRPr="00464AB1" w:rsidSect="00927059">
      <w:headerReference w:type="default" r:id="rId13"/>
      <w:footerReference w:type="default" r:id="rId14"/>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A91F" w14:textId="77777777" w:rsidR="00B80DC5" w:rsidRDefault="00B80DC5" w:rsidP="00826AF7">
      <w:r>
        <w:separator/>
      </w:r>
    </w:p>
    <w:p w14:paraId="23CEC3CF" w14:textId="77777777" w:rsidR="00B80DC5" w:rsidRDefault="00B80DC5" w:rsidP="00826AF7"/>
    <w:p w14:paraId="4E3AA2DB" w14:textId="77777777" w:rsidR="00B80DC5" w:rsidRDefault="00B80DC5" w:rsidP="00826AF7"/>
  </w:endnote>
  <w:endnote w:type="continuationSeparator" w:id="0">
    <w:p w14:paraId="575EF8B7" w14:textId="77777777" w:rsidR="00B80DC5" w:rsidRDefault="00B80DC5" w:rsidP="00826AF7">
      <w:r>
        <w:continuationSeparator/>
      </w:r>
    </w:p>
    <w:p w14:paraId="717865E2" w14:textId="77777777" w:rsidR="00B80DC5" w:rsidRDefault="00B80DC5" w:rsidP="00826AF7"/>
    <w:p w14:paraId="32E99466" w14:textId="77777777" w:rsidR="00B80DC5" w:rsidRDefault="00B80DC5"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MS Mincho"/>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84"/>
      <w:gridCol w:w="1134"/>
      <w:gridCol w:w="1024"/>
      <w:gridCol w:w="1114"/>
      <w:gridCol w:w="1114"/>
      <w:gridCol w:w="1114"/>
    </w:tblGrid>
    <w:tr w:rsidR="000F4359" w:rsidRPr="004C1C05" w14:paraId="59E54423" w14:textId="77777777" w:rsidTr="00B00520">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6B9BDA82" w:rsidR="000F4359" w:rsidRPr="004C1C05" w:rsidRDefault="00E733F5" w:rsidP="000F4359">
          <w:pPr>
            <w:pStyle w:val="Fuzeile"/>
            <w:spacing w:after="0"/>
            <w:ind w:right="-83"/>
            <w:rPr>
              <w:sz w:val="16"/>
              <w:szCs w:val="16"/>
            </w:rPr>
          </w:pPr>
          <w:r>
            <w:rPr>
              <w:sz w:val="16"/>
              <w:szCs w:val="16"/>
            </w:rPr>
            <w:t>1</w:t>
          </w:r>
        </w:p>
      </w:tc>
      <w:tc>
        <w:tcPr>
          <w:tcW w:w="1184" w:type="dxa"/>
          <w:vAlign w:val="center"/>
        </w:tcPr>
        <w:p w14:paraId="3057FE5D" w14:textId="0367F3B2" w:rsidR="000F4359" w:rsidRPr="004C1C05" w:rsidRDefault="000F4359" w:rsidP="000F4359">
          <w:pPr>
            <w:pStyle w:val="Fuzeile"/>
            <w:spacing w:after="0"/>
            <w:ind w:right="-83"/>
            <w:rPr>
              <w:sz w:val="16"/>
              <w:szCs w:val="16"/>
            </w:rPr>
          </w:pPr>
        </w:p>
      </w:tc>
      <w:tc>
        <w:tcPr>
          <w:tcW w:w="1134" w:type="dxa"/>
          <w:vAlign w:val="center"/>
        </w:tcPr>
        <w:p w14:paraId="3AC5FACB" w14:textId="40E3EF81" w:rsidR="000F4359" w:rsidRPr="004C1C05" w:rsidRDefault="000F4359" w:rsidP="000F4359">
          <w:pPr>
            <w:pStyle w:val="Fuzeile"/>
            <w:spacing w:after="0"/>
            <w:ind w:right="-83"/>
            <w:rPr>
              <w:sz w:val="16"/>
              <w:szCs w:val="16"/>
            </w:rPr>
          </w:pPr>
        </w:p>
      </w:tc>
      <w:tc>
        <w:tcPr>
          <w:tcW w:w="102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F97810">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F97810">
            <w:rPr>
              <w:noProof/>
              <w:sz w:val="16"/>
              <w:szCs w:val="16"/>
            </w:rPr>
            <w:t>1</w:t>
          </w:r>
          <w:r w:rsidRPr="004C1C05">
            <w:rPr>
              <w:sz w:val="16"/>
              <w:szCs w:val="16"/>
            </w:rPr>
            <w:fldChar w:fldCharType="end"/>
          </w:r>
        </w:p>
      </w:tc>
    </w:tr>
    <w:tr w:rsidR="000F4359" w:rsidRPr="004C1C05" w14:paraId="170C4AA8" w14:textId="77777777" w:rsidTr="00B00520">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5B29309C" w:rsidR="000F4359" w:rsidRPr="004C1C05" w:rsidRDefault="00B71778" w:rsidP="000F4359">
          <w:pPr>
            <w:pStyle w:val="Fuzeile"/>
            <w:spacing w:after="0"/>
            <w:ind w:right="-83"/>
            <w:rPr>
              <w:sz w:val="16"/>
              <w:szCs w:val="16"/>
            </w:rPr>
          </w:pPr>
          <w:r>
            <w:rPr>
              <w:sz w:val="16"/>
              <w:szCs w:val="16"/>
            </w:rPr>
            <w:t>01.07</w:t>
          </w:r>
          <w:r w:rsidR="00E733F5">
            <w:rPr>
              <w:sz w:val="16"/>
              <w:szCs w:val="16"/>
            </w:rPr>
            <w:t>.2022</w:t>
          </w:r>
        </w:p>
      </w:tc>
      <w:tc>
        <w:tcPr>
          <w:tcW w:w="1184" w:type="dxa"/>
          <w:vAlign w:val="center"/>
        </w:tcPr>
        <w:p w14:paraId="5B880C40" w14:textId="17274E34" w:rsidR="000F4359" w:rsidRPr="004C1C05" w:rsidRDefault="000F4359" w:rsidP="000F4359">
          <w:pPr>
            <w:pStyle w:val="Fuzeile"/>
            <w:spacing w:after="0"/>
            <w:ind w:right="-83"/>
            <w:rPr>
              <w:sz w:val="16"/>
              <w:szCs w:val="16"/>
            </w:rPr>
          </w:pPr>
        </w:p>
      </w:tc>
      <w:tc>
        <w:tcPr>
          <w:tcW w:w="1134" w:type="dxa"/>
          <w:vAlign w:val="center"/>
        </w:tcPr>
        <w:p w14:paraId="0D4AE9A4" w14:textId="079C6DA7" w:rsidR="000F4359" w:rsidRPr="004C1C05" w:rsidRDefault="000F4359" w:rsidP="000F4359">
          <w:pPr>
            <w:pStyle w:val="Fuzeile"/>
            <w:spacing w:after="0"/>
            <w:ind w:right="-83"/>
            <w:rPr>
              <w:sz w:val="16"/>
              <w:szCs w:val="16"/>
            </w:rPr>
          </w:pPr>
        </w:p>
      </w:tc>
      <w:tc>
        <w:tcPr>
          <w:tcW w:w="102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B00520">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0383C" w:rsidR="000F4359" w:rsidRPr="004C1C05" w:rsidRDefault="00E733F5" w:rsidP="000F4359">
          <w:pPr>
            <w:pStyle w:val="Fuzeile"/>
            <w:spacing w:after="0"/>
            <w:ind w:right="-83"/>
            <w:rPr>
              <w:sz w:val="16"/>
              <w:szCs w:val="16"/>
            </w:rPr>
          </w:pPr>
          <w:proofErr w:type="spellStart"/>
          <w:r>
            <w:rPr>
              <w:sz w:val="16"/>
              <w:szCs w:val="16"/>
            </w:rPr>
            <w:t>R.O.E.GmbH</w:t>
          </w:r>
          <w:proofErr w:type="spellEnd"/>
        </w:p>
      </w:tc>
      <w:tc>
        <w:tcPr>
          <w:tcW w:w="1184" w:type="dxa"/>
          <w:vAlign w:val="center"/>
        </w:tcPr>
        <w:p w14:paraId="3F6228DD" w14:textId="6CB915F0" w:rsidR="000F4359" w:rsidRPr="004C1C05" w:rsidRDefault="000F4359" w:rsidP="000F4359">
          <w:pPr>
            <w:pStyle w:val="Fuzeile"/>
            <w:spacing w:after="0"/>
            <w:ind w:right="-83"/>
            <w:rPr>
              <w:sz w:val="16"/>
              <w:szCs w:val="16"/>
            </w:rPr>
          </w:pPr>
        </w:p>
      </w:tc>
      <w:tc>
        <w:tcPr>
          <w:tcW w:w="1134" w:type="dxa"/>
          <w:vAlign w:val="center"/>
        </w:tcPr>
        <w:p w14:paraId="33C6720A" w14:textId="5F8AD924" w:rsidR="000F4359" w:rsidRPr="004C1C05" w:rsidRDefault="000F4359" w:rsidP="000F4359">
          <w:pPr>
            <w:pStyle w:val="Fuzeile"/>
            <w:spacing w:after="0"/>
            <w:ind w:right="-83"/>
            <w:rPr>
              <w:sz w:val="16"/>
              <w:szCs w:val="16"/>
            </w:rPr>
          </w:pPr>
        </w:p>
      </w:tc>
      <w:tc>
        <w:tcPr>
          <w:tcW w:w="102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B00520">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84" w:type="dxa"/>
          <w:vAlign w:val="center"/>
        </w:tcPr>
        <w:p w14:paraId="5D706A56" w14:textId="77777777" w:rsidR="000F4359" w:rsidRPr="004C1C05" w:rsidRDefault="000F4359" w:rsidP="000F4359">
          <w:pPr>
            <w:pStyle w:val="Fuzeile"/>
            <w:spacing w:after="0"/>
            <w:ind w:right="-83"/>
            <w:rPr>
              <w:sz w:val="16"/>
              <w:szCs w:val="16"/>
            </w:rPr>
          </w:pPr>
        </w:p>
      </w:tc>
      <w:tc>
        <w:tcPr>
          <w:tcW w:w="1134" w:type="dxa"/>
          <w:vAlign w:val="center"/>
        </w:tcPr>
        <w:p w14:paraId="3CAC5B68" w14:textId="77777777" w:rsidR="000F4359" w:rsidRPr="004C1C05" w:rsidRDefault="000F4359" w:rsidP="000F4359">
          <w:pPr>
            <w:pStyle w:val="Fuzeile"/>
            <w:spacing w:after="0"/>
            <w:ind w:right="-83"/>
            <w:rPr>
              <w:sz w:val="16"/>
              <w:szCs w:val="16"/>
            </w:rPr>
          </w:pPr>
        </w:p>
      </w:tc>
      <w:tc>
        <w:tcPr>
          <w:tcW w:w="102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4D74DA">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2A3E" w14:textId="77777777" w:rsidR="00B80DC5" w:rsidRDefault="00B80DC5" w:rsidP="00826AF7">
      <w:r>
        <w:separator/>
      </w:r>
    </w:p>
    <w:p w14:paraId="336377D2" w14:textId="77777777" w:rsidR="00B80DC5" w:rsidRDefault="00B80DC5" w:rsidP="00826AF7"/>
    <w:p w14:paraId="09F89154" w14:textId="77777777" w:rsidR="00B80DC5" w:rsidRDefault="00B80DC5" w:rsidP="00826AF7"/>
  </w:footnote>
  <w:footnote w:type="continuationSeparator" w:id="0">
    <w:p w14:paraId="3A32E2A9" w14:textId="77777777" w:rsidR="00B80DC5" w:rsidRDefault="00B80DC5" w:rsidP="00826AF7">
      <w:r>
        <w:continuationSeparator/>
      </w:r>
    </w:p>
    <w:p w14:paraId="4D2E5099" w14:textId="77777777" w:rsidR="00B80DC5" w:rsidRDefault="00B80DC5" w:rsidP="00826AF7"/>
    <w:p w14:paraId="04D6EA4F" w14:textId="77777777" w:rsidR="00B80DC5" w:rsidRDefault="00B80DC5"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4D74DA">
      <w:trPr>
        <w:trHeight w:val="841"/>
      </w:trPr>
      <w:tc>
        <w:tcPr>
          <w:tcW w:w="2349" w:type="dxa"/>
          <w:vAlign w:val="center"/>
        </w:tcPr>
        <w:p w14:paraId="742C4325" w14:textId="682952DB" w:rsidR="00DB66E9" w:rsidRPr="00E21DC0" w:rsidRDefault="0050708F" w:rsidP="00C40A14">
          <w:pPr>
            <w:pStyle w:val="KeinLeerraum"/>
            <w:jc w:val="center"/>
            <w:rPr>
              <w:b/>
              <w:sz w:val="18"/>
            </w:rPr>
          </w:pPr>
          <w:r>
            <w:rPr>
              <w:noProof/>
            </w:rPr>
            <w:drawing>
              <wp:inline distT="0" distB="0" distL="0" distR="0" wp14:anchorId="0452F64F" wp14:editId="7DBFD8BC">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4D74DA">
      <w:trPr>
        <w:trHeight w:val="832"/>
      </w:trPr>
      <w:tc>
        <w:tcPr>
          <w:tcW w:w="2349" w:type="dxa"/>
          <w:vAlign w:val="center"/>
        </w:tcPr>
        <w:p w14:paraId="37896C1D" w14:textId="0A03A25A" w:rsidR="00330719" w:rsidRPr="00E21DC0" w:rsidRDefault="002303AC" w:rsidP="002A63CB">
          <w:pPr>
            <w:jc w:val="center"/>
          </w:pPr>
          <w:r w:rsidRPr="00E21DC0">
            <w:rPr>
              <w:b/>
            </w:rPr>
            <w:t>UW_ET_</w:t>
          </w:r>
          <w:r w:rsidR="00B71778">
            <w:rPr>
              <w:b/>
            </w:rPr>
            <w:t>83</w:t>
          </w:r>
        </w:p>
      </w:tc>
      <w:tc>
        <w:tcPr>
          <w:tcW w:w="5026" w:type="dxa"/>
          <w:vAlign w:val="center"/>
        </w:tcPr>
        <w:p w14:paraId="2E05780B" w14:textId="70B85E81" w:rsidR="00330719" w:rsidRPr="00E21DC0" w:rsidRDefault="00464AB1" w:rsidP="00732A49">
          <w:pPr>
            <w:spacing w:after="0"/>
            <w:jc w:val="center"/>
            <w:rPr>
              <w:sz w:val="28"/>
              <w:szCs w:val="28"/>
            </w:rPr>
          </w:pPr>
          <w:r>
            <w:rPr>
              <w:sz w:val="28"/>
              <w:szCs w:val="28"/>
            </w:rPr>
            <w:t>Elektromobilität und Ladeinfrastruktur</w:t>
          </w:r>
        </w:p>
      </w:tc>
      <w:tc>
        <w:tcPr>
          <w:tcW w:w="2236" w:type="dxa"/>
          <w:vAlign w:val="center"/>
        </w:tcPr>
        <w:p w14:paraId="22DAF9DE" w14:textId="77777777" w:rsidR="00330719" w:rsidRPr="00E21DC0" w:rsidRDefault="00330719" w:rsidP="002A63CB">
          <w:pPr>
            <w:jc w:val="center"/>
          </w:pPr>
        </w:p>
      </w:tc>
    </w:tr>
  </w:tbl>
  <w:p w14:paraId="1D17CDA2" w14:textId="34D44E39"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5356E0F"/>
    <w:multiLevelType w:val="hybridMultilevel"/>
    <w:tmpl w:val="81A41346"/>
    <w:lvl w:ilvl="0" w:tplc="04070001">
      <w:start w:val="1"/>
      <w:numFmt w:val="bullet"/>
      <w:lvlText w:val=""/>
      <w:lvlJc w:val="left"/>
      <w:pPr>
        <w:ind w:left="720" w:hanging="360"/>
      </w:pPr>
      <w:rPr>
        <w:rFonts w:ascii="Symbol" w:hAnsi="Symbol" w:hint="default"/>
      </w:rPr>
    </w:lvl>
    <w:lvl w:ilvl="1" w:tplc="C6505E00">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F82372"/>
    <w:multiLevelType w:val="hybridMultilevel"/>
    <w:tmpl w:val="F06862BE"/>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8B1A5A"/>
    <w:multiLevelType w:val="hybridMultilevel"/>
    <w:tmpl w:val="33AA47F4"/>
    <w:lvl w:ilvl="0" w:tplc="5838B828">
      <w:numFmt w:val="bullet"/>
      <w:lvlText w:val="-"/>
      <w:lvlJc w:val="left"/>
      <w:pPr>
        <w:ind w:left="720" w:hanging="360"/>
      </w:pPr>
      <w:rPr>
        <w:rFonts w:ascii="Arial" w:eastAsia="Times New Roman" w:hAnsi="Arial" w:cs="Arial" w:hint="default"/>
      </w:rPr>
    </w:lvl>
    <w:lvl w:ilvl="1" w:tplc="79A65A80" w:tentative="1">
      <w:start w:val="1"/>
      <w:numFmt w:val="bullet"/>
      <w:lvlText w:val="o"/>
      <w:lvlJc w:val="left"/>
      <w:pPr>
        <w:ind w:left="1440" w:hanging="360"/>
      </w:pPr>
      <w:rPr>
        <w:rFonts w:ascii="Courier New" w:hAnsi="Courier New" w:cs="Courier New" w:hint="default"/>
      </w:rPr>
    </w:lvl>
    <w:lvl w:ilvl="2" w:tplc="705A9226" w:tentative="1">
      <w:start w:val="1"/>
      <w:numFmt w:val="bullet"/>
      <w:lvlText w:val=""/>
      <w:lvlJc w:val="left"/>
      <w:pPr>
        <w:ind w:left="2160" w:hanging="360"/>
      </w:pPr>
      <w:rPr>
        <w:rFonts w:ascii="Wingdings" w:hAnsi="Wingdings" w:hint="default"/>
      </w:rPr>
    </w:lvl>
    <w:lvl w:ilvl="3" w:tplc="39E687EA" w:tentative="1">
      <w:start w:val="1"/>
      <w:numFmt w:val="bullet"/>
      <w:lvlText w:val=""/>
      <w:lvlJc w:val="left"/>
      <w:pPr>
        <w:ind w:left="2880" w:hanging="360"/>
      </w:pPr>
      <w:rPr>
        <w:rFonts w:ascii="Symbol" w:hAnsi="Symbol" w:hint="default"/>
      </w:rPr>
    </w:lvl>
    <w:lvl w:ilvl="4" w:tplc="A6B6122E" w:tentative="1">
      <w:start w:val="1"/>
      <w:numFmt w:val="bullet"/>
      <w:lvlText w:val="o"/>
      <w:lvlJc w:val="left"/>
      <w:pPr>
        <w:ind w:left="3600" w:hanging="360"/>
      </w:pPr>
      <w:rPr>
        <w:rFonts w:ascii="Courier New" w:hAnsi="Courier New" w:cs="Courier New" w:hint="default"/>
      </w:rPr>
    </w:lvl>
    <w:lvl w:ilvl="5" w:tplc="BD086C28" w:tentative="1">
      <w:start w:val="1"/>
      <w:numFmt w:val="bullet"/>
      <w:lvlText w:val=""/>
      <w:lvlJc w:val="left"/>
      <w:pPr>
        <w:ind w:left="4320" w:hanging="360"/>
      </w:pPr>
      <w:rPr>
        <w:rFonts w:ascii="Wingdings" w:hAnsi="Wingdings" w:hint="default"/>
      </w:rPr>
    </w:lvl>
    <w:lvl w:ilvl="6" w:tplc="B3B6C3F4" w:tentative="1">
      <w:start w:val="1"/>
      <w:numFmt w:val="bullet"/>
      <w:lvlText w:val=""/>
      <w:lvlJc w:val="left"/>
      <w:pPr>
        <w:ind w:left="5040" w:hanging="360"/>
      </w:pPr>
      <w:rPr>
        <w:rFonts w:ascii="Symbol" w:hAnsi="Symbol" w:hint="default"/>
      </w:rPr>
    </w:lvl>
    <w:lvl w:ilvl="7" w:tplc="080E53E2" w:tentative="1">
      <w:start w:val="1"/>
      <w:numFmt w:val="bullet"/>
      <w:lvlText w:val="o"/>
      <w:lvlJc w:val="left"/>
      <w:pPr>
        <w:ind w:left="5760" w:hanging="360"/>
      </w:pPr>
      <w:rPr>
        <w:rFonts w:ascii="Courier New" w:hAnsi="Courier New" w:cs="Courier New" w:hint="default"/>
      </w:rPr>
    </w:lvl>
    <w:lvl w:ilvl="8" w:tplc="87C4DE6A" w:tentative="1">
      <w:start w:val="1"/>
      <w:numFmt w:val="bullet"/>
      <w:lvlText w:val=""/>
      <w:lvlJc w:val="left"/>
      <w:pPr>
        <w:ind w:left="6480" w:hanging="360"/>
      </w:pPr>
      <w:rPr>
        <w:rFonts w:ascii="Wingdings" w:hAnsi="Wingdings" w:hint="default"/>
      </w:rPr>
    </w:lvl>
  </w:abstractNum>
  <w:abstractNum w:abstractNumId="6" w15:restartNumberingAfterBreak="0">
    <w:nsid w:val="2E1D490F"/>
    <w:multiLevelType w:val="hybridMultilevel"/>
    <w:tmpl w:val="25E2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9" w15:restartNumberingAfterBreak="0">
    <w:nsid w:val="366F0C4A"/>
    <w:multiLevelType w:val="hybridMultilevel"/>
    <w:tmpl w:val="301063BA"/>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491E03"/>
    <w:multiLevelType w:val="hybridMultilevel"/>
    <w:tmpl w:val="8EB07734"/>
    <w:lvl w:ilvl="0" w:tplc="04070001">
      <w:start w:val="1"/>
      <w:numFmt w:val="bullet"/>
      <w:lvlText w:val=""/>
      <w:lvlJc w:val="left"/>
      <w:pPr>
        <w:ind w:left="720" w:hanging="360"/>
      </w:pPr>
      <w:rPr>
        <w:rFonts w:ascii="Symbol" w:hAnsi="Symbol" w:hint="default"/>
      </w:rPr>
    </w:lvl>
    <w:lvl w:ilvl="1" w:tplc="96DC0D4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3" w15:restartNumberingAfterBreak="0">
    <w:nsid w:val="5E8154DF"/>
    <w:multiLevelType w:val="hybridMultilevel"/>
    <w:tmpl w:val="4502BB4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83D4402"/>
    <w:multiLevelType w:val="hybridMultilevel"/>
    <w:tmpl w:val="CD9EB02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9D176C"/>
    <w:multiLevelType w:val="hybridMultilevel"/>
    <w:tmpl w:val="43FA4498"/>
    <w:lvl w:ilvl="0" w:tplc="8B3A9468">
      <w:numFmt w:val="bullet"/>
      <w:lvlText w:val="-"/>
      <w:lvlJc w:val="left"/>
      <w:pPr>
        <w:ind w:left="1069" w:hanging="360"/>
      </w:pPr>
      <w:rPr>
        <w:rFonts w:ascii="Arial" w:eastAsia="Times New Roman" w:hAnsi="Arial" w:cs="Arial" w:hint="default"/>
      </w:rPr>
    </w:lvl>
    <w:lvl w:ilvl="1" w:tplc="CF22C48C">
      <w:start w:val="1"/>
      <w:numFmt w:val="bullet"/>
      <w:lvlText w:val="o"/>
      <w:lvlJc w:val="left"/>
      <w:pPr>
        <w:ind w:left="1789" w:hanging="360"/>
      </w:pPr>
      <w:rPr>
        <w:rFonts w:ascii="Courier New" w:hAnsi="Courier New" w:cs="Courier New" w:hint="default"/>
      </w:rPr>
    </w:lvl>
    <w:lvl w:ilvl="2" w:tplc="E7043E12" w:tentative="1">
      <w:start w:val="1"/>
      <w:numFmt w:val="bullet"/>
      <w:lvlText w:val=""/>
      <w:lvlJc w:val="left"/>
      <w:pPr>
        <w:ind w:left="2509" w:hanging="360"/>
      </w:pPr>
      <w:rPr>
        <w:rFonts w:ascii="Wingdings" w:hAnsi="Wingdings" w:hint="default"/>
      </w:rPr>
    </w:lvl>
    <w:lvl w:ilvl="3" w:tplc="BC243ACA" w:tentative="1">
      <w:start w:val="1"/>
      <w:numFmt w:val="bullet"/>
      <w:lvlText w:val=""/>
      <w:lvlJc w:val="left"/>
      <w:pPr>
        <w:ind w:left="3229" w:hanging="360"/>
      </w:pPr>
      <w:rPr>
        <w:rFonts w:ascii="Symbol" w:hAnsi="Symbol" w:hint="default"/>
      </w:rPr>
    </w:lvl>
    <w:lvl w:ilvl="4" w:tplc="A8FA2956" w:tentative="1">
      <w:start w:val="1"/>
      <w:numFmt w:val="bullet"/>
      <w:lvlText w:val="o"/>
      <w:lvlJc w:val="left"/>
      <w:pPr>
        <w:ind w:left="3949" w:hanging="360"/>
      </w:pPr>
      <w:rPr>
        <w:rFonts w:ascii="Courier New" w:hAnsi="Courier New" w:cs="Courier New" w:hint="default"/>
      </w:rPr>
    </w:lvl>
    <w:lvl w:ilvl="5" w:tplc="2222D882" w:tentative="1">
      <w:start w:val="1"/>
      <w:numFmt w:val="bullet"/>
      <w:lvlText w:val=""/>
      <w:lvlJc w:val="left"/>
      <w:pPr>
        <w:ind w:left="4669" w:hanging="360"/>
      </w:pPr>
      <w:rPr>
        <w:rFonts w:ascii="Wingdings" w:hAnsi="Wingdings" w:hint="default"/>
      </w:rPr>
    </w:lvl>
    <w:lvl w:ilvl="6" w:tplc="AF5C0F3A" w:tentative="1">
      <w:start w:val="1"/>
      <w:numFmt w:val="bullet"/>
      <w:lvlText w:val=""/>
      <w:lvlJc w:val="left"/>
      <w:pPr>
        <w:ind w:left="5389" w:hanging="360"/>
      </w:pPr>
      <w:rPr>
        <w:rFonts w:ascii="Symbol" w:hAnsi="Symbol" w:hint="default"/>
      </w:rPr>
    </w:lvl>
    <w:lvl w:ilvl="7" w:tplc="777E954E" w:tentative="1">
      <w:start w:val="1"/>
      <w:numFmt w:val="bullet"/>
      <w:lvlText w:val="o"/>
      <w:lvlJc w:val="left"/>
      <w:pPr>
        <w:ind w:left="6109" w:hanging="360"/>
      </w:pPr>
      <w:rPr>
        <w:rFonts w:ascii="Courier New" w:hAnsi="Courier New" w:cs="Courier New" w:hint="default"/>
      </w:rPr>
    </w:lvl>
    <w:lvl w:ilvl="8" w:tplc="6DB2D5D8" w:tentative="1">
      <w:start w:val="1"/>
      <w:numFmt w:val="bullet"/>
      <w:lvlText w:val=""/>
      <w:lvlJc w:val="left"/>
      <w:pPr>
        <w:ind w:left="6829" w:hanging="360"/>
      </w:pPr>
      <w:rPr>
        <w:rFonts w:ascii="Wingdings" w:hAnsi="Wingdings" w:hint="default"/>
      </w:rPr>
    </w:lvl>
  </w:abstractNum>
  <w:abstractNum w:abstractNumId="16" w15:restartNumberingAfterBreak="0">
    <w:nsid w:val="7FBF244F"/>
    <w:multiLevelType w:val="hybridMultilevel"/>
    <w:tmpl w:val="B4C47B4A"/>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num w:numId="1" w16cid:durableId="373314380">
    <w:abstractNumId w:val="8"/>
  </w:num>
  <w:num w:numId="2" w16cid:durableId="1015226349">
    <w:abstractNumId w:val="12"/>
  </w:num>
  <w:num w:numId="3" w16cid:durableId="1573156629">
    <w:abstractNumId w:val="11"/>
  </w:num>
  <w:num w:numId="4" w16cid:durableId="867720947">
    <w:abstractNumId w:val="7"/>
  </w:num>
  <w:num w:numId="5" w16cid:durableId="1732576586">
    <w:abstractNumId w:val="2"/>
  </w:num>
  <w:num w:numId="6" w16cid:durableId="1651203230">
    <w:abstractNumId w:val="1"/>
  </w:num>
  <w:num w:numId="7" w16cid:durableId="1196848009">
    <w:abstractNumId w:val="0"/>
  </w:num>
  <w:num w:numId="8" w16cid:durableId="309023155">
    <w:abstractNumId w:val="15"/>
  </w:num>
  <w:num w:numId="9" w16cid:durableId="384257287">
    <w:abstractNumId w:val="5"/>
  </w:num>
  <w:num w:numId="10" w16cid:durableId="133257151">
    <w:abstractNumId w:val="4"/>
  </w:num>
  <w:num w:numId="11" w16cid:durableId="1103838260">
    <w:abstractNumId w:val="14"/>
  </w:num>
  <w:num w:numId="12" w16cid:durableId="997617298">
    <w:abstractNumId w:val="13"/>
  </w:num>
  <w:num w:numId="13" w16cid:durableId="952369946">
    <w:abstractNumId w:val="10"/>
  </w:num>
  <w:num w:numId="14" w16cid:durableId="1547449698">
    <w:abstractNumId w:val="6"/>
  </w:num>
  <w:num w:numId="15" w16cid:durableId="1673608452">
    <w:abstractNumId w:val="3"/>
  </w:num>
  <w:num w:numId="16" w16cid:durableId="917785098">
    <w:abstractNumId w:val="9"/>
  </w:num>
  <w:num w:numId="17" w16cid:durableId="64697959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1A3C"/>
    <w:rsid w:val="000C55CC"/>
    <w:rsid w:val="000C6A29"/>
    <w:rsid w:val="000E1425"/>
    <w:rsid w:val="000E70B5"/>
    <w:rsid w:val="000F4359"/>
    <w:rsid w:val="00100DC9"/>
    <w:rsid w:val="00113431"/>
    <w:rsid w:val="00120817"/>
    <w:rsid w:val="00121416"/>
    <w:rsid w:val="00137832"/>
    <w:rsid w:val="001402C3"/>
    <w:rsid w:val="001451D7"/>
    <w:rsid w:val="00152A3E"/>
    <w:rsid w:val="00154449"/>
    <w:rsid w:val="00157F51"/>
    <w:rsid w:val="00160054"/>
    <w:rsid w:val="0016037D"/>
    <w:rsid w:val="001638CC"/>
    <w:rsid w:val="001639E0"/>
    <w:rsid w:val="00165E35"/>
    <w:rsid w:val="00171F84"/>
    <w:rsid w:val="00175AFB"/>
    <w:rsid w:val="00182075"/>
    <w:rsid w:val="00182446"/>
    <w:rsid w:val="00194762"/>
    <w:rsid w:val="00195ECB"/>
    <w:rsid w:val="001A46D5"/>
    <w:rsid w:val="001B10E1"/>
    <w:rsid w:val="001D07A8"/>
    <w:rsid w:val="001D2245"/>
    <w:rsid w:val="001D68BB"/>
    <w:rsid w:val="001E17D2"/>
    <w:rsid w:val="001E1F91"/>
    <w:rsid w:val="001E2C1F"/>
    <w:rsid w:val="001E4563"/>
    <w:rsid w:val="001E5B55"/>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074E"/>
    <w:rsid w:val="00314BCE"/>
    <w:rsid w:val="00317C3B"/>
    <w:rsid w:val="0032016F"/>
    <w:rsid w:val="00330719"/>
    <w:rsid w:val="00332BC1"/>
    <w:rsid w:val="0033379C"/>
    <w:rsid w:val="00337444"/>
    <w:rsid w:val="00343F20"/>
    <w:rsid w:val="003579E2"/>
    <w:rsid w:val="00371D90"/>
    <w:rsid w:val="00374452"/>
    <w:rsid w:val="00386D24"/>
    <w:rsid w:val="00387456"/>
    <w:rsid w:val="00392CCE"/>
    <w:rsid w:val="00393968"/>
    <w:rsid w:val="00394516"/>
    <w:rsid w:val="00396861"/>
    <w:rsid w:val="003A5A68"/>
    <w:rsid w:val="003B7375"/>
    <w:rsid w:val="003D7539"/>
    <w:rsid w:val="003E0AA6"/>
    <w:rsid w:val="003F0948"/>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4AB1"/>
    <w:rsid w:val="004679BF"/>
    <w:rsid w:val="00472853"/>
    <w:rsid w:val="004779EF"/>
    <w:rsid w:val="00480CEF"/>
    <w:rsid w:val="00483692"/>
    <w:rsid w:val="00486FAC"/>
    <w:rsid w:val="004917C9"/>
    <w:rsid w:val="004A680D"/>
    <w:rsid w:val="004B0140"/>
    <w:rsid w:val="004B0A6F"/>
    <w:rsid w:val="004B2D5C"/>
    <w:rsid w:val="004B38B5"/>
    <w:rsid w:val="004C1C05"/>
    <w:rsid w:val="004C32B1"/>
    <w:rsid w:val="004C533D"/>
    <w:rsid w:val="004C5C13"/>
    <w:rsid w:val="004D164C"/>
    <w:rsid w:val="004D63BC"/>
    <w:rsid w:val="004D74DA"/>
    <w:rsid w:val="004F2B84"/>
    <w:rsid w:val="00501116"/>
    <w:rsid w:val="00504630"/>
    <w:rsid w:val="0050708F"/>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0380"/>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5F7DFA"/>
    <w:rsid w:val="006152E4"/>
    <w:rsid w:val="00616179"/>
    <w:rsid w:val="0063364D"/>
    <w:rsid w:val="00642B13"/>
    <w:rsid w:val="006432E4"/>
    <w:rsid w:val="00660648"/>
    <w:rsid w:val="00681944"/>
    <w:rsid w:val="00683232"/>
    <w:rsid w:val="006A6CF7"/>
    <w:rsid w:val="006A6D21"/>
    <w:rsid w:val="006B4AAD"/>
    <w:rsid w:val="006B5DD7"/>
    <w:rsid w:val="006C09B8"/>
    <w:rsid w:val="006C138E"/>
    <w:rsid w:val="006C2A23"/>
    <w:rsid w:val="006C31DE"/>
    <w:rsid w:val="006C3D6A"/>
    <w:rsid w:val="006C4F04"/>
    <w:rsid w:val="006D6005"/>
    <w:rsid w:val="006E14F7"/>
    <w:rsid w:val="00701D0C"/>
    <w:rsid w:val="0070668F"/>
    <w:rsid w:val="007106A0"/>
    <w:rsid w:val="00715779"/>
    <w:rsid w:val="00717290"/>
    <w:rsid w:val="00727689"/>
    <w:rsid w:val="00732424"/>
    <w:rsid w:val="00732A49"/>
    <w:rsid w:val="00742859"/>
    <w:rsid w:val="00747685"/>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4413A"/>
    <w:rsid w:val="008564BE"/>
    <w:rsid w:val="00857751"/>
    <w:rsid w:val="0086047D"/>
    <w:rsid w:val="0086432B"/>
    <w:rsid w:val="00867D12"/>
    <w:rsid w:val="0088313D"/>
    <w:rsid w:val="0088746E"/>
    <w:rsid w:val="00887A1A"/>
    <w:rsid w:val="00887DE6"/>
    <w:rsid w:val="008935D4"/>
    <w:rsid w:val="00893E9D"/>
    <w:rsid w:val="008950A7"/>
    <w:rsid w:val="008A51EC"/>
    <w:rsid w:val="008B05D9"/>
    <w:rsid w:val="008B1FA7"/>
    <w:rsid w:val="008B24B0"/>
    <w:rsid w:val="008B41D9"/>
    <w:rsid w:val="008B7550"/>
    <w:rsid w:val="008B757C"/>
    <w:rsid w:val="008C0FEC"/>
    <w:rsid w:val="008C21BC"/>
    <w:rsid w:val="008C238B"/>
    <w:rsid w:val="008E44FA"/>
    <w:rsid w:val="008E52FB"/>
    <w:rsid w:val="008F6219"/>
    <w:rsid w:val="0090442A"/>
    <w:rsid w:val="00907E0F"/>
    <w:rsid w:val="0091020D"/>
    <w:rsid w:val="00921A3F"/>
    <w:rsid w:val="00923062"/>
    <w:rsid w:val="00927059"/>
    <w:rsid w:val="00941E5D"/>
    <w:rsid w:val="00954B50"/>
    <w:rsid w:val="00961422"/>
    <w:rsid w:val="0096686D"/>
    <w:rsid w:val="0097720B"/>
    <w:rsid w:val="00977781"/>
    <w:rsid w:val="009945E6"/>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456D"/>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0520"/>
    <w:rsid w:val="00B0299F"/>
    <w:rsid w:val="00B05CB5"/>
    <w:rsid w:val="00B24DA4"/>
    <w:rsid w:val="00B24E24"/>
    <w:rsid w:val="00B317EE"/>
    <w:rsid w:val="00B403D6"/>
    <w:rsid w:val="00B44084"/>
    <w:rsid w:val="00B4488E"/>
    <w:rsid w:val="00B452D4"/>
    <w:rsid w:val="00B568E2"/>
    <w:rsid w:val="00B678E9"/>
    <w:rsid w:val="00B71778"/>
    <w:rsid w:val="00B80DC5"/>
    <w:rsid w:val="00B81660"/>
    <w:rsid w:val="00B83BF1"/>
    <w:rsid w:val="00B8757B"/>
    <w:rsid w:val="00B900A7"/>
    <w:rsid w:val="00BA4C12"/>
    <w:rsid w:val="00BB1A34"/>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5973"/>
    <w:rsid w:val="00C45B03"/>
    <w:rsid w:val="00C74287"/>
    <w:rsid w:val="00C757E7"/>
    <w:rsid w:val="00C76A82"/>
    <w:rsid w:val="00C948C7"/>
    <w:rsid w:val="00C97F95"/>
    <w:rsid w:val="00CA5634"/>
    <w:rsid w:val="00CA5D4B"/>
    <w:rsid w:val="00CA7C93"/>
    <w:rsid w:val="00CB0FA0"/>
    <w:rsid w:val="00CB5431"/>
    <w:rsid w:val="00CC6301"/>
    <w:rsid w:val="00CE2F4D"/>
    <w:rsid w:val="00CE452B"/>
    <w:rsid w:val="00CE7657"/>
    <w:rsid w:val="00D43A3E"/>
    <w:rsid w:val="00D47697"/>
    <w:rsid w:val="00D56238"/>
    <w:rsid w:val="00D631C6"/>
    <w:rsid w:val="00D632E9"/>
    <w:rsid w:val="00D63872"/>
    <w:rsid w:val="00D72D07"/>
    <w:rsid w:val="00D779E2"/>
    <w:rsid w:val="00D81FC7"/>
    <w:rsid w:val="00D90930"/>
    <w:rsid w:val="00D910E7"/>
    <w:rsid w:val="00D94619"/>
    <w:rsid w:val="00D949D8"/>
    <w:rsid w:val="00D964F6"/>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733F5"/>
    <w:rsid w:val="00E82621"/>
    <w:rsid w:val="00E82C90"/>
    <w:rsid w:val="00E83AA9"/>
    <w:rsid w:val="00E86225"/>
    <w:rsid w:val="00E91FD3"/>
    <w:rsid w:val="00E96A4B"/>
    <w:rsid w:val="00E96A61"/>
    <w:rsid w:val="00E9739E"/>
    <w:rsid w:val="00EC6C9F"/>
    <w:rsid w:val="00ED3B1C"/>
    <w:rsid w:val="00ED7EB4"/>
    <w:rsid w:val="00EE0586"/>
    <w:rsid w:val="00EE12FB"/>
    <w:rsid w:val="00EE13C8"/>
    <w:rsid w:val="00EE6106"/>
    <w:rsid w:val="00EF243C"/>
    <w:rsid w:val="00F0574C"/>
    <w:rsid w:val="00F16A65"/>
    <w:rsid w:val="00F31CAF"/>
    <w:rsid w:val="00F36420"/>
    <w:rsid w:val="00F40E6B"/>
    <w:rsid w:val="00F44710"/>
    <w:rsid w:val="00F50CAE"/>
    <w:rsid w:val="00F7063A"/>
    <w:rsid w:val="00F72094"/>
    <w:rsid w:val="00F74D75"/>
    <w:rsid w:val="00F84A6A"/>
    <w:rsid w:val="00F915B6"/>
    <w:rsid w:val="00F97199"/>
    <w:rsid w:val="00F97810"/>
    <w:rsid w:val="00FA4E65"/>
    <w:rsid w:val="00FB0D3A"/>
    <w:rsid w:val="00FB3FAC"/>
    <w:rsid w:val="00FC0A36"/>
    <w:rsid w:val="00FC70B8"/>
    <w:rsid w:val="00FD088D"/>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 w:type="character" w:customStyle="1" w:styleId="jnlangue">
    <w:name w:val="jnlangue"/>
    <w:basedOn w:val="Absatz-Standardschriftart"/>
    <w:rsid w:val="0046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950551817">
      <w:bodyDiv w:val="1"/>
      <w:marLeft w:val="0"/>
      <w:marRight w:val="0"/>
      <w:marTop w:val="0"/>
      <w:marBottom w:val="0"/>
      <w:divBdr>
        <w:top w:val="none" w:sz="0" w:space="0" w:color="auto"/>
        <w:left w:val="none" w:sz="0" w:space="0" w:color="auto"/>
        <w:bottom w:val="none" w:sz="0" w:space="0" w:color="auto"/>
        <w:right w:val="none" w:sz="0" w:space="0" w:color="auto"/>
      </w:divBdr>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501308599">
      <w:bodyDiv w:val="1"/>
      <w:marLeft w:val="0"/>
      <w:marRight w:val="0"/>
      <w:marTop w:val="0"/>
      <w:marBottom w:val="0"/>
      <w:divBdr>
        <w:top w:val="none" w:sz="0" w:space="0" w:color="auto"/>
        <w:left w:val="none" w:sz="0" w:space="0" w:color="auto"/>
        <w:bottom w:val="none" w:sz="0" w:space="0" w:color="auto"/>
        <w:right w:val="none" w:sz="0" w:space="0" w:color="auto"/>
      </w:divBdr>
    </w:div>
    <w:div w:id="1686636502">
      <w:bodyDiv w:val="1"/>
      <w:marLeft w:val="0"/>
      <w:marRight w:val="0"/>
      <w:marTop w:val="0"/>
      <w:marBottom w:val="0"/>
      <w:divBdr>
        <w:top w:val="none" w:sz="0" w:space="0" w:color="auto"/>
        <w:left w:val="none" w:sz="0" w:space="0" w:color="auto"/>
        <w:bottom w:val="none" w:sz="0" w:space="0" w:color="auto"/>
        <w:right w:val="none" w:sz="0" w:space="0" w:color="auto"/>
      </w:divBdr>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 w:id="2074424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16EBE-2A2B-4F9C-B6EB-32A31FC61E2D}"/>
</file>

<file path=customXml/itemProps2.xml><?xml version="1.0" encoding="utf-8"?>
<ds:datastoreItem xmlns:ds="http://schemas.openxmlformats.org/officeDocument/2006/customXml" ds:itemID="{B3E97589-2942-4F32-80CA-695F824BD7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1DB23-DA4A-8640-9841-843673BD54C8}">
  <ds:schemaRefs>
    <ds:schemaRef ds:uri="http://schemas.openxmlformats.org/officeDocument/2006/bibliography"/>
  </ds:schemaRefs>
</ds:datastoreItem>
</file>

<file path=customXml/itemProps4.xml><?xml version="1.0" encoding="utf-8"?>
<ds:datastoreItem xmlns:ds="http://schemas.openxmlformats.org/officeDocument/2006/customXml" ds:itemID="{9E269027-FA70-43E3-9B19-9130696D7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7220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8349</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René Brünn</cp:lastModifiedBy>
  <cp:revision>6</cp:revision>
  <cp:lastPrinted>2016-03-18T12:46:00Z</cp:lastPrinted>
  <dcterms:created xsi:type="dcterms:W3CDTF">2021-11-27T21:56:00Z</dcterms:created>
  <dcterms:modified xsi:type="dcterms:W3CDTF">2022-04-26T09:02:00Z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ies>
</file>