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B10E" w14:textId="77777777" w:rsidR="00760211" w:rsidRPr="00201515" w:rsidRDefault="00760211" w:rsidP="00760211">
      <w:pPr>
        <w:jc w:val="both"/>
        <w:rPr>
          <w:b/>
          <w:bCs/>
          <w:noProof/>
        </w:rPr>
      </w:pPr>
      <w:bookmarkStart w:id="0" w:name="_Hlk75343314"/>
      <w:bookmarkEnd w:id="0"/>
      <w:r w:rsidRPr="00201515">
        <w:rPr>
          <w:b/>
          <w:bCs/>
          <w:noProof/>
        </w:rPr>
        <w:t>Ohne Baustrom keine Baustelle</w:t>
      </w:r>
    </w:p>
    <w:p w14:paraId="1EEA2AB9" w14:textId="77777777" w:rsidR="00760211" w:rsidRDefault="00760211" w:rsidP="00760211">
      <w:pPr>
        <w:jc w:val="both"/>
        <w:rPr>
          <w:noProof/>
        </w:rPr>
      </w:pPr>
    </w:p>
    <w:p w14:paraId="1875BD5F" w14:textId="5A65B8E0" w:rsidR="00760211" w:rsidRPr="003F6144" w:rsidRDefault="00760211" w:rsidP="00760211">
      <w:pPr>
        <w:jc w:val="both"/>
        <w:rPr>
          <w:noProof/>
        </w:rPr>
      </w:pPr>
      <w:r>
        <w:rPr>
          <w:noProof/>
        </w:rPr>
        <w:t>Baustromversorgung war einer der ersten Anwendungsfelder für Fehlerstrom-Schutzeinrichtungen (RCDs). Durch den Einsatz neuer elektrischer Betriebsmittel/</w:t>
      </w:r>
      <w:r w:rsidR="00C51839">
        <w:rPr>
          <w:noProof/>
        </w:rPr>
        <w:t xml:space="preserve"> </w:t>
      </w:r>
      <w:r>
        <w:rPr>
          <w:noProof/>
        </w:rPr>
        <w:t>Arbeitsmittel ergeben sich veränderte Anforderungen und sogar Wechselwirkungen für die Baustromversorgung.</w:t>
      </w:r>
    </w:p>
    <w:p w14:paraId="77EEA7E5" w14:textId="77777777" w:rsidR="00760211" w:rsidRPr="003F6144" w:rsidRDefault="00760211" w:rsidP="00760211">
      <w:pPr>
        <w:jc w:val="both"/>
        <w:rPr>
          <w:noProof/>
        </w:rPr>
      </w:pPr>
    </w:p>
    <w:p w14:paraId="19ABF9D9" w14:textId="77777777" w:rsidR="00760211" w:rsidRDefault="00760211" w:rsidP="00760211">
      <w:pPr>
        <w:jc w:val="both"/>
        <w:rPr>
          <w:b/>
          <w:bCs/>
          <w:noProof/>
        </w:rPr>
      </w:pPr>
      <w:r w:rsidRPr="00201515">
        <w:rPr>
          <w:b/>
          <w:bCs/>
          <w:noProof/>
        </w:rPr>
        <w:t>Richtiger Einsatz von RCDs (Fehlerstrom-Schutzeinrichtungen)</w:t>
      </w:r>
    </w:p>
    <w:p w14:paraId="759CC4D5" w14:textId="77777777" w:rsidR="00760211" w:rsidRDefault="00760211" w:rsidP="00760211">
      <w:pPr>
        <w:jc w:val="both"/>
        <w:rPr>
          <w:noProof/>
        </w:rPr>
      </w:pPr>
    </w:p>
    <w:p w14:paraId="1A3818C4" w14:textId="77777777" w:rsidR="00760211" w:rsidRDefault="00760211" w:rsidP="00760211">
      <w:pPr>
        <w:jc w:val="both"/>
        <w:rPr>
          <w:noProof/>
        </w:rPr>
      </w:pPr>
      <w:r>
        <w:rPr>
          <w:noProof/>
        </w:rPr>
        <w:t xml:space="preserve">RCDs stellen bereits seit vielen Jahren eine bewährte und normativ geforderte Sicherheitsbeschaltung in elektrischen Anlagen auf Baustellen dar. Bei den modernen (Antriebs-) Techniken die heutzutage Anwendung in den Baugeräten finden, sind auch zeitgemäße Schutzmaßnahmen erforderlich. Jeder kennt in der Zwischenzeit eine Vielzahl von Geräten mit Drehzahlsteuerung/Sanftanlauf wie z. B. bei handgeführten Elektrowerkzeuge oder Kran- und Aufzugsanlagen, Silos, Mischern und vieles andere mehr. </w:t>
      </w:r>
    </w:p>
    <w:p w14:paraId="751AD491" w14:textId="77777777" w:rsidR="00760211" w:rsidRDefault="00760211" w:rsidP="00760211">
      <w:pPr>
        <w:jc w:val="both"/>
        <w:rPr>
          <w:noProof/>
        </w:rPr>
      </w:pPr>
    </w:p>
    <w:p w14:paraId="2159B5D0" w14:textId="24CDA0BA" w:rsidR="00760211" w:rsidRDefault="00760211" w:rsidP="00760211">
      <w:pPr>
        <w:jc w:val="both"/>
        <w:rPr>
          <w:noProof/>
        </w:rPr>
      </w:pPr>
      <w:r>
        <w:rPr>
          <w:noProof/>
        </w:rPr>
        <w:t xml:space="preserve">Diese neuen Geräte können jedoch </w:t>
      </w:r>
      <w:r w:rsidRPr="00201515">
        <w:rPr>
          <w:noProof/>
        </w:rPr>
        <w:t>nicht</w:t>
      </w:r>
      <w:r>
        <w:rPr>
          <w:noProof/>
        </w:rPr>
        <w:t xml:space="preserve"> mehr sicher mit den seit Jahrzehnten eingesetzten RCDs vom Typ A betrieben werden. Sind noch RCD vom Typ A in der Stromversorgung, so ist bei dem Einsatz dieser neuen Geräte, keine sichere Abschaltung im Fehlerfall mehr gewährleistet. Für Laien ist es nahezu unmöglich und für Profis in der Praxis nur schwer zu erkennen, welche Anforderungen das entsprechende elektrische Betriebmittel an den vorgeschalteten RCD stellt. Aus diesem Grunde wurde durch die Herausgabe der DIN VDE 0100-704 vom Oktober 2018 eine einheitliche und technisch längst überfällige Festlegung getroffen.</w:t>
      </w:r>
    </w:p>
    <w:p w14:paraId="09A0BF36" w14:textId="77777777" w:rsidR="00760211" w:rsidRPr="00201515" w:rsidRDefault="00760211" w:rsidP="00760211">
      <w:pPr>
        <w:jc w:val="both"/>
        <w:rPr>
          <w:b/>
          <w:bCs/>
          <w:noProof/>
        </w:rPr>
      </w:pPr>
    </w:p>
    <w:p w14:paraId="76D43B81" w14:textId="77777777" w:rsidR="00760211" w:rsidRDefault="00760211" w:rsidP="00760211">
      <w:pPr>
        <w:jc w:val="both"/>
        <w:rPr>
          <w:b/>
          <w:bCs/>
          <w:noProof/>
        </w:rPr>
      </w:pPr>
      <w:r w:rsidRPr="00201515">
        <w:rPr>
          <w:b/>
          <w:bCs/>
          <w:noProof/>
        </w:rPr>
        <w:t>Wichtiger Hinweis für elektrische Anlagen auf Baustellen</w:t>
      </w:r>
      <w:r>
        <w:rPr>
          <w:b/>
          <w:bCs/>
          <w:noProof/>
        </w:rPr>
        <w:t xml:space="preserve"> ab spätestens 18.05.2021</w:t>
      </w:r>
    </w:p>
    <w:p w14:paraId="46FBA93E" w14:textId="77777777" w:rsidR="00760211" w:rsidRPr="00201515" w:rsidRDefault="00760211" w:rsidP="00760211">
      <w:pPr>
        <w:jc w:val="both"/>
        <w:rPr>
          <w:b/>
          <w:bCs/>
          <w:noProof/>
        </w:rPr>
      </w:pPr>
    </w:p>
    <w:p w14:paraId="3F988039" w14:textId="388FF93B" w:rsidR="00760211" w:rsidRPr="007F4382" w:rsidRDefault="00760211" w:rsidP="00760211">
      <w:pPr>
        <w:jc w:val="both"/>
        <w:rPr>
          <w:noProof/>
        </w:rPr>
      </w:pPr>
      <w:r w:rsidRPr="00902B57">
        <w:rPr>
          <w:b/>
          <w:bCs/>
          <w:noProof/>
        </w:rPr>
        <w:t>Drehstrom-Steckdosen</w:t>
      </w:r>
      <w:r w:rsidRPr="007F4382">
        <w:rPr>
          <w:noProof/>
        </w:rPr>
        <w:t xml:space="preserve"> bis einschließlich </w:t>
      </w:r>
      <w:r w:rsidRPr="00902B57">
        <w:rPr>
          <w:b/>
          <w:bCs/>
          <w:noProof/>
        </w:rPr>
        <w:t>63 A</w:t>
      </w:r>
      <w:r w:rsidRPr="007F4382">
        <w:rPr>
          <w:noProof/>
        </w:rPr>
        <w:t xml:space="preserve"> müssen mit einer Fehlerstrom-Schutzeinrichtung vom </w:t>
      </w:r>
      <w:r w:rsidRPr="00902B57">
        <w:rPr>
          <w:b/>
          <w:bCs/>
          <w:noProof/>
        </w:rPr>
        <w:t>Typ B</w:t>
      </w:r>
      <w:r w:rsidRPr="007F4382">
        <w:rPr>
          <w:noProof/>
        </w:rPr>
        <w:t xml:space="preserve"> </w:t>
      </w:r>
      <w:r w:rsidR="006544BA">
        <w:rPr>
          <w:noProof/>
        </w:rPr>
        <w:t xml:space="preserve">in </w:t>
      </w:r>
      <w:r w:rsidRPr="007F4382">
        <w:rPr>
          <w:noProof/>
        </w:rPr>
        <w:t>Übereinstimmung mit EN 62423 geschützt werden</w:t>
      </w:r>
    </w:p>
    <w:p w14:paraId="587BD63C" w14:textId="77777777" w:rsidR="00760211" w:rsidRPr="007F4382" w:rsidRDefault="00760211" w:rsidP="00760211">
      <w:pPr>
        <w:jc w:val="both"/>
        <w:rPr>
          <w:noProof/>
        </w:rPr>
      </w:pPr>
    </w:p>
    <w:p w14:paraId="21D6993C" w14:textId="77777777" w:rsidR="00760211" w:rsidRPr="00391C06" w:rsidRDefault="00760211" w:rsidP="00760211">
      <w:pPr>
        <w:jc w:val="both"/>
        <w:rPr>
          <w:b/>
          <w:noProof/>
        </w:rPr>
      </w:pPr>
      <w:r w:rsidRPr="00C51839">
        <w:rPr>
          <w:b/>
          <w:noProof/>
        </w:rPr>
        <w:t>Hier die aktuellen Anforderungen an die Stromkreise zur Versorgung von Steckdosen ab dem 18.05.2021 bei einem Baustromverteiler:</w:t>
      </w:r>
    </w:p>
    <w:p w14:paraId="40C159AE" w14:textId="77777777" w:rsidR="00760211" w:rsidRDefault="00760211" w:rsidP="00760211">
      <w:pPr>
        <w:jc w:val="both"/>
        <w:rPr>
          <w:noProof/>
          <w:highlight w:val="yellow"/>
        </w:rPr>
      </w:pPr>
    </w:p>
    <w:tbl>
      <w:tblPr>
        <w:tblStyle w:val="Gitternetztabelle1hell"/>
        <w:tblW w:w="0" w:type="auto"/>
        <w:tblLook w:val="04A0" w:firstRow="1" w:lastRow="0" w:firstColumn="1" w:lastColumn="0" w:noHBand="0" w:noVBand="1"/>
      </w:tblPr>
      <w:tblGrid>
        <w:gridCol w:w="3178"/>
        <w:gridCol w:w="3117"/>
        <w:gridCol w:w="3162"/>
      </w:tblGrid>
      <w:tr w:rsidR="00760211" w:rsidRPr="007F4382" w14:paraId="71DEBC6A" w14:textId="77777777" w:rsidTr="00ED7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549A3B9B" w14:textId="77777777" w:rsidR="00760211" w:rsidRPr="007F4382" w:rsidRDefault="00760211" w:rsidP="007D2B13">
            <w:pPr>
              <w:rPr>
                <w:noProof/>
              </w:rPr>
            </w:pPr>
            <w:r w:rsidRPr="007F4382">
              <w:rPr>
                <w:noProof/>
              </w:rPr>
              <w:t>Steckdosentyp</w:t>
            </w:r>
          </w:p>
        </w:tc>
        <w:tc>
          <w:tcPr>
            <w:tcW w:w="3247" w:type="dxa"/>
          </w:tcPr>
          <w:p w14:paraId="3BED8984" w14:textId="77777777" w:rsidR="00760211" w:rsidRPr="007F4382" w:rsidRDefault="00760211" w:rsidP="007D2B13">
            <w:pPr>
              <w:cnfStyle w:val="100000000000" w:firstRow="1" w:lastRow="0" w:firstColumn="0" w:lastColumn="0" w:oddVBand="0" w:evenVBand="0" w:oddHBand="0" w:evenHBand="0" w:firstRowFirstColumn="0" w:firstRowLastColumn="0" w:lastRowFirstColumn="0" w:lastRowLastColumn="0"/>
              <w:rPr>
                <w:noProof/>
              </w:rPr>
            </w:pPr>
            <w:r w:rsidRPr="007F4382">
              <w:rPr>
                <w:noProof/>
              </w:rPr>
              <w:t>RCD Typ</w:t>
            </w:r>
          </w:p>
        </w:tc>
        <w:tc>
          <w:tcPr>
            <w:tcW w:w="3247" w:type="dxa"/>
          </w:tcPr>
          <w:p w14:paraId="22C16F7C" w14:textId="77777777" w:rsidR="00760211" w:rsidRPr="007F4382" w:rsidRDefault="00760211" w:rsidP="007D2B13">
            <w:pPr>
              <w:cnfStyle w:val="100000000000" w:firstRow="1" w:lastRow="0" w:firstColumn="0" w:lastColumn="0" w:oddVBand="0" w:evenVBand="0" w:oddHBand="0" w:evenHBand="0" w:firstRowFirstColumn="0" w:firstRowLastColumn="0" w:lastRowFirstColumn="0" w:lastRowLastColumn="0"/>
              <w:rPr>
                <w:noProof/>
              </w:rPr>
            </w:pPr>
            <w:r w:rsidRPr="007F4382">
              <w:rPr>
                <w:noProof/>
              </w:rPr>
              <w:t>max. Fehlerstrom der RCD</w:t>
            </w:r>
          </w:p>
        </w:tc>
      </w:tr>
      <w:tr w:rsidR="00760211" w:rsidRPr="007F4382" w14:paraId="377BEDFA" w14:textId="77777777" w:rsidTr="00ED75DC">
        <w:tc>
          <w:tcPr>
            <w:cnfStyle w:val="001000000000" w:firstRow="0" w:lastRow="0" w:firstColumn="1" w:lastColumn="0" w:oddVBand="0" w:evenVBand="0" w:oddHBand="0" w:evenHBand="0" w:firstRowFirstColumn="0" w:firstRowLastColumn="0" w:lastRowFirstColumn="0" w:lastRowLastColumn="0"/>
            <w:tcW w:w="3247" w:type="dxa"/>
          </w:tcPr>
          <w:p w14:paraId="08EF1C95" w14:textId="77777777" w:rsidR="00760211" w:rsidRPr="00902B57" w:rsidRDefault="00760211" w:rsidP="00ED75DC">
            <w:pPr>
              <w:jc w:val="both"/>
              <w:rPr>
                <w:b w:val="0"/>
                <w:bCs w:val="0"/>
                <w:noProof/>
              </w:rPr>
            </w:pPr>
            <w:r w:rsidRPr="00902B57">
              <w:rPr>
                <w:b w:val="0"/>
                <w:bCs w:val="0"/>
                <w:noProof/>
              </w:rPr>
              <w:t>Schuko</w:t>
            </w:r>
          </w:p>
        </w:tc>
        <w:tc>
          <w:tcPr>
            <w:tcW w:w="3247" w:type="dxa"/>
          </w:tcPr>
          <w:p w14:paraId="58282D29" w14:textId="29B6983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Typ A</w:t>
            </w:r>
          </w:p>
        </w:tc>
        <w:tc>
          <w:tcPr>
            <w:tcW w:w="3247" w:type="dxa"/>
          </w:tcPr>
          <w:p w14:paraId="18595E1B" w14:textId="7777777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30 mA</w:t>
            </w:r>
          </w:p>
        </w:tc>
      </w:tr>
      <w:tr w:rsidR="00760211" w:rsidRPr="007F4382" w14:paraId="6C3C7519" w14:textId="77777777" w:rsidTr="00ED75DC">
        <w:tc>
          <w:tcPr>
            <w:cnfStyle w:val="001000000000" w:firstRow="0" w:lastRow="0" w:firstColumn="1" w:lastColumn="0" w:oddVBand="0" w:evenVBand="0" w:oddHBand="0" w:evenHBand="0" w:firstRowFirstColumn="0" w:firstRowLastColumn="0" w:lastRowFirstColumn="0" w:lastRowLastColumn="0"/>
            <w:tcW w:w="3247" w:type="dxa"/>
          </w:tcPr>
          <w:p w14:paraId="28656431" w14:textId="77777777" w:rsidR="00760211" w:rsidRPr="00902B57" w:rsidRDefault="00760211" w:rsidP="00ED75DC">
            <w:pPr>
              <w:jc w:val="both"/>
              <w:rPr>
                <w:b w:val="0"/>
                <w:bCs w:val="0"/>
                <w:noProof/>
              </w:rPr>
            </w:pPr>
            <w:r w:rsidRPr="00902B57">
              <w:rPr>
                <w:b w:val="0"/>
                <w:bCs w:val="0"/>
                <w:noProof/>
              </w:rPr>
              <w:t>CEE 16 A (blau)</w:t>
            </w:r>
          </w:p>
        </w:tc>
        <w:tc>
          <w:tcPr>
            <w:tcW w:w="3247" w:type="dxa"/>
          </w:tcPr>
          <w:p w14:paraId="54C17382" w14:textId="51689D9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Typ A</w:t>
            </w:r>
          </w:p>
        </w:tc>
        <w:tc>
          <w:tcPr>
            <w:tcW w:w="3247" w:type="dxa"/>
          </w:tcPr>
          <w:p w14:paraId="1C79158D" w14:textId="7777777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30 mA</w:t>
            </w:r>
          </w:p>
        </w:tc>
      </w:tr>
      <w:tr w:rsidR="00760211" w:rsidRPr="007F4382" w14:paraId="507183AA" w14:textId="77777777" w:rsidTr="00ED75DC">
        <w:tc>
          <w:tcPr>
            <w:cnfStyle w:val="001000000000" w:firstRow="0" w:lastRow="0" w:firstColumn="1" w:lastColumn="0" w:oddVBand="0" w:evenVBand="0" w:oddHBand="0" w:evenHBand="0" w:firstRowFirstColumn="0" w:firstRowLastColumn="0" w:lastRowFirstColumn="0" w:lastRowLastColumn="0"/>
            <w:tcW w:w="3247" w:type="dxa"/>
          </w:tcPr>
          <w:p w14:paraId="666526BB" w14:textId="77777777" w:rsidR="00760211" w:rsidRPr="00902B57" w:rsidRDefault="00760211" w:rsidP="00ED75DC">
            <w:pPr>
              <w:jc w:val="both"/>
              <w:rPr>
                <w:b w:val="0"/>
                <w:bCs w:val="0"/>
                <w:noProof/>
              </w:rPr>
            </w:pPr>
            <w:r w:rsidRPr="00902B57">
              <w:rPr>
                <w:b w:val="0"/>
                <w:bCs w:val="0"/>
                <w:noProof/>
              </w:rPr>
              <w:t>CEE 16 A (rot)</w:t>
            </w:r>
          </w:p>
        </w:tc>
        <w:tc>
          <w:tcPr>
            <w:tcW w:w="3247" w:type="dxa"/>
          </w:tcPr>
          <w:p w14:paraId="518BCE71" w14:textId="15CC5ECE"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Typ B</w:t>
            </w:r>
          </w:p>
        </w:tc>
        <w:tc>
          <w:tcPr>
            <w:tcW w:w="3247" w:type="dxa"/>
          </w:tcPr>
          <w:p w14:paraId="7B7B9E36" w14:textId="7777777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30 mA</w:t>
            </w:r>
          </w:p>
        </w:tc>
      </w:tr>
      <w:tr w:rsidR="00760211" w:rsidRPr="007F4382" w14:paraId="52297420" w14:textId="77777777" w:rsidTr="00ED75DC">
        <w:tc>
          <w:tcPr>
            <w:cnfStyle w:val="001000000000" w:firstRow="0" w:lastRow="0" w:firstColumn="1" w:lastColumn="0" w:oddVBand="0" w:evenVBand="0" w:oddHBand="0" w:evenHBand="0" w:firstRowFirstColumn="0" w:firstRowLastColumn="0" w:lastRowFirstColumn="0" w:lastRowLastColumn="0"/>
            <w:tcW w:w="3247" w:type="dxa"/>
          </w:tcPr>
          <w:p w14:paraId="2DD4E8F3" w14:textId="77777777" w:rsidR="00760211" w:rsidRPr="00902B57" w:rsidRDefault="00760211" w:rsidP="00ED75DC">
            <w:pPr>
              <w:jc w:val="both"/>
              <w:rPr>
                <w:b w:val="0"/>
                <w:bCs w:val="0"/>
                <w:noProof/>
              </w:rPr>
            </w:pPr>
            <w:r w:rsidRPr="00902B57">
              <w:rPr>
                <w:b w:val="0"/>
                <w:bCs w:val="0"/>
                <w:noProof/>
              </w:rPr>
              <w:t>CEE 32 A (rot)</w:t>
            </w:r>
          </w:p>
        </w:tc>
        <w:tc>
          <w:tcPr>
            <w:tcW w:w="3247" w:type="dxa"/>
          </w:tcPr>
          <w:p w14:paraId="5BF98419" w14:textId="727D0481"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Typ B</w:t>
            </w:r>
          </w:p>
        </w:tc>
        <w:tc>
          <w:tcPr>
            <w:tcW w:w="3247" w:type="dxa"/>
          </w:tcPr>
          <w:p w14:paraId="0E4D9A69" w14:textId="7777777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30 mA</w:t>
            </w:r>
          </w:p>
        </w:tc>
      </w:tr>
      <w:tr w:rsidR="00760211" w:rsidRPr="007F4382" w14:paraId="2AF3C6A6" w14:textId="77777777" w:rsidTr="00ED75DC">
        <w:tc>
          <w:tcPr>
            <w:cnfStyle w:val="001000000000" w:firstRow="0" w:lastRow="0" w:firstColumn="1" w:lastColumn="0" w:oddVBand="0" w:evenVBand="0" w:oddHBand="0" w:evenHBand="0" w:firstRowFirstColumn="0" w:firstRowLastColumn="0" w:lastRowFirstColumn="0" w:lastRowLastColumn="0"/>
            <w:tcW w:w="3247" w:type="dxa"/>
          </w:tcPr>
          <w:p w14:paraId="1B58E27E" w14:textId="77777777" w:rsidR="00760211" w:rsidRPr="00902B57" w:rsidRDefault="00760211" w:rsidP="00ED75DC">
            <w:pPr>
              <w:jc w:val="both"/>
              <w:rPr>
                <w:b w:val="0"/>
                <w:bCs w:val="0"/>
                <w:noProof/>
              </w:rPr>
            </w:pPr>
            <w:r w:rsidRPr="00902B57">
              <w:rPr>
                <w:b w:val="0"/>
                <w:bCs w:val="0"/>
                <w:noProof/>
              </w:rPr>
              <w:t>CEE 63 A (rot)</w:t>
            </w:r>
          </w:p>
        </w:tc>
        <w:tc>
          <w:tcPr>
            <w:tcW w:w="3247" w:type="dxa"/>
          </w:tcPr>
          <w:p w14:paraId="3BF5C0B5" w14:textId="3E89BF3C"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Typ B</w:t>
            </w:r>
          </w:p>
        </w:tc>
        <w:tc>
          <w:tcPr>
            <w:tcW w:w="3247" w:type="dxa"/>
          </w:tcPr>
          <w:p w14:paraId="5DEEBDCA" w14:textId="7777777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sidRPr="007F4382">
              <w:rPr>
                <w:noProof/>
              </w:rPr>
              <w:t>500 mA</w:t>
            </w:r>
          </w:p>
        </w:tc>
      </w:tr>
      <w:tr w:rsidR="00760211" w:rsidRPr="007F4382" w14:paraId="0F151875" w14:textId="77777777" w:rsidTr="00ED75DC">
        <w:tc>
          <w:tcPr>
            <w:cnfStyle w:val="001000000000" w:firstRow="0" w:lastRow="0" w:firstColumn="1" w:lastColumn="0" w:oddVBand="0" w:evenVBand="0" w:oddHBand="0" w:evenHBand="0" w:firstRowFirstColumn="0" w:firstRowLastColumn="0" w:lastRowFirstColumn="0" w:lastRowLastColumn="0"/>
            <w:tcW w:w="3247" w:type="dxa"/>
          </w:tcPr>
          <w:p w14:paraId="6518A718" w14:textId="77777777" w:rsidR="00760211" w:rsidRPr="00902B57" w:rsidRDefault="00760211" w:rsidP="00ED75DC">
            <w:pPr>
              <w:jc w:val="both"/>
              <w:rPr>
                <w:b w:val="0"/>
                <w:bCs w:val="0"/>
                <w:noProof/>
              </w:rPr>
            </w:pPr>
            <w:r w:rsidRPr="00902B57">
              <w:rPr>
                <w:b w:val="0"/>
                <w:bCs w:val="0"/>
                <w:noProof/>
              </w:rPr>
              <w:t>CEE 125 A (rot)</w:t>
            </w:r>
          </w:p>
        </w:tc>
        <w:tc>
          <w:tcPr>
            <w:tcW w:w="6494" w:type="dxa"/>
            <w:gridSpan w:val="2"/>
          </w:tcPr>
          <w:p w14:paraId="7DCF26EC" w14:textId="77777777" w:rsidR="00760211" w:rsidRPr="007F4382" w:rsidRDefault="00760211" w:rsidP="00ED75DC">
            <w:pPr>
              <w:jc w:val="both"/>
              <w:cnfStyle w:val="000000000000" w:firstRow="0" w:lastRow="0" w:firstColumn="0" w:lastColumn="0" w:oddVBand="0" w:evenVBand="0" w:oddHBand="0" w:evenHBand="0" w:firstRowFirstColumn="0" w:firstRowLastColumn="0" w:lastRowFirstColumn="0" w:lastRowLastColumn="0"/>
              <w:rPr>
                <w:noProof/>
              </w:rPr>
            </w:pPr>
            <w:r>
              <w:rPr>
                <w:noProof/>
              </w:rPr>
              <w:t>Nicht normativ geregelt (Empfehlung wie CEE 63 A)</w:t>
            </w:r>
          </w:p>
        </w:tc>
      </w:tr>
    </w:tbl>
    <w:p w14:paraId="3758098F" w14:textId="77777777" w:rsidR="00760211" w:rsidRDefault="00760211" w:rsidP="00760211">
      <w:pPr>
        <w:jc w:val="both"/>
        <w:rPr>
          <w:noProof/>
          <w:highlight w:val="yellow"/>
        </w:rPr>
      </w:pPr>
    </w:p>
    <w:p w14:paraId="2C1EC5E3" w14:textId="652585C0" w:rsidR="00760211" w:rsidRPr="00760211" w:rsidRDefault="00760211" w:rsidP="00760211">
      <w:pPr>
        <w:rPr>
          <w:rFonts w:ascii="Times New Roman" w:hAnsi="Times New Roman"/>
          <w:szCs w:val="24"/>
        </w:rPr>
      </w:pPr>
      <w:r w:rsidRPr="00760211">
        <w:rPr>
          <w:rFonts w:ascii="Times New Roman" w:hAnsi="Times New Roman"/>
          <w:szCs w:val="24"/>
        </w:rPr>
        <w:fldChar w:fldCharType="begin"/>
      </w:r>
      <w:r w:rsidRPr="00760211">
        <w:rPr>
          <w:rFonts w:ascii="Times New Roman" w:hAnsi="Times New Roman"/>
          <w:szCs w:val="24"/>
        </w:rPr>
        <w:instrText xml:space="preserve"> INCLUDEPICTURE "https://upload.wikimedia.org/wikipedia/commons/c/cf/Typ_A-Symbol.png" \* MERGEFORMATINET </w:instrText>
      </w:r>
      <w:r w:rsidR="0051605D">
        <w:rPr>
          <w:rFonts w:ascii="Times New Roman" w:hAnsi="Times New Roman"/>
          <w:szCs w:val="24"/>
        </w:rPr>
        <w:fldChar w:fldCharType="separate"/>
      </w:r>
      <w:r w:rsidRPr="00760211">
        <w:rPr>
          <w:rFonts w:ascii="Times New Roman" w:hAnsi="Times New Roman"/>
          <w:szCs w:val="24"/>
        </w:rPr>
        <w:fldChar w:fldCharType="end"/>
      </w:r>
    </w:p>
    <w:p w14:paraId="4664F83E" w14:textId="77777777" w:rsidR="00760211" w:rsidRDefault="00760211" w:rsidP="00760211">
      <w:pPr>
        <w:jc w:val="both"/>
        <w:rPr>
          <w:noProof/>
        </w:rPr>
      </w:pPr>
      <w:bookmarkStart w:id="1" w:name="_Hlk536014112"/>
      <w:r w:rsidRPr="001437A2">
        <w:rPr>
          <w:b/>
          <w:noProof/>
        </w:rPr>
        <w:lastRenderedPageBreak/>
        <w:t>Wichtiger Hinweis:</w:t>
      </w:r>
      <w:r>
        <w:rPr>
          <w:noProof/>
        </w:rPr>
        <w:t xml:space="preserve"> </w:t>
      </w:r>
    </w:p>
    <w:p w14:paraId="2A942FDA" w14:textId="77777777" w:rsidR="00760211" w:rsidRDefault="00760211" w:rsidP="00760211">
      <w:pPr>
        <w:jc w:val="both"/>
        <w:rPr>
          <w:noProof/>
        </w:rPr>
      </w:pPr>
    </w:p>
    <w:p w14:paraId="11FC830F" w14:textId="77777777" w:rsidR="00760211" w:rsidRDefault="00760211" w:rsidP="00760211">
      <w:pPr>
        <w:jc w:val="both"/>
        <w:rPr>
          <w:noProof/>
        </w:rPr>
      </w:pPr>
      <w:r>
        <w:rPr>
          <w:noProof/>
        </w:rPr>
        <w:t>Zusätzlich ist zu beachten, dass v</w:t>
      </w:r>
      <w:r w:rsidRPr="001437A2">
        <w:rPr>
          <w:noProof/>
        </w:rPr>
        <w:t xml:space="preserve">or RCDs </w:t>
      </w:r>
      <w:r>
        <w:rPr>
          <w:noProof/>
        </w:rPr>
        <w:t xml:space="preserve">vom </w:t>
      </w:r>
      <w:r w:rsidRPr="001437A2">
        <w:rPr>
          <w:noProof/>
        </w:rPr>
        <w:t xml:space="preserve">Typ B keine RCDs </w:t>
      </w:r>
      <w:r>
        <w:rPr>
          <w:noProof/>
        </w:rPr>
        <w:t xml:space="preserve">vom </w:t>
      </w:r>
      <w:r w:rsidRPr="001437A2">
        <w:rPr>
          <w:noProof/>
        </w:rPr>
        <w:t>Typ A verwendet</w:t>
      </w:r>
      <w:r>
        <w:rPr>
          <w:noProof/>
        </w:rPr>
        <w:t xml:space="preserve"> </w:t>
      </w:r>
      <w:r w:rsidRPr="001437A2">
        <w:rPr>
          <w:noProof/>
        </w:rPr>
        <w:t>werden</w:t>
      </w:r>
      <w:r>
        <w:rPr>
          <w:noProof/>
        </w:rPr>
        <w:t xml:space="preserve"> dürfen</w:t>
      </w:r>
      <w:r w:rsidRPr="001437A2">
        <w:rPr>
          <w:noProof/>
        </w:rPr>
        <w:t xml:space="preserve">. Eventuell auftretende Gleichfehlerströme können </w:t>
      </w:r>
      <w:r>
        <w:rPr>
          <w:noProof/>
        </w:rPr>
        <w:t xml:space="preserve">in dieser Anordnung </w:t>
      </w:r>
      <w:r w:rsidRPr="001437A2">
        <w:rPr>
          <w:noProof/>
        </w:rPr>
        <w:t xml:space="preserve">verhindern, dass </w:t>
      </w:r>
      <w:r>
        <w:rPr>
          <w:noProof/>
        </w:rPr>
        <w:t xml:space="preserve">die vorgeschaltete </w:t>
      </w:r>
      <w:r w:rsidRPr="001437A2">
        <w:rPr>
          <w:noProof/>
        </w:rPr>
        <w:t xml:space="preserve">RCD </w:t>
      </w:r>
      <w:r>
        <w:rPr>
          <w:noProof/>
        </w:rPr>
        <w:t xml:space="preserve">vom </w:t>
      </w:r>
      <w:r w:rsidRPr="001437A2">
        <w:rPr>
          <w:noProof/>
        </w:rPr>
        <w:t xml:space="preserve">Typ A </w:t>
      </w:r>
      <w:r>
        <w:rPr>
          <w:noProof/>
        </w:rPr>
        <w:t xml:space="preserve">im Fehlerfall auslöst. (RCDs vom Typ A fahren ab ca. 6 mA </w:t>
      </w:r>
      <w:r w:rsidRPr="001437A2">
        <w:rPr>
          <w:noProof/>
        </w:rPr>
        <w:t>Gleichfehlerstr</w:t>
      </w:r>
      <w:r>
        <w:rPr>
          <w:noProof/>
        </w:rPr>
        <w:t>o</w:t>
      </w:r>
      <w:r w:rsidRPr="001437A2">
        <w:rPr>
          <w:noProof/>
        </w:rPr>
        <w:t>m</w:t>
      </w:r>
      <w:r>
        <w:rPr>
          <w:noProof/>
        </w:rPr>
        <w:t xml:space="preserve"> in eine magnetische Sättigung und können so verlangsamt oder garnicht mehr auslösen)</w:t>
      </w:r>
      <w:r w:rsidRPr="001437A2">
        <w:rPr>
          <w:noProof/>
        </w:rPr>
        <w:t>.</w:t>
      </w:r>
    </w:p>
    <w:p w14:paraId="1F3C8728" w14:textId="77777777" w:rsidR="00760211" w:rsidRDefault="00760211" w:rsidP="00760211">
      <w:pPr>
        <w:jc w:val="both"/>
        <w:rPr>
          <w:noProof/>
        </w:rPr>
      </w:pPr>
    </w:p>
    <w:p w14:paraId="7019BF8D" w14:textId="77777777" w:rsidR="00760211" w:rsidRPr="00201515" w:rsidRDefault="00760211" w:rsidP="00760211">
      <w:pPr>
        <w:jc w:val="both"/>
        <w:rPr>
          <w:b/>
          <w:noProof/>
        </w:rPr>
      </w:pPr>
      <w:r w:rsidRPr="00201515">
        <w:rPr>
          <w:b/>
          <w:noProof/>
        </w:rPr>
        <w:t>Prüfung der RCD Schutzeinrichtung</w:t>
      </w:r>
    </w:p>
    <w:p w14:paraId="26D68301" w14:textId="77777777" w:rsidR="00760211" w:rsidRDefault="00760211" w:rsidP="00760211">
      <w:pPr>
        <w:jc w:val="both"/>
        <w:rPr>
          <w:noProof/>
        </w:rPr>
      </w:pPr>
    </w:p>
    <w:p w14:paraId="0E6C7DBB" w14:textId="77777777" w:rsidR="00760211" w:rsidRDefault="00760211" w:rsidP="00760211">
      <w:pPr>
        <w:jc w:val="both"/>
        <w:rPr>
          <w:noProof/>
        </w:rPr>
      </w:pPr>
      <w:r w:rsidRPr="00201515">
        <w:rPr>
          <w:noProof/>
        </w:rPr>
        <w:t xml:space="preserve">Durch die Festlegung der Verwendung von RCDs Typ B können ältere Messgeräte diese Schutzeinrichtung meist </w:t>
      </w:r>
      <w:r w:rsidRPr="00201515">
        <w:rPr>
          <w:b/>
          <w:noProof/>
        </w:rPr>
        <w:t>nicht</w:t>
      </w:r>
      <w:r w:rsidRPr="00201515">
        <w:rPr>
          <w:noProof/>
        </w:rPr>
        <w:t xml:space="preserve"> regelwerkskonform prüfen. Sie verfügen über kein geeignetes Messverfahren. Hier ist bei der Erst- und Wiederholungsprüfung darauf zu achten, dass nur geeignete Messgeräte</w:t>
      </w:r>
      <w:r>
        <w:rPr>
          <w:noProof/>
        </w:rPr>
        <w:t>, die einen RCD vom Typ B prüfen können,</w:t>
      </w:r>
      <w:r w:rsidRPr="00201515">
        <w:rPr>
          <w:noProof/>
        </w:rPr>
        <w:t xml:space="preserve"> und nachweislich „zur Prüfung befähigte Elektrofachkräfte“ zum Einsatz gelangen.</w:t>
      </w:r>
    </w:p>
    <w:p w14:paraId="73202388" w14:textId="77777777" w:rsidR="00760211" w:rsidRDefault="00760211" w:rsidP="00760211">
      <w:pPr>
        <w:jc w:val="both"/>
        <w:rPr>
          <w:b/>
          <w:noProof/>
        </w:rPr>
      </w:pPr>
    </w:p>
    <w:p w14:paraId="330005E1" w14:textId="77777777" w:rsidR="00760211" w:rsidRPr="00470A0D" w:rsidRDefault="00760211" w:rsidP="00760211">
      <w:pPr>
        <w:jc w:val="both"/>
        <w:rPr>
          <w:b/>
          <w:noProof/>
        </w:rPr>
      </w:pPr>
      <w:r w:rsidRPr="00470A0D">
        <w:rPr>
          <w:b/>
          <w:noProof/>
        </w:rPr>
        <w:t>Forderung von einer Einrichtungen zum Trennen (Hauptschalter) bei einem Baustromverteiler</w:t>
      </w:r>
    </w:p>
    <w:p w14:paraId="22EE4AC1" w14:textId="77777777" w:rsidR="00760211" w:rsidRDefault="00760211" w:rsidP="00760211">
      <w:pPr>
        <w:jc w:val="both"/>
        <w:rPr>
          <w:noProof/>
        </w:rPr>
      </w:pPr>
    </w:p>
    <w:p w14:paraId="2AB68291" w14:textId="77777777" w:rsidR="00760211" w:rsidRDefault="00760211" w:rsidP="00760211">
      <w:pPr>
        <w:jc w:val="both"/>
        <w:rPr>
          <w:noProof/>
        </w:rPr>
      </w:pPr>
      <w:r>
        <w:rPr>
          <w:noProof/>
        </w:rPr>
        <w:t xml:space="preserve">Festangeschlossene Baustromverteiler mit Steckdosen </w:t>
      </w:r>
      <w:r w:rsidRPr="00CD104E">
        <w:rPr>
          <w:noProof/>
        </w:rPr>
        <w:t xml:space="preserve">müssen Einrichtungen zum Trennen der Einspeisung, die gegen Einschalten abschließbar und für Laien benutzbar sind, enthalten. Eine verschließbare Umhüllung ist </w:t>
      </w:r>
      <w:r w:rsidRPr="00650E78">
        <w:rPr>
          <w:b/>
          <w:noProof/>
        </w:rPr>
        <w:t>nicht</w:t>
      </w:r>
      <w:r w:rsidRPr="00CD104E">
        <w:rPr>
          <w:noProof/>
        </w:rPr>
        <w:t xml:space="preserve"> ausreichend. Ein Vorhängeschloss am Baustromverteiler genügt somit </w:t>
      </w:r>
      <w:r w:rsidRPr="00650E78">
        <w:rPr>
          <w:b/>
          <w:noProof/>
        </w:rPr>
        <w:t>nicht</w:t>
      </w:r>
      <w:r w:rsidRPr="00CD104E">
        <w:rPr>
          <w:noProof/>
        </w:rPr>
        <w:t xml:space="preserve"> mehr.</w:t>
      </w:r>
      <w:r>
        <w:rPr>
          <w:noProof/>
        </w:rPr>
        <w:t xml:space="preserve"> Dies bedeutet, dass im Baustromverteiler ein Hauptschalter zusätzlich vorhanden sein muss.</w:t>
      </w:r>
    </w:p>
    <w:p w14:paraId="36BBADD9" w14:textId="77777777" w:rsidR="00760211" w:rsidRDefault="00760211" w:rsidP="00760211">
      <w:pPr>
        <w:jc w:val="both"/>
        <w:rPr>
          <w:noProof/>
        </w:rPr>
      </w:pPr>
    </w:p>
    <w:p w14:paraId="59092803" w14:textId="77777777" w:rsidR="00760211" w:rsidRPr="00201515" w:rsidRDefault="00760211" w:rsidP="00760211">
      <w:pPr>
        <w:jc w:val="both"/>
        <w:rPr>
          <w:noProof/>
        </w:rPr>
      </w:pPr>
      <w:r w:rsidRPr="00201515">
        <w:rPr>
          <w:b/>
          <w:noProof/>
        </w:rPr>
        <w:t>Zugelassene Leitungsbauarten/Leitungstypen</w:t>
      </w:r>
    </w:p>
    <w:p w14:paraId="4F50CE2F" w14:textId="77777777" w:rsidR="00760211" w:rsidRDefault="00760211" w:rsidP="00760211">
      <w:pPr>
        <w:jc w:val="both"/>
        <w:rPr>
          <w:noProof/>
        </w:rPr>
      </w:pPr>
    </w:p>
    <w:p w14:paraId="6A02CBC5" w14:textId="77777777" w:rsidR="00760211" w:rsidRPr="00201515" w:rsidRDefault="00760211" w:rsidP="00760211">
      <w:pPr>
        <w:jc w:val="both"/>
        <w:rPr>
          <w:b/>
          <w:noProof/>
        </w:rPr>
      </w:pPr>
      <w:r w:rsidRPr="00201515">
        <w:rPr>
          <w:noProof/>
        </w:rPr>
        <w:t>Da gerade auf Baustellen die Umgebungsbedingungen oftmals große Belastungen aufweisen, ist die richtige Auswahl der flexiblen Leitungen und deren Bauart ein wichtiger Sicherheitsfaktor.</w:t>
      </w:r>
      <w:r w:rsidRPr="00201515">
        <w:rPr>
          <w:b/>
          <w:noProof/>
        </w:rPr>
        <w:t xml:space="preserve"> </w:t>
      </w:r>
    </w:p>
    <w:p w14:paraId="08503796" w14:textId="77777777" w:rsidR="00760211" w:rsidRPr="00201515" w:rsidRDefault="00760211" w:rsidP="00760211">
      <w:pPr>
        <w:spacing w:after="60"/>
        <w:jc w:val="both"/>
        <w:rPr>
          <w:noProof/>
        </w:rPr>
      </w:pPr>
      <w:r w:rsidRPr="00201515">
        <w:rPr>
          <w:noProof/>
        </w:rPr>
        <w:t xml:space="preserve">Derzeit sind folgende Bauarten, für den Anschluß der Baustromversorgung, zugelassen: </w:t>
      </w:r>
    </w:p>
    <w:p w14:paraId="08712201" w14:textId="77777777" w:rsidR="00760211" w:rsidRPr="007316CA" w:rsidRDefault="00760211" w:rsidP="00760211">
      <w:pPr>
        <w:pStyle w:val="Listenabsatz"/>
        <w:numPr>
          <w:ilvl w:val="0"/>
          <w:numId w:val="12"/>
        </w:numPr>
        <w:tabs>
          <w:tab w:val="left" w:pos="4962"/>
        </w:tabs>
        <w:ind w:left="426"/>
        <w:jc w:val="both"/>
        <w:rPr>
          <w:noProof/>
        </w:rPr>
      </w:pPr>
      <w:r w:rsidRPr="007316CA">
        <w:rPr>
          <w:noProof/>
        </w:rPr>
        <w:t>s</w:t>
      </w:r>
      <w:r w:rsidRPr="00484B00">
        <w:rPr>
          <w:noProof/>
        </w:rPr>
        <w:t xml:space="preserve">chwere Gummischlauchleitung </w:t>
      </w:r>
      <w:r>
        <w:rPr>
          <w:noProof/>
        </w:rPr>
        <w:tab/>
      </w:r>
      <w:r>
        <w:rPr>
          <w:noProof/>
        </w:rPr>
        <w:tab/>
        <w:t xml:space="preserve">Bezeichnung </w:t>
      </w:r>
      <w:r w:rsidRPr="007316CA">
        <w:rPr>
          <w:b/>
          <w:noProof/>
        </w:rPr>
        <w:t>H07RN-F</w:t>
      </w:r>
    </w:p>
    <w:p w14:paraId="77322FCA" w14:textId="77777777" w:rsidR="00760211" w:rsidRPr="00902B57" w:rsidRDefault="00760211" w:rsidP="00760211">
      <w:pPr>
        <w:pStyle w:val="Listenabsatz"/>
        <w:numPr>
          <w:ilvl w:val="0"/>
          <w:numId w:val="12"/>
        </w:numPr>
        <w:tabs>
          <w:tab w:val="left" w:pos="4962"/>
        </w:tabs>
        <w:ind w:left="426"/>
        <w:jc w:val="both"/>
        <w:rPr>
          <w:noProof/>
        </w:rPr>
      </w:pPr>
      <w:r w:rsidRPr="00902B57">
        <w:rPr>
          <w:noProof/>
        </w:rPr>
        <w:t xml:space="preserve">besonders widerstandsfähige Leitung </w:t>
      </w:r>
      <w:r w:rsidRPr="00902B57">
        <w:rPr>
          <w:noProof/>
        </w:rPr>
        <w:tab/>
      </w:r>
      <w:r w:rsidRPr="00902B57">
        <w:rPr>
          <w:noProof/>
        </w:rPr>
        <w:tab/>
        <w:t>Bezeichnung (N)</w:t>
      </w:r>
      <w:r w:rsidRPr="00902B57">
        <w:rPr>
          <w:b/>
          <w:noProof/>
        </w:rPr>
        <w:t>SSHÖU</w:t>
      </w:r>
    </w:p>
    <w:p w14:paraId="5B6057C2" w14:textId="77777777" w:rsidR="00760211" w:rsidRPr="001C0A8A" w:rsidRDefault="00760211" w:rsidP="00760211">
      <w:pPr>
        <w:pStyle w:val="Listenabsatz"/>
        <w:numPr>
          <w:ilvl w:val="0"/>
          <w:numId w:val="12"/>
        </w:numPr>
        <w:tabs>
          <w:tab w:val="left" w:pos="4962"/>
        </w:tabs>
        <w:ind w:left="426"/>
        <w:jc w:val="both"/>
        <w:rPr>
          <w:noProof/>
        </w:rPr>
      </w:pPr>
      <w:r>
        <w:rPr>
          <w:noProof/>
        </w:rPr>
        <w:t xml:space="preserve">NEU! </w:t>
      </w:r>
      <w:r w:rsidRPr="00484B00">
        <w:rPr>
          <w:noProof/>
        </w:rPr>
        <w:t xml:space="preserve">Polyuretanleitung </w:t>
      </w:r>
      <w:r>
        <w:rPr>
          <w:noProof/>
        </w:rPr>
        <w:tab/>
      </w:r>
      <w:r>
        <w:rPr>
          <w:noProof/>
        </w:rPr>
        <w:tab/>
        <w:t xml:space="preserve">Bezeichnung </w:t>
      </w:r>
      <w:r w:rsidRPr="00484B00">
        <w:rPr>
          <w:b/>
          <w:noProof/>
        </w:rPr>
        <w:t>H07BQ-F</w:t>
      </w:r>
      <w:r>
        <w:rPr>
          <w:b/>
          <w:noProof/>
        </w:rPr>
        <w:t xml:space="preserve"> </w:t>
      </w:r>
    </w:p>
    <w:p w14:paraId="1A13A597" w14:textId="77777777" w:rsidR="00760211" w:rsidRDefault="00760211" w:rsidP="00760211">
      <w:pPr>
        <w:jc w:val="both"/>
        <w:rPr>
          <w:b/>
          <w:noProof/>
        </w:rPr>
      </w:pPr>
    </w:p>
    <w:p w14:paraId="7EC44BD9" w14:textId="77777777" w:rsidR="00760211" w:rsidRPr="00201515" w:rsidRDefault="00760211" w:rsidP="00760211">
      <w:pPr>
        <w:jc w:val="both"/>
        <w:rPr>
          <w:noProof/>
        </w:rPr>
      </w:pPr>
      <w:r w:rsidRPr="00201515">
        <w:rPr>
          <w:b/>
          <w:noProof/>
        </w:rPr>
        <w:t xml:space="preserve">Achtung: Bei Leitungen mit der </w:t>
      </w:r>
      <w:r w:rsidRPr="00201515">
        <w:rPr>
          <w:noProof/>
        </w:rPr>
        <w:t xml:space="preserve">Bezeichnung </w:t>
      </w:r>
      <w:r w:rsidRPr="00201515">
        <w:rPr>
          <w:b/>
          <w:noProof/>
        </w:rPr>
        <w:t xml:space="preserve">H07BQ-F bestehen </w:t>
      </w:r>
      <w:r w:rsidRPr="00201515">
        <w:rPr>
          <w:noProof/>
        </w:rPr>
        <w:t>Einschränkungen in der Verwendung</w:t>
      </w:r>
      <w:r>
        <w:rPr>
          <w:noProof/>
        </w:rPr>
        <w:t xml:space="preserve">. </w:t>
      </w:r>
      <w:r w:rsidRPr="00201515">
        <w:rPr>
          <w:b/>
          <w:noProof/>
        </w:rPr>
        <w:t>Nicht</w:t>
      </w:r>
      <w:r w:rsidRPr="00201515">
        <w:rPr>
          <w:noProof/>
        </w:rPr>
        <w:t xml:space="preserve"> </w:t>
      </w:r>
      <w:r w:rsidRPr="00201515">
        <w:rPr>
          <w:b/>
          <w:noProof/>
        </w:rPr>
        <w:t>beständig gegenüber g</w:t>
      </w:r>
      <w:r>
        <w:rPr>
          <w:b/>
          <w:noProof/>
        </w:rPr>
        <w:t>r</w:t>
      </w:r>
      <w:r w:rsidRPr="00201515">
        <w:rPr>
          <w:b/>
          <w:noProof/>
        </w:rPr>
        <w:t>oße</w:t>
      </w:r>
      <w:r>
        <w:rPr>
          <w:b/>
          <w:noProof/>
        </w:rPr>
        <w:t>n thermischen Einwirkungen</w:t>
      </w:r>
      <w:r w:rsidRPr="00201515">
        <w:rPr>
          <w:b/>
          <w:noProof/>
        </w:rPr>
        <w:t>,</w:t>
      </w:r>
      <w:r w:rsidRPr="00201515">
        <w:rPr>
          <w:noProof/>
        </w:rPr>
        <w:t xml:space="preserve"> demnach keine Eignung z. B. für Schweisarbeitsplätze </w:t>
      </w:r>
      <w:r>
        <w:rPr>
          <w:noProof/>
        </w:rPr>
        <w:t xml:space="preserve">(Schweißperlen) </w:t>
      </w:r>
      <w:r w:rsidRPr="00201515">
        <w:rPr>
          <w:noProof/>
        </w:rPr>
        <w:t>oder vergleichbare Umgebungsbedingungen.</w:t>
      </w:r>
    </w:p>
    <w:p w14:paraId="4B9EB44D" w14:textId="6B8907D1" w:rsidR="00760211" w:rsidRDefault="00760211" w:rsidP="00760211">
      <w:pPr>
        <w:pStyle w:val="Listenabsatz"/>
        <w:ind w:left="1440"/>
        <w:jc w:val="both"/>
        <w:rPr>
          <w:noProof/>
        </w:rPr>
      </w:pPr>
    </w:p>
    <w:p w14:paraId="02FDBA71" w14:textId="11125E5F" w:rsidR="00760211" w:rsidRDefault="00760211" w:rsidP="00760211">
      <w:pPr>
        <w:pStyle w:val="Listenabsatz"/>
        <w:ind w:left="1440"/>
        <w:jc w:val="both"/>
        <w:rPr>
          <w:noProof/>
        </w:rPr>
      </w:pPr>
    </w:p>
    <w:p w14:paraId="08BB1218" w14:textId="77777777" w:rsidR="00760211" w:rsidRDefault="00760211" w:rsidP="00760211">
      <w:pPr>
        <w:pStyle w:val="Listenabsatz"/>
        <w:ind w:left="1440"/>
        <w:jc w:val="both"/>
        <w:rPr>
          <w:noProof/>
        </w:rPr>
      </w:pPr>
    </w:p>
    <w:bookmarkEnd w:id="1"/>
    <w:p w14:paraId="0B9A5678" w14:textId="77777777" w:rsidR="00C51839" w:rsidRDefault="00C51839" w:rsidP="00760211">
      <w:pPr>
        <w:jc w:val="both"/>
        <w:rPr>
          <w:b/>
          <w:noProof/>
        </w:rPr>
      </w:pPr>
      <w:r>
        <w:rPr>
          <w:b/>
          <w:noProof/>
        </w:rPr>
        <w:br w:type="page"/>
      </w:r>
    </w:p>
    <w:p w14:paraId="2277BA2D" w14:textId="0F31FBEC" w:rsidR="00760211" w:rsidRDefault="00760211" w:rsidP="00760211">
      <w:pPr>
        <w:jc w:val="both"/>
        <w:rPr>
          <w:b/>
          <w:noProof/>
        </w:rPr>
      </w:pPr>
      <w:r w:rsidRPr="00542E02">
        <w:rPr>
          <w:b/>
          <w:noProof/>
        </w:rPr>
        <w:lastRenderedPageBreak/>
        <w:t>Wichtig</w:t>
      </w:r>
      <w:r>
        <w:rPr>
          <w:b/>
          <w:noProof/>
        </w:rPr>
        <w:t>:</w:t>
      </w:r>
    </w:p>
    <w:p w14:paraId="3953AECD" w14:textId="77777777" w:rsidR="00C51839" w:rsidRDefault="00C51839" w:rsidP="00760211">
      <w:pPr>
        <w:jc w:val="both"/>
        <w:rPr>
          <w:b/>
          <w:noProof/>
        </w:rPr>
      </w:pPr>
    </w:p>
    <w:p w14:paraId="662E1FC5" w14:textId="3AF3E2E1" w:rsidR="00760211" w:rsidRDefault="00760211" w:rsidP="00760211">
      <w:pPr>
        <w:jc w:val="both"/>
        <w:rPr>
          <w:b/>
          <w:noProof/>
        </w:rPr>
      </w:pPr>
      <w:r>
        <w:rPr>
          <w:b/>
          <w:noProof/>
        </w:rPr>
        <w:t>Bei</w:t>
      </w:r>
      <w:r w:rsidRPr="00542E02">
        <w:rPr>
          <w:b/>
          <w:noProof/>
        </w:rPr>
        <w:t xml:space="preserve"> der </w:t>
      </w:r>
      <w:r>
        <w:rPr>
          <w:b/>
          <w:noProof/>
        </w:rPr>
        <w:t xml:space="preserve">NEUEN </w:t>
      </w:r>
      <w:r w:rsidRPr="00542E02">
        <w:rPr>
          <w:b/>
          <w:noProof/>
        </w:rPr>
        <w:t>Ausführung von Baustromverteiler</w:t>
      </w:r>
      <w:r>
        <w:rPr>
          <w:b/>
          <w:noProof/>
        </w:rPr>
        <w:t>n</w:t>
      </w:r>
      <w:r w:rsidRPr="00542E02">
        <w:rPr>
          <w:b/>
          <w:noProof/>
        </w:rPr>
        <w:t xml:space="preserve"> sind</w:t>
      </w:r>
      <w:r>
        <w:rPr>
          <w:b/>
          <w:noProof/>
        </w:rPr>
        <w:t xml:space="preserve"> folgende Punkte zu beachten</w:t>
      </w:r>
      <w:r w:rsidRPr="00542E02">
        <w:rPr>
          <w:b/>
          <w:noProof/>
        </w:rPr>
        <w:t xml:space="preserve">: </w:t>
      </w:r>
    </w:p>
    <w:p w14:paraId="1285B717" w14:textId="5A84EDF7" w:rsidR="00760211" w:rsidRPr="00542E02" w:rsidRDefault="00760211" w:rsidP="00760211">
      <w:pPr>
        <w:jc w:val="both"/>
        <w:rPr>
          <w:b/>
          <w:noProof/>
        </w:rPr>
      </w:pPr>
    </w:p>
    <w:p w14:paraId="2ECD9DC3" w14:textId="425C69CD" w:rsidR="00760211" w:rsidRPr="00201515" w:rsidRDefault="00760211" w:rsidP="00760211">
      <w:pPr>
        <w:pStyle w:val="Listenabsatz"/>
        <w:numPr>
          <w:ilvl w:val="2"/>
          <w:numId w:val="13"/>
        </w:numPr>
        <w:tabs>
          <w:tab w:val="left" w:pos="3119"/>
        </w:tabs>
        <w:jc w:val="both"/>
        <w:rPr>
          <w:noProof/>
        </w:rPr>
      </w:pPr>
      <w:r w:rsidRPr="00542E02">
        <w:rPr>
          <w:noProof/>
        </w:rPr>
        <w:t>Abschalteinrichtungen z.</w:t>
      </w:r>
      <w:r>
        <w:rPr>
          <w:noProof/>
        </w:rPr>
        <w:t> </w:t>
      </w:r>
      <w:r w:rsidRPr="00542E02">
        <w:rPr>
          <w:noProof/>
        </w:rPr>
        <w:t>B. Hauptschalter</w:t>
      </w:r>
    </w:p>
    <w:p w14:paraId="212A025B" w14:textId="7DC7F62B" w:rsidR="00760211" w:rsidRPr="00201515" w:rsidRDefault="00760211" w:rsidP="00760211">
      <w:pPr>
        <w:pStyle w:val="Listenabsatz"/>
        <w:numPr>
          <w:ilvl w:val="2"/>
          <w:numId w:val="13"/>
        </w:numPr>
        <w:tabs>
          <w:tab w:val="left" w:pos="3119"/>
        </w:tabs>
        <w:jc w:val="both"/>
        <w:rPr>
          <w:noProof/>
        </w:rPr>
      </w:pPr>
      <w:r w:rsidRPr="00542E02">
        <w:rPr>
          <w:noProof/>
        </w:rPr>
        <w:t>Einsatz geeigneter RCD-Typen</w:t>
      </w:r>
    </w:p>
    <w:p w14:paraId="63A91F98" w14:textId="0F1FB112" w:rsidR="00760211" w:rsidRPr="00201515" w:rsidRDefault="00760211" w:rsidP="00760211">
      <w:pPr>
        <w:pStyle w:val="Listenabsatz"/>
        <w:numPr>
          <w:ilvl w:val="2"/>
          <w:numId w:val="13"/>
        </w:numPr>
        <w:tabs>
          <w:tab w:val="left" w:pos="3119"/>
        </w:tabs>
        <w:jc w:val="both"/>
        <w:rPr>
          <w:noProof/>
        </w:rPr>
      </w:pPr>
      <w:r>
        <w:rPr>
          <w:noProof/>
        </w:rPr>
        <w:t>Richtige Auswahl zugelassener Leitungstypen</w:t>
      </w:r>
    </w:p>
    <w:p w14:paraId="6A2DEF72" w14:textId="02BC4C9E" w:rsidR="00760211" w:rsidRDefault="00760211" w:rsidP="00760211">
      <w:pPr>
        <w:pStyle w:val="Listenabsatz"/>
        <w:numPr>
          <w:ilvl w:val="2"/>
          <w:numId w:val="13"/>
        </w:numPr>
        <w:tabs>
          <w:tab w:val="left" w:pos="3119"/>
        </w:tabs>
        <w:jc w:val="both"/>
        <w:rPr>
          <w:noProof/>
        </w:rPr>
      </w:pPr>
      <w:r>
        <w:rPr>
          <w:noProof/>
        </w:rPr>
        <w:t>Bei den Prüfungen nur geeignete Messgeräte verwenden</w:t>
      </w:r>
    </w:p>
    <w:p w14:paraId="7F47D176" w14:textId="509CD220" w:rsidR="00760211" w:rsidRDefault="00760211" w:rsidP="00760211">
      <w:pPr>
        <w:spacing w:before="120"/>
        <w:jc w:val="both"/>
        <w:rPr>
          <w:b/>
          <w:noProof/>
        </w:rPr>
      </w:pPr>
    </w:p>
    <w:p w14:paraId="64EB06C9" w14:textId="77777777" w:rsidR="00760211" w:rsidRPr="00201515" w:rsidRDefault="00760211" w:rsidP="00760211">
      <w:pPr>
        <w:spacing w:before="120"/>
        <w:jc w:val="both"/>
        <w:rPr>
          <w:b/>
          <w:noProof/>
        </w:rPr>
      </w:pPr>
      <w:r w:rsidRPr="00201515">
        <w:rPr>
          <w:b/>
          <w:noProof/>
        </w:rPr>
        <w:t>Übergangsfrist</w:t>
      </w:r>
    </w:p>
    <w:p w14:paraId="277047E8" w14:textId="77777777" w:rsidR="00760211" w:rsidRDefault="00760211" w:rsidP="00760211">
      <w:pPr>
        <w:jc w:val="both"/>
        <w:rPr>
          <w:noProof/>
        </w:rPr>
      </w:pPr>
    </w:p>
    <w:p w14:paraId="19834A07" w14:textId="77777777" w:rsidR="00760211" w:rsidRPr="00201515" w:rsidRDefault="00760211" w:rsidP="00760211">
      <w:pPr>
        <w:jc w:val="both"/>
        <w:rPr>
          <w:noProof/>
        </w:rPr>
      </w:pPr>
      <w:r w:rsidRPr="00201515">
        <w:rPr>
          <w:noProof/>
        </w:rPr>
        <w:t xml:space="preserve">In der Übergangszeit bis zum 18.05.2021 </w:t>
      </w:r>
      <w:r>
        <w:rPr>
          <w:noProof/>
        </w:rPr>
        <w:t>durften</w:t>
      </w:r>
      <w:r w:rsidRPr="00201515">
        <w:rPr>
          <w:noProof/>
        </w:rPr>
        <w:t xml:space="preserve"> sowohl </w:t>
      </w:r>
      <w:r>
        <w:rPr>
          <w:noProof/>
        </w:rPr>
        <w:t xml:space="preserve">Baustromverteiler nach der </w:t>
      </w:r>
      <w:r w:rsidRPr="00201515">
        <w:rPr>
          <w:noProof/>
        </w:rPr>
        <w:t>ALTE</w:t>
      </w:r>
      <w:r>
        <w:rPr>
          <w:noProof/>
        </w:rPr>
        <w:t>N</w:t>
      </w:r>
      <w:r w:rsidRPr="00201515">
        <w:rPr>
          <w:noProof/>
        </w:rPr>
        <w:t xml:space="preserve"> wie auch die NEUE</w:t>
      </w:r>
      <w:r>
        <w:rPr>
          <w:noProof/>
        </w:rPr>
        <w:t>N</w:t>
      </w:r>
      <w:r w:rsidRPr="00201515">
        <w:rPr>
          <w:noProof/>
        </w:rPr>
        <w:t xml:space="preserve"> Ausgabe der Norm DIN VDE 0100-704 aufgebaut</w:t>
      </w:r>
      <w:r>
        <w:rPr>
          <w:noProof/>
        </w:rPr>
        <w:t xml:space="preserve"> und angeschlossen werden</w:t>
      </w:r>
      <w:r w:rsidRPr="00201515">
        <w:rPr>
          <w:noProof/>
        </w:rPr>
        <w:t xml:space="preserve">. </w:t>
      </w:r>
      <w:r>
        <w:rPr>
          <w:noProof/>
        </w:rPr>
        <w:t>Aktuell</w:t>
      </w:r>
      <w:r w:rsidRPr="00201515">
        <w:rPr>
          <w:noProof/>
        </w:rPr>
        <w:t xml:space="preserve"> dürfen Baustromanlagen nach alter Norm </w:t>
      </w:r>
      <w:r w:rsidRPr="00201515">
        <w:rPr>
          <w:b/>
          <w:noProof/>
        </w:rPr>
        <w:t>nicht</w:t>
      </w:r>
      <w:r w:rsidRPr="00201515">
        <w:rPr>
          <w:noProof/>
        </w:rPr>
        <w:t xml:space="preserve"> mehr geändert werden, ohne sie an die neue Norm anzupassen. </w:t>
      </w:r>
      <w:r>
        <w:rPr>
          <w:noProof/>
        </w:rPr>
        <w:t xml:space="preserve">Bei einer neuen Aufstellung oder einer Änderung an der Anschlußstelle ist ab dem Datum </w:t>
      </w:r>
      <w:r w:rsidRPr="00201515">
        <w:rPr>
          <w:noProof/>
        </w:rPr>
        <w:t xml:space="preserve">18.05.2021 </w:t>
      </w:r>
      <w:r>
        <w:rPr>
          <w:noProof/>
        </w:rPr>
        <w:t xml:space="preserve">nur noch der Baustromverteiler nach der NEUEN Norm zulässig. </w:t>
      </w:r>
      <w:r w:rsidRPr="00201515">
        <w:rPr>
          <w:noProof/>
        </w:rPr>
        <w:t>Bei einer „Kombination“ aus alten und neuen Baustromverteilern sind weitere Punkte zu beachten.</w:t>
      </w:r>
    </w:p>
    <w:p w14:paraId="5CBBB19A" w14:textId="77777777" w:rsidR="00760211" w:rsidRDefault="00760211" w:rsidP="00760211">
      <w:pPr>
        <w:jc w:val="both"/>
        <w:rPr>
          <w:b/>
          <w:noProof/>
        </w:rPr>
      </w:pPr>
    </w:p>
    <w:p w14:paraId="27995097" w14:textId="77777777" w:rsidR="00760211" w:rsidRDefault="00760211" w:rsidP="00760211">
      <w:pPr>
        <w:jc w:val="both"/>
        <w:rPr>
          <w:b/>
          <w:noProof/>
        </w:rPr>
      </w:pPr>
      <w:r w:rsidRPr="00201515">
        <w:rPr>
          <w:b/>
          <w:noProof/>
        </w:rPr>
        <w:t xml:space="preserve">Fazit </w:t>
      </w:r>
    </w:p>
    <w:p w14:paraId="3FB57D0F" w14:textId="77777777" w:rsidR="00760211" w:rsidRDefault="00760211" w:rsidP="00760211">
      <w:pPr>
        <w:jc w:val="both"/>
        <w:rPr>
          <w:b/>
          <w:noProof/>
        </w:rPr>
      </w:pPr>
    </w:p>
    <w:p w14:paraId="308B77E0" w14:textId="245E4E10" w:rsidR="00760211" w:rsidRDefault="00760211" w:rsidP="00760211">
      <w:pPr>
        <w:jc w:val="both"/>
        <w:rPr>
          <w:noProof/>
        </w:rPr>
      </w:pPr>
      <w:r w:rsidRPr="00201515">
        <w:rPr>
          <w:noProof/>
        </w:rPr>
        <w:t>Die in vielen Baugeräten eingesetzten modernen Antriebstechniken erfordern zeitgemäße Schutzmaßnahmen bei der Stromversorgung. Auch d</w:t>
      </w:r>
      <w:r>
        <w:rPr>
          <w:noProof/>
        </w:rPr>
        <w:t>i</w:t>
      </w:r>
      <w:r w:rsidRPr="00201515">
        <w:rPr>
          <w:noProof/>
        </w:rPr>
        <w:t>e</w:t>
      </w:r>
      <w:r>
        <w:rPr>
          <w:noProof/>
        </w:rPr>
        <w:t xml:space="preserve"> Netztrenneinrichtung (</w:t>
      </w:r>
      <w:r w:rsidRPr="00201515">
        <w:rPr>
          <w:noProof/>
        </w:rPr>
        <w:t>Hauptschalter</w:t>
      </w:r>
      <w:r>
        <w:rPr>
          <w:noProof/>
        </w:rPr>
        <w:t>)</w:t>
      </w:r>
      <w:r w:rsidRPr="00201515">
        <w:rPr>
          <w:noProof/>
        </w:rPr>
        <w:t xml:space="preserve"> ist in vielen Ländern Europas schon lange Pflicht. Für viele Bauunternehmen bedeutet dies jedoch auch deutliche Investitionen. </w:t>
      </w:r>
    </w:p>
    <w:p w14:paraId="50E5852B" w14:textId="77777777" w:rsidR="00760211" w:rsidRDefault="00760211" w:rsidP="00760211">
      <w:pPr>
        <w:jc w:val="both"/>
        <w:rPr>
          <w:noProof/>
        </w:rPr>
      </w:pPr>
    </w:p>
    <w:p w14:paraId="71829487" w14:textId="77777777" w:rsidR="00760211" w:rsidRPr="00391C06" w:rsidRDefault="00760211" w:rsidP="00760211">
      <w:pPr>
        <w:jc w:val="both"/>
        <w:rPr>
          <w:b/>
          <w:noProof/>
        </w:rPr>
      </w:pPr>
      <w:r w:rsidRPr="00C51839">
        <w:rPr>
          <w:b/>
          <w:noProof/>
        </w:rPr>
        <w:t>Leider sind die nun NEUEN Anforderungen an die Baustromversorgung in vielen Fällen nur mit einer Neuanschaffung der Baustromverteiler, mit geeigneter Ausstattung, zu erreichen.</w:t>
      </w:r>
      <w:r w:rsidRPr="00391C06">
        <w:rPr>
          <w:b/>
          <w:noProof/>
        </w:rPr>
        <w:t xml:space="preserve"> </w:t>
      </w:r>
    </w:p>
    <w:p w14:paraId="1C58F182" w14:textId="3F54AC65" w:rsidR="00A766F8" w:rsidRPr="00760211" w:rsidRDefault="00A766F8" w:rsidP="00760211"/>
    <w:sectPr w:rsidR="00A766F8" w:rsidRPr="00760211" w:rsidSect="00D75291">
      <w:headerReference w:type="default" r:id="rId11"/>
      <w:footerReference w:type="default" r:id="rId12"/>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02A" w14:textId="77777777" w:rsidR="0051605D" w:rsidRDefault="0051605D">
      <w:r>
        <w:separator/>
      </w:r>
    </w:p>
  </w:endnote>
  <w:endnote w:type="continuationSeparator" w:id="0">
    <w:p w14:paraId="19FFD699" w14:textId="77777777" w:rsidR="0051605D" w:rsidRDefault="0051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119F48B5" w:rsidR="00413A01" w:rsidRPr="004C1C05" w:rsidRDefault="00413A01" w:rsidP="00413A01">
          <w:pPr>
            <w:pStyle w:val="Fuzeile"/>
            <w:ind w:right="-83"/>
            <w:rPr>
              <w:sz w:val="16"/>
              <w:szCs w:val="16"/>
            </w:rPr>
          </w:pPr>
          <w:r>
            <w:rPr>
              <w:sz w:val="16"/>
              <w:szCs w:val="16"/>
            </w:rPr>
            <w:t>0</w:t>
          </w:r>
          <w:r w:rsidR="00760211">
            <w:rPr>
              <w:sz w:val="16"/>
              <w:szCs w:val="16"/>
            </w:rPr>
            <w:t>7</w:t>
          </w:r>
          <w:r>
            <w:rPr>
              <w:sz w:val="16"/>
              <w:szCs w:val="16"/>
            </w:rPr>
            <w:t>.2021</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5DEA" w14:textId="77777777" w:rsidR="0051605D" w:rsidRDefault="0051605D">
      <w:r>
        <w:separator/>
      </w:r>
    </w:p>
  </w:footnote>
  <w:footnote w:type="continuationSeparator" w:id="0">
    <w:p w14:paraId="33D0978E" w14:textId="77777777" w:rsidR="0051605D" w:rsidRDefault="0051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4B974F03" w:rsidR="004F0DC2" w:rsidRPr="00E21DC0" w:rsidRDefault="004F0DC2" w:rsidP="004F0DC2">
          <w:pPr>
            <w:jc w:val="center"/>
          </w:pPr>
          <w:r w:rsidRPr="00E21DC0">
            <w:rPr>
              <w:b/>
            </w:rPr>
            <w:t>UW_ET_</w:t>
          </w:r>
          <w:r w:rsidR="00C51839">
            <w:rPr>
              <w:b/>
            </w:rPr>
            <w:t>71</w:t>
          </w:r>
        </w:p>
      </w:tc>
      <w:tc>
        <w:tcPr>
          <w:tcW w:w="5026" w:type="dxa"/>
          <w:vAlign w:val="center"/>
        </w:tcPr>
        <w:p w14:paraId="236B64F6" w14:textId="77777777" w:rsidR="00C51839" w:rsidRDefault="00760211" w:rsidP="00760211">
          <w:pPr>
            <w:jc w:val="center"/>
            <w:rPr>
              <w:sz w:val="28"/>
              <w:szCs w:val="28"/>
            </w:rPr>
          </w:pPr>
          <w:r w:rsidRPr="00760211">
            <w:rPr>
              <w:sz w:val="28"/>
              <w:szCs w:val="28"/>
            </w:rPr>
            <w:t xml:space="preserve">Einsatz elektrischer Anlagen </w:t>
          </w:r>
        </w:p>
        <w:p w14:paraId="63D167E9" w14:textId="50C151C9" w:rsidR="004F0DC2" w:rsidRPr="00B2005A" w:rsidRDefault="00760211" w:rsidP="00760211">
          <w:pPr>
            <w:jc w:val="center"/>
            <w:rPr>
              <w:sz w:val="28"/>
              <w:szCs w:val="28"/>
            </w:rPr>
          </w:pPr>
          <w:r w:rsidRPr="00760211">
            <w:rPr>
              <w:sz w:val="28"/>
              <w:szCs w:val="28"/>
            </w:rPr>
            <w:t>auf Baustellen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F34262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0E6238"/>
    <w:multiLevelType w:val="hybridMultilevel"/>
    <w:tmpl w:val="9DDED1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4"/>
  </w:num>
  <w:num w:numId="4">
    <w:abstractNumId w:val="8"/>
  </w:num>
  <w:num w:numId="5">
    <w:abstractNumId w:val="1"/>
  </w:num>
  <w:num w:numId="6">
    <w:abstractNumId w:val="7"/>
  </w:num>
  <w:num w:numId="7">
    <w:abstractNumId w:val="10"/>
  </w:num>
  <w:num w:numId="8">
    <w:abstractNumId w:val="12"/>
  </w:num>
  <w:num w:numId="9">
    <w:abstractNumId w:val="9"/>
  </w:num>
  <w:num w:numId="10">
    <w:abstractNumId w:val="5"/>
  </w:num>
  <w:num w:numId="11">
    <w:abstractNumId w:val="11"/>
  </w:num>
  <w:num w:numId="12">
    <w:abstractNumId w:val="6"/>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4EF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5A70"/>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605D"/>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44BA"/>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29C3"/>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60211"/>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2B13"/>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144"/>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189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839"/>
    <w:rsid w:val="00C51AB0"/>
    <w:rsid w:val="00C51FD5"/>
    <w:rsid w:val="00C53B5E"/>
    <w:rsid w:val="00C55654"/>
    <w:rsid w:val="00C5623E"/>
    <w:rsid w:val="00C6053B"/>
    <w:rsid w:val="00C60762"/>
    <w:rsid w:val="00C664F4"/>
    <w:rsid w:val="00C67109"/>
    <w:rsid w:val="00C71E69"/>
    <w:rsid w:val="00C725CB"/>
    <w:rsid w:val="00C740C3"/>
    <w:rsid w:val="00C76F57"/>
    <w:rsid w:val="00C77961"/>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2A2C"/>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43F2"/>
    <w:rsid w:val="00F57E17"/>
    <w:rsid w:val="00F604E0"/>
    <w:rsid w:val="00F62D41"/>
    <w:rsid w:val="00F62F22"/>
    <w:rsid w:val="00F639A0"/>
    <w:rsid w:val="00F72A9D"/>
    <w:rsid w:val="00F72E4B"/>
    <w:rsid w:val="00F74177"/>
    <w:rsid w:val="00F749EB"/>
    <w:rsid w:val="00F7726A"/>
    <w:rsid w:val="00F7734E"/>
    <w:rsid w:val="00F81291"/>
    <w:rsid w:val="00F827FC"/>
    <w:rsid w:val="00F8319B"/>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table" w:styleId="Gitternetztabelle1hell">
    <w:name w:val="Grid Table 1 Light"/>
    <w:basedOn w:val="NormaleTabelle"/>
    <w:uiPriority w:val="46"/>
    <w:rsid w:val="007602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1874532090">
      <w:bodyDiv w:val="1"/>
      <w:marLeft w:val="0"/>
      <w:marRight w:val="0"/>
      <w:marTop w:val="0"/>
      <w:marBottom w:val="0"/>
      <w:divBdr>
        <w:top w:val="none" w:sz="0" w:space="0" w:color="auto"/>
        <w:left w:val="none" w:sz="0" w:space="0" w:color="auto"/>
        <w:bottom w:val="none" w:sz="0" w:space="0" w:color="auto"/>
        <w:right w:val="none" w:sz="0" w:space="0" w:color="auto"/>
      </w:divBdr>
    </w:div>
    <w:div w:id="1949584512">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574B-26EC-4012-AC75-3E1A4FB07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C9C06-340F-4435-B945-C720E4CA40D5}">
  <ds:schemaRefs>
    <ds:schemaRef ds:uri="http://schemas.microsoft.com/sharepoint/v3/contenttype/forms"/>
  </ds:schemaRefs>
</ds:datastoreItem>
</file>

<file path=customXml/itemProps3.xml><?xml version="1.0" encoding="utf-8"?>
<ds:datastoreItem xmlns:ds="http://schemas.openxmlformats.org/officeDocument/2006/customXml" ds:itemID="{72F196E2-4CC1-4E14-B397-5C7B8D12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6</cp:revision>
  <cp:lastPrinted>2018-10-16T05:29:00Z</cp:lastPrinted>
  <dcterms:created xsi:type="dcterms:W3CDTF">2021-07-24T07:04:00Z</dcterms:created>
  <dcterms:modified xsi:type="dcterms:W3CDTF">2021-07-30T10:31:00Z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