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FCA9" w14:textId="77777777" w:rsidR="00664B29" w:rsidRPr="00664B29" w:rsidRDefault="00664B29" w:rsidP="00664B29">
      <w:pPr>
        <w:jc w:val="both"/>
        <w:rPr>
          <w:sz w:val="22"/>
          <w:szCs w:val="18"/>
        </w:rPr>
      </w:pPr>
      <w:r w:rsidRPr="00664B29">
        <w:rPr>
          <w:sz w:val="22"/>
          <w:szCs w:val="18"/>
        </w:rPr>
        <w:t>Unter „Arbeiten unter Spannung“ (</w:t>
      </w:r>
      <w:proofErr w:type="spellStart"/>
      <w:r w:rsidRPr="00664B29">
        <w:rPr>
          <w:sz w:val="22"/>
          <w:szCs w:val="18"/>
        </w:rPr>
        <w:t>AuS</w:t>
      </w:r>
      <w:proofErr w:type="spellEnd"/>
      <w:r w:rsidRPr="00664B29">
        <w:rPr>
          <w:sz w:val="22"/>
          <w:szCs w:val="18"/>
        </w:rPr>
        <w:t xml:space="preserve">) versteht man jede Arbeit, bei der eine Person mit Körperteilen, Gegenständen oder Werkzeugen unter Spannung stehende Teile berührt oder in die </w:t>
      </w:r>
      <w:r w:rsidRPr="00664B29">
        <w:rPr>
          <w:b/>
          <w:sz w:val="22"/>
          <w:szCs w:val="18"/>
          <w:u w:val="single"/>
        </w:rPr>
        <w:t>Gefahrenzone</w:t>
      </w:r>
      <w:r w:rsidRPr="00664B29">
        <w:rPr>
          <w:sz w:val="22"/>
          <w:szCs w:val="18"/>
        </w:rPr>
        <w:t xml:space="preserve"> eindringt.</w:t>
      </w:r>
    </w:p>
    <w:p w14:paraId="047ABBEF" w14:textId="77777777" w:rsidR="00664B29" w:rsidRPr="00664B29" w:rsidRDefault="00664B29" w:rsidP="00664B29">
      <w:pPr>
        <w:ind w:left="360"/>
        <w:rPr>
          <w:sz w:val="22"/>
          <w:szCs w:val="18"/>
        </w:rPr>
      </w:pPr>
    </w:p>
    <w:tbl>
      <w:tblPr>
        <w:tblW w:w="9498" w:type="dxa"/>
        <w:tblInd w:w="70" w:type="dxa"/>
        <w:tblLayout w:type="fixed"/>
        <w:tblCellMar>
          <w:left w:w="70" w:type="dxa"/>
          <w:right w:w="70" w:type="dxa"/>
        </w:tblCellMar>
        <w:tblLook w:val="04A0" w:firstRow="1" w:lastRow="0" w:firstColumn="1" w:lastColumn="0" w:noHBand="0" w:noVBand="1"/>
      </w:tblPr>
      <w:tblGrid>
        <w:gridCol w:w="1409"/>
        <w:gridCol w:w="4044"/>
        <w:gridCol w:w="4045"/>
      </w:tblGrid>
      <w:tr w:rsidR="00664B29" w:rsidRPr="00664B29" w14:paraId="7D2DD5D5" w14:textId="77777777" w:rsidTr="007F1921">
        <w:trPr>
          <w:trHeight w:val="259"/>
        </w:trPr>
        <w:tc>
          <w:tcPr>
            <w:tcW w:w="1409" w:type="dxa"/>
            <w:vMerge w:val="restart"/>
            <w:tcBorders>
              <w:top w:val="single" w:sz="8" w:space="0" w:color="auto"/>
              <w:left w:val="single" w:sz="8" w:space="0" w:color="auto"/>
              <w:right w:val="single" w:sz="4" w:space="0" w:color="auto"/>
            </w:tcBorders>
            <w:shd w:val="clear" w:color="000000" w:fill="F2F2F2"/>
            <w:noWrap/>
            <w:hideMark/>
          </w:tcPr>
          <w:p w14:paraId="73887FCF" w14:textId="77777777" w:rsidR="00664B29" w:rsidRPr="00664B29" w:rsidRDefault="00664B29" w:rsidP="007F1921">
            <w:pPr>
              <w:rPr>
                <w:b/>
                <w:bCs/>
                <w:color w:val="000000"/>
                <w:sz w:val="22"/>
                <w:szCs w:val="18"/>
              </w:rPr>
            </w:pPr>
            <w:r w:rsidRPr="00664B29">
              <w:rPr>
                <w:b/>
                <w:bCs/>
                <w:color w:val="000000"/>
                <w:sz w:val="22"/>
                <w:szCs w:val="18"/>
              </w:rPr>
              <w:t>Spanungs-ebene</w:t>
            </w:r>
          </w:p>
        </w:tc>
        <w:tc>
          <w:tcPr>
            <w:tcW w:w="4044" w:type="dxa"/>
            <w:tcBorders>
              <w:top w:val="single" w:sz="8" w:space="0" w:color="auto"/>
              <w:left w:val="nil"/>
              <w:bottom w:val="single" w:sz="4" w:space="0" w:color="auto"/>
              <w:right w:val="single" w:sz="4" w:space="0" w:color="auto"/>
            </w:tcBorders>
            <w:shd w:val="clear" w:color="auto" w:fill="auto"/>
            <w:noWrap/>
            <w:hideMark/>
          </w:tcPr>
          <w:p w14:paraId="569C2D0C" w14:textId="77777777" w:rsidR="00664B29" w:rsidRPr="00664B29" w:rsidRDefault="00664B29" w:rsidP="007F1921">
            <w:pPr>
              <w:rPr>
                <w:b/>
                <w:bCs/>
                <w:color w:val="000000"/>
                <w:sz w:val="22"/>
                <w:szCs w:val="18"/>
              </w:rPr>
            </w:pPr>
            <w:r w:rsidRPr="00664B29">
              <w:rPr>
                <w:b/>
                <w:bCs/>
                <w:color w:val="000000"/>
                <w:sz w:val="22"/>
                <w:szCs w:val="18"/>
              </w:rPr>
              <w:t>Gefahrenzone D</w:t>
            </w:r>
            <w:r w:rsidRPr="00664B29">
              <w:rPr>
                <w:b/>
                <w:bCs/>
                <w:color w:val="000000"/>
                <w:sz w:val="22"/>
                <w:szCs w:val="18"/>
                <w:vertAlign w:val="subscript"/>
              </w:rPr>
              <w:t>L</w:t>
            </w:r>
          </w:p>
        </w:tc>
        <w:tc>
          <w:tcPr>
            <w:tcW w:w="4045" w:type="dxa"/>
            <w:tcBorders>
              <w:top w:val="single" w:sz="8" w:space="0" w:color="auto"/>
              <w:left w:val="nil"/>
              <w:bottom w:val="single" w:sz="4" w:space="0" w:color="auto"/>
              <w:right w:val="single" w:sz="4" w:space="0" w:color="auto"/>
            </w:tcBorders>
            <w:shd w:val="clear" w:color="auto" w:fill="auto"/>
            <w:noWrap/>
            <w:hideMark/>
          </w:tcPr>
          <w:p w14:paraId="40790126" w14:textId="77777777" w:rsidR="00664B29" w:rsidRPr="00664B29" w:rsidRDefault="00664B29" w:rsidP="007F1921">
            <w:pPr>
              <w:rPr>
                <w:b/>
                <w:bCs/>
                <w:color w:val="000000"/>
                <w:sz w:val="22"/>
                <w:szCs w:val="18"/>
              </w:rPr>
            </w:pPr>
            <w:r w:rsidRPr="00664B29">
              <w:rPr>
                <w:b/>
                <w:bCs/>
                <w:color w:val="000000"/>
                <w:sz w:val="22"/>
                <w:szCs w:val="18"/>
              </w:rPr>
              <w:t>Annäherungszone</w:t>
            </w:r>
          </w:p>
        </w:tc>
      </w:tr>
      <w:tr w:rsidR="00664B29" w:rsidRPr="00664B29" w14:paraId="191CE0AE" w14:textId="77777777" w:rsidTr="007F1921">
        <w:trPr>
          <w:trHeight w:val="570"/>
        </w:trPr>
        <w:tc>
          <w:tcPr>
            <w:tcW w:w="1409" w:type="dxa"/>
            <w:vMerge/>
            <w:tcBorders>
              <w:left w:val="single" w:sz="8" w:space="0" w:color="auto"/>
              <w:bottom w:val="single" w:sz="4" w:space="0" w:color="auto"/>
              <w:right w:val="single" w:sz="4" w:space="0" w:color="auto"/>
            </w:tcBorders>
            <w:shd w:val="clear" w:color="000000" w:fill="F2F2F2"/>
            <w:noWrap/>
            <w:vAlign w:val="center"/>
            <w:hideMark/>
          </w:tcPr>
          <w:p w14:paraId="62715413" w14:textId="77777777" w:rsidR="00664B29" w:rsidRPr="00664B29" w:rsidRDefault="00664B29" w:rsidP="007F1921">
            <w:pPr>
              <w:rPr>
                <w:color w:val="000000"/>
                <w:sz w:val="22"/>
                <w:szCs w:val="18"/>
              </w:rPr>
            </w:pPr>
          </w:p>
        </w:tc>
        <w:tc>
          <w:tcPr>
            <w:tcW w:w="4044" w:type="dxa"/>
            <w:tcBorders>
              <w:top w:val="nil"/>
              <w:left w:val="nil"/>
              <w:bottom w:val="single" w:sz="4" w:space="0" w:color="auto"/>
              <w:right w:val="single" w:sz="4" w:space="0" w:color="auto"/>
            </w:tcBorders>
            <w:shd w:val="clear" w:color="auto" w:fill="auto"/>
            <w:vAlign w:val="center"/>
            <w:hideMark/>
          </w:tcPr>
          <w:p w14:paraId="30B334F2" w14:textId="77777777" w:rsidR="00664B29" w:rsidRPr="00664B29" w:rsidRDefault="00664B29" w:rsidP="007F1921">
            <w:pPr>
              <w:rPr>
                <w:color w:val="000000"/>
                <w:sz w:val="22"/>
                <w:szCs w:val="18"/>
              </w:rPr>
            </w:pPr>
            <w:r w:rsidRPr="00664B29">
              <w:rPr>
                <w:color w:val="000000"/>
                <w:sz w:val="22"/>
                <w:szCs w:val="18"/>
              </w:rPr>
              <w:t>VDE 0105-100</w:t>
            </w:r>
            <w:r w:rsidRPr="00664B29">
              <w:rPr>
                <w:b/>
                <w:bCs/>
                <w:color w:val="000000"/>
                <w:sz w:val="22"/>
                <w:szCs w:val="18"/>
              </w:rPr>
              <w:t xml:space="preserve"> </w:t>
            </w:r>
            <w:r w:rsidRPr="00664B29">
              <w:rPr>
                <w:b/>
                <w:bCs/>
                <w:color w:val="0070C0"/>
                <w:sz w:val="22"/>
                <w:szCs w:val="18"/>
              </w:rPr>
              <w:t>Tabelle 101</w:t>
            </w:r>
            <w:r w:rsidRPr="00664B29">
              <w:rPr>
                <w:color w:val="0070C0"/>
                <w:sz w:val="22"/>
                <w:szCs w:val="18"/>
              </w:rPr>
              <w:t xml:space="preserve"> </w:t>
            </w:r>
            <w:r w:rsidRPr="00664B29">
              <w:rPr>
                <w:color w:val="0070C0"/>
                <w:sz w:val="22"/>
                <w:szCs w:val="18"/>
              </w:rPr>
              <w:br/>
            </w:r>
            <w:r w:rsidRPr="00664B29">
              <w:rPr>
                <w:color w:val="000000"/>
                <w:sz w:val="22"/>
                <w:szCs w:val="18"/>
              </w:rPr>
              <w:t>Abschnitt 6.3.1</w:t>
            </w:r>
          </w:p>
        </w:tc>
        <w:tc>
          <w:tcPr>
            <w:tcW w:w="4045" w:type="dxa"/>
            <w:tcBorders>
              <w:top w:val="nil"/>
              <w:left w:val="nil"/>
              <w:bottom w:val="single" w:sz="4" w:space="0" w:color="auto"/>
              <w:right w:val="single" w:sz="4" w:space="0" w:color="auto"/>
            </w:tcBorders>
            <w:shd w:val="clear" w:color="auto" w:fill="auto"/>
            <w:vAlign w:val="center"/>
            <w:hideMark/>
          </w:tcPr>
          <w:p w14:paraId="6602EBCC" w14:textId="77777777" w:rsidR="00664B29" w:rsidRPr="00664B29" w:rsidRDefault="00664B29" w:rsidP="007F1921">
            <w:pPr>
              <w:rPr>
                <w:color w:val="000000"/>
                <w:sz w:val="22"/>
                <w:szCs w:val="18"/>
              </w:rPr>
            </w:pPr>
            <w:r w:rsidRPr="00664B29">
              <w:rPr>
                <w:color w:val="000000"/>
                <w:sz w:val="22"/>
                <w:szCs w:val="18"/>
              </w:rPr>
              <w:t xml:space="preserve">DIN VDE 0105-100 </w:t>
            </w:r>
            <w:r w:rsidRPr="00664B29">
              <w:rPr>
                <w:b/>
                <w:bCs/>
                <w:color w:val="0070C0"/>
                <w:sz w:val="22"/>
                <w:szCs w:val="18"/>
              </w:rPr>
              <w:t>Tabelle 102</w:t>
            </w:r>
            <w:r w:rsidRPr="00664B29">
              <w:rPr>
                <w:color w:val="0070C0"/>
                <w:sz w:val="22"/>
                <w:szCs w:val="18"/>
              </w:rPr>
              <w:t xml:space="preserve"> </w:t>
            </w:r>
            <w:r w:rsidRPr="00664B29">
              <w:rPr>
                <w:color w:val="0070C0"/>
                <w:sz w:val="22"/>
                <w:szCs w:val="18"/>
              </w:rPr>
              <w:br/>
            </w:r>
            <w:r w:rsidRPr="00664B29">
              <w:rPr>
                <w:color w:val="000000"/>
                <w:sz w:val="22"/>
                <w:szCs w:val="18"/>
              </w:rPr>
              <w:t>Abschnitt 6.4.3</w:t>
            </w:r>
          </w:p>
        </w:tc>
      </w:tr>
      <w:tr w:rsidR="00664B29" w:rsidRPr="00664B29" w14:paraId="5891BD18" w14:textId="77777777" w:rsidTr="007F1921">
        <w:trPr>
          <w:trHeight w:val="268"/>
        </w:trPr>
        <w:tc>
          <w:tcPr>
            <w:tcW w:w="1409" w:type="dxa"/>
            <w:tcBorders>
              <w:top w:val="nil"/>
              <w:left w:val="single" w:sz="8" w:space="0" w:color="auto"/>
              <w:bottom w:val="single" w:sz="8" w:space="0" w:color="auto"/>
              <w:right w:val="single" w:sz="4" w:space="0" w:color="auto"/>
            </w:tcBorders>
            <w:shd w:val="clear" w:color="000000" w:fill="D9D9D9"/>
            <w:noWrap/>
            <w:vAlign w:val="center"/>
            <w:hideMark/>
          </w:tcPr>
          <w:p w14:paraId="03E43873" w14:textId="77777777" w:rsidR="00664B29" w:rsidRPr="00664B29" w:rsidRDefault="00664B29" w:rsidP="007F1921">
            <w:pPr>
              <w:rPr>
                <w:i/>
                <w:iCs/>
                <w:color w:val="000000"/>
                <w:sz w:val="22"/>
                <w:szCs w:val="18"/>
              </w:rPr>
            </w:pPr>
            <w:r w:rsidRPr="00664B29">
              <w:rPr>
                <w:i/>
                <w:iCs/>
                <w:color w:val="000000"/>
                <w:sz w:val="22"/>
                <w:szCs w:val="18"/>
              </w:rPr>
              <w:t>in kV</w:t>
            </w:r>
          </w:p>
        </w:tc>
        <w:tc>
          <w:tcPr>
            <w:tcW w:w="4044" w:type="dxa"/>
            <w:tcBorders>
              <w:top w:val="nil"/>
              <w:left w:val="nil"/>
              <w:bottom w:val="single" w:sz="8" w:space="0" w:color="auto"/>
              <w:right w:val="single" w:sz="4" w:space="0" w:color="auto"/>
            </w:tcBorders>
            <w:shd w:val="clear" w:color="000000" w:fill="D9D9D9"/>
            <w:noWrap/>
            <w:vAlign w:val="center"/>
            <w:hideMark/>
          </w:tcPr>
          <w:p w14:paraId="655640F5" w14:textId="77777777" w:rsidR="00664B29" w:rsidRPr="00664B29" w:rsidRDefault="00664B29" w:rsidP="007F1921">
            <w:pPr>
              <w:rPr>
                <w:i/>
                <w:iCs/>
                <w:color w:val="000000"/>
                <w:sz w:val="22"/>
                <w:szCs w:val="18"/>
              </w:rPr>
            </w:pPr>
            <w:r w:rsidRPr="00664B29">
              <w:rPr>
                <w:i/>
                <w:iCs/>
                <w:color w:val="000000"/>
                <w:sz w:val="22"/>
                <w:szCs w:val="18"/>
              </w:rPr>
              <w:t>in mm</w:t>
            </w:r>
          </w:p>
        </w:tc>
        <w:tc>
          <w:tcPr>
            <w:tcW w:w="4045" w:type="dxa"/>
            <w:tcBorders>
              <w:top w:val="nil"/>
              <w:left w:val="nil"/>
              <w:bottom w:val="single" w:sz="8" w:space="0" w:color="auto"/>
              <w:right w:val="single" w:sz="4" w:space="0" w:color="auto"/>
            </w:tcBorders>
            <w:shd w:val="clear" w:color="000000" w:fill="D9D9D9"/>
            <w:noWrap/>
            <w:vAlign w:val="center"/>
            <w:hideMark/>
          </w:tcPr>
          <w:p w14:paraId="3906E526" w14:textId="77777777" w:rsidR="00664B29" w:rsidRPr="00664B29" w:rsidRDefault="00664B29" w:rsidP="007F1921">
            <w:pPr>
              <w:rPr>
                <w:i/>
                <w:iCs/>
                <w:color w:val="000000"/>
                <w:sz w:val="22"/>
                <w:szCs w:val="18"/>
              </w:rPr>
            </w:pPr>
            <w:r w:rsidRPr="00664B29">
              <w:rPr>
                <w:i/>
                <w:iCs/>
                <w:color w:val="000000"/>
                <w:sz w:val="22"/>
                <w:szCs w:val="18"/>
              </w:rPr>
              <w:t>in m</w:t>
            </w:r>
          </w:p>
        </w:tc>
      </w:tr>
      <w:tr w:rsidR="00664B29" w:rsidRPr="00664B29" w14:paraId="191AC09F" w14:textId="77777777" w:rsidTr="007F1921">
        <w:trPr>
          <w:trHeight w:val="261"/>
        </w:trPr>
        <w:tc>
          <w:tcPr>
            <w:tcW w:w="1409" w:type="dxa"/>
            <w:tcBorders>
              <w:top w:val="nil"/>
              <w:left w:val="single" w:sz="8" w:space="0" w:color="auto"/>
              <w:bottom w:val="single" w:sz="4" w:space="0" w:color="auto"/>
              <w:right w:val="single" w:sz="4" w:space="0" w:color="auto"/>
            </w:tcBorders>
            <w:shd w:val="clear" w:color="000000" w:fill="F2F2F2"/>
            <w:noWrap/>
            <w:vAlign w:val="center"/>
            <w:hideMark/>
          </w:tcPr>
          <w:p w14:paraId="6A1016D6" w14:textId="77777777" w:rsidR="00664B29" w:rsidRPr="00664B29" w:rsidRDefault="00664B29" w:rsidP="007F1921">
            <w:pPr>
              <w:rPr>
                <w:b/>
                <w:bCs/>
                <w:color w:val="000000"/>
                <w:sz w:val="22"/>
                <w:szCs w:val="18"/>
              </w:rPr>
            </w:pPr>
            <w:r w:rsidRPr="00664B29">
              <w:rPr>
                <w:b/>
                <w:bCs/>
                <w:color w:val="000000"/>
                <w:sz w:val="22"/>
                <w:szCs w:val="18"/>
              </w:rPr>
              <w:t>&lt; 1</w:t>
            </w:r>
          </w:p>
        </w:tc>
        <w:tc>
          <w:tcPr>
            <w:tcW w:w="4044" w:type="dxa"/>
            <w:tcBorders>
              <w:top w:val="nil"/>
              <w:left w:val="nil"/>
              <w:bottom w:val="single" w:sz="4" w:space="0" w:color="auto"/>
              <w:right w:val="single" w:sz="4" w:space="0" w:color="auto"/>
            </w:tcBorders>
            <w:shd w:val="clear" w:color="auto" w:fill="auto"/>
            <w:noWrap/>
            <w:vAlign w:val="center"/>
            <w:hideMark/>
          </w:tcPr>
          <w:p w14:paraId="0648F6C6" w14:textId="77777777" w:rsidR="00664B29" w:rsidRPr="00664B29" w:rsidRDefault="00664B29" w:rsidP="007F1921">
            <w:pPr>
              <w:rPr>
                <w:color w:val="000000"/>
                <w:sz w:val="22"/>
                <w:szCs w:val="18"/>
              </w:rPr>
            </w:pPr>
            <w:r w:rsidRPr="00664B29">
              <w:rPr>
                <w:color w:val="000000"/>
                <w:sz w:val="22"/>
                <w:szCs w:val="18"/>
              </w:rPr>
              <w:t>Keine Berührung</w:t>
            </w:r>
          </w:p>
        </w:tc>
        <w:tc>
          <w:tcPr>
            <w:tcW w:w="4045" w:type="dxa"/>
            <w:tcBorders>
              <w:top w:val="nil"/>
              <w:left w:val="nil"/>
              <w:bottom w:val="single" w:sz="4" w:space="0" w:color="auto"/>
              <w:right w:val="single" w:sz="4" w:space="0" w:color="auto"/>
            </w:tcBorders>
            <w:shd w:val="clear" w:color="auto" w:fill="auto"/>
            <w:noWrap/>
            <w:vAlign w:val="center"/>
            <w:hideMark/>
          </w:tcPr>
          <w:p w14:paraId="382FB40A" w14:textId="77777777" w:rsidR="00664B29" w:rsidRPr="00664B29" w:rsidRDefault="00664B29" w:rsidP="007F1921">
            <w:pPr>
              <w:rPr>
                <w:color w:val="000000"/>
                <w:sz w:val="22"/>
                <w:szCs w:val="18"/>
              </w:rPr>
            </w:pPr>
            <w:r w:rsidRPr="00664B29">
              <w:rPr>
                <w:color w:val="000000"/>
                <w:sz w:val="22"/>
                <w:szCs w:val="18"/>
              </w:rPr>
              <w:t>0,5</w:t>
            </w:r>
          </w:p>
        </w:tc>
      </w:tr>
      <w:tr w:rsidR="00664B29" w:rsidRPr="00664B29" w14:paraId="3B6802FB" w14:textId="77777777" w:rsidTr="007F1921">
        <w:trPr>
          <w:trHeight w:val="275"/>
        </w:trPr>
        <w:tc>
          <w:tcPr>
            <w:tcW w:w="1409" w:type="dxa"/>
            <w:tcBorders>
              <w:top w:val="nil"/>
              <w:left w:val="single" w:sz="8" w:space="0" w:color="auto"/>
              <w:bottom w:val="single" w:sz="4" w:space="0" w:color="auto"/>
              <w:right w:val="single" w:sz="4" w:space="0" w:color="auto"/>
            </w:tcBorders>
            <w:shd w:val="clear" w:color="000000" w:fill="F2F2F2"/>
            <w:noWrap/>
            <w:vAlign w:val="center"/>
            <w:hideMark/>
          </w:tcPr>
          <w:p w14:paraId="325C5733" w14:textId="77777777" w:rsidR="00664B29" w:rsidRPr="00664B29" w:rsidRDefault="00664B29" w:rsidP="007F1921">
            <w:pPr>
              <w:rPr>
                <w:b/>
                <w:bCs/>
                <w:color w:val="000000"/>
                <w:sz w:val="22"/>
                <w:szCs w:val="18"/>
              </w:rPr>
            </w:pPr>
            <w:r w:rsidRPr="00664B29">
              <w:rPr>
                <w:b/>
                <w:bCs/>
                <w:color w:val="000000"/>
                <w:sz w:val="22"/>
                <w:szCs w:val="18"/>
              </w:rPr>
              <w:t>3</w:t>
            </w:r>
          </w:p>
        </w:tc>
        <w:tc>
          <w:tcPr>
            <w:tcW w:w="4044" w:type="dxa"/>
            <w:tcBorders>
              <w:top w:val="nil"/>
              <w:left w:val="nil"/>
              <w:bottom w:val="single" w:sz="4" w:space="0" w:color="auto"/>
              <w:right w:val="single" w:sz="4" w:space="0" w:color="auto"/>
            </w:tcBorders>
            <w:shd w:val="clear" w:color="auto" w:fill="auto"/>
            <w:noWrap/>
            <w:vAlign w:val="center"/>
            <w:hideMark/>
          </w:tcPr>
          <w:p w14:paraId="1B8A054A" w14:textId="77777777" w:rsidR="00664B29" w:rsidRPr="00664B29" w:rsidRDefault="00664B29" w:rsidP="007F1921">
            <w:pPr>
              <w:rPr>
                <w:color w:val="000000"/>
                <w:sz w:val="22"/>
                <w:szCs w:val="18"/>
              </w:rPr>
            </w:pPr>
            <w:r w:rsidRPr="00664B29">
              <w:rPr>
                <w:color w:val="000000"/>
                <w:sz w:val="22"/>
                <w:szCs w:val="18"/>
              </w:rPr>
              <w:t>60</w:t>
            </w:r>
          </w:p>
        </w:tc>
        <w:tc>
          <w:tcPr>
            <w:tcW w:w="40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F99F7B" w14:textId="77777777" w:rsidR="00664B29" w:rsidRPr="00664B29" w:rsidRDefault="00664B29" w:rsidP="007F1921">
            <w:pPr>
              <w:rPr>
                <w:color w:val="000000"/>
                <w:sz w:val="22"/>
                <w:szCs w:val="18"/>
              </w:rPr>
            </w:pPr>
            <w:r w:rsidRPr="00664B29">
              <w:rPr>
                <w:color w:val="000000"/>
                <w:sz w:val="22"/>
                <w:szCs w:val="18"/>
              </w:rPr>
              <w:t>1,5</w:t>
            </w:r>
          </w:p>
        </w:tc>
      </w:tr>
      <w:tr w:rsidR="00664B29" w:rsidRPr="00664B29" w14:paraId="4D08B908" w14:textId="77777777" w:rsidTr="007F1921">
        <w:trPr>
          <w:trHeight w:val="264"/>
        </w:trPr>
        <w:tc>
          <w:tcPr>
            <w:tcW w:w="1409" w:type="dxa"/>
            <w:tcBorders>
              <w:top w:val="nil"/>
              <w:left w:val="single" w:sz="8" w:space="0" w:color="auto"/>
              <w:bottom w:val="single" w:sz="4" w:space="0" w:color="auto"/>
              <w:right w:val="single" w:sz="4" w:space="0" w:color="auto"/>
            </w:tcBorders>
            <w:shd w:val="clear" w:color="000000" w:fill="F2F2F2"/>
            <w:noWrap/>
            <w:vAlign w:val="center"/>
            <w:hideMark/>
          </w:tcPr>
          <w:p w14:paraId="20473419" w14:textId="77777777" w:rsidR="00664B29" w:rsidRPr="00664B29" w:rsidRDefault="00664B29" w:rsidP="007F1921">
            <w:pPr>
              <w:rPr>
                <w:b/>
                <w:bCs/>
                <w:color w:val="000000"/>
                <w:sz w:val="22"/>
                <w:szCs w:val="18"/>
              </w:rPr>
            </w:pPr>
            <w:r w:rsidRPr="00664B29">
              <w:rPr>
                <w:b/>
                <w:bCs/>
                <w:color w:val="000000"/>
                <w:sz w:val="22"/>
                <w:szCs w:val="18"/>
              </w:rPr>
              <w:t>6</w:t>
            </w:r>
          </w:p>
        </w:tc>
        <w:tc>
          <w:tcPr>
            <w:tcW w:w="4044" w:type="dxa"/>
            <w:tcBorders>
              <w:top w:val="nil"/>
              <w:left w:val="nil"/>
              <w:bottom w:val="single" w:sz="4" w:space="0" w:color="auto"/>
              <w:right w:val="single" w:sz="4" w:space="0" w:color="auto"/>
            </w:tcBorders>
            <w:shd w:val="clear" w:color="auto" w:fill="auto"/>
            <w:noWrap/>
            <w:vAlign w:val="center"/>
            <w:hideMark/>
          </w:tcPr>
          <w:p w14:paraId="66A65F8C" w14:textId="77777777" w:rsidR="00664B29" w:rsidRPr="00664B29" w:rsidRDefault="00664B29" w:rsidP="007F1921">
            <w:pPr>
              <w:rPr>
                <w:color w:val="000000"/>
                <w:sz w:val="22"/>
                <w:szCs w:val="18"/>
              </w:rPr>
            </w:pPr>
            <w:r w:rsidRPr="00664B29">
              <w:rPr>
                <w:color w:val="000000"/>
                <w:sz w:val="22"/>
                <w:szCs w:val="18"/>
              </w:rPr>
              <w:t>90</w:t>
            </w:r>
          </w:p>
        </w:tc>
        <w:tc>
          <w:tcPr>
            <w:tcW w:w="4045" w:type="dxa"/>
            <w:vMerge/>
            <w:tcBorders>
              <w:top w:val="nil"/>
              <w:left w:val="single" w:sz="4" w:space="0" w:color="auto"/>
              <w:bottom w:val="single" w:sz="4" w:space="0" w:color="auto"/>
              <w:right w:val="single" w:sz="4" w:space="0" w:color="auto"/>
            </w:tcBorders>
            <w:vAlign w:val="center"/>
            <w:hideMark/>
          </w:tcPr>
          <w:p w14:paraId="17AC6E1B" w14:textId="77777777" w:rsidR="00664B29" w:rsidRPr="00664B29" w:rsidRDefault="00664B29" w:rsidP="007F1921">
            <w:pPr>
              <w:rPr>
                <w:color w:val="000000"/>
                <w:sz w:val="22"/>
                <w:szCs w:val="18"/>
              </w:rPr>
            </w:pPr>
          </w:p>
        </w:tc>
      </w:tr>
      <w:tr w:rsidR="00664B29" w:rsidRPr="00664B29" w14:paraId="766ABEE4" w14:textId="77777777" w:rsidTr="007F1921">
        <w:trPr>
          <w:trHeight w:val="282"/>
        </w:trPr>
        <w:tc>
          <w:tcPr>
            <w:tcW w:w="1409" w:type="dxa"/>
            <w:tcBorders>
              <w:top w:val="nil"/>
              <w:left w:val="single" w:sz="8" w:space="0" w:color="auto"/>
              <w:bottom w:val="single" w:sz="4" w:space="0" w:color="auto"/>
              <w:right w:val="single" w:sz="4" w:space="0" w:color="auto"/>
            </w:tcBorders>
            <w:shd w:val="clear" w:color="000000" w:fill="F2F2F2"/>
            <w:noWrap/>
            <w:vAlign w:val="center"/>
            <w:hideMark/>
          </w:tcPr>
          <w:p w14:paraId="62AF3CB9" w14:textId="77777777" w:rsidR="00664B29" w:rsidRPr="00664B29" w:rsidRDefault="00664B29" w:rsidP="007F1921">
            <w:pPr>
              <w:rPr>
                <w:b/>
                <w:bCs/>
                <w:color w:val="000000"/>
                <w:sz w:val="22"/>
                <w:szCs w:val="18"/>
              </w:rPr>
            </w:pPr>
            <w:r w:rsidRPr="00664B29">
              <w:rPr>
                <w:b/>
                <w:bCs/>
                <w:color w:val="000000"/>
                <w:sz w:val="22"/>
                <w:szCs w:val="18"/>
              </w:rPr>
              <w:t>10</w:t>
            </w:r>
          </w:p>
        </w:tc>
        <w:tc>
          <w:tcPr>
            <w:tcW w:w="4044" w:type="dxa"/>
            <w:tcBorders>
              <w:top w:val="nil"/>
              <w:left w:val="nil"/>
              <w:bottom w:val="single" w:sz="4" w:space="0" w:color="auto"/>
              <w:right w:val="single" w:sz="4" w:space="0" w:color="auto"/>
            </w:tcBorders>
            <w:shd w:val="clear" w:color="auto" w:fill="auto"/>
            <w:noWrap/>
            <w:vAlign w:val="center"/>
            <w:hideMark/>
          </w:tcPr>
          <w:p w14:paraId="77B976B8" w14:textId="77777777" w:rsidR="00664B29" w:rsidRPr="00664B29" w:rsidRDefault="00664B29" w:rsidP="007F1921">
            <w:pPr>
              <w:rPr>
                <w:color w:val="000000"/>
                <w:sz w:val="22"/>
                <w:szCs w:val="18"/>
              </w:rPr>
            </w:pPr>
            <w:r w:rsidRPr="00664B29">
              <w:rPr>
                <w:color w:val="000000"/>
                <w:sz w:val="22"/>
                <w:szCs w:val="18"/>
              </w:rPr>
              <w:t>120</w:t>
            </w:r>
          </w:p>
        </w:tc>
        <w:tc>
          <w:tcPr>
            <w:tcW w:w="4045" w:type="dxa"/>
            <w:vMerge/>
            <w:tcBorders>
              <w:top w:val="nil"/>
              <w:left w:val="single" w:sz="4" w:space="0" w:color="auto"/>
              <w:bottom w:val="single" w:sz="4" w:space="0" w:color="auto"/>
              <w:right w:val="single" w:sz="4" w:space="0" w:color="auto"/>
            </w:tcBorders>
            <w:vAlign w:val="center"/>
            <w:hideMark/>
          </w:tcPr>
          <w:p w14:paraId="210C782B" w14:textId="77777777" w:rsidR="00664B29" w:rsidRPr="00664B29" w:rsidRDefault="00664B29" w:rsidP="007F1921">
            <w:pPr>
              <w:rPr>
                <w:color w:val="000000"/>
                <w:sz w:val="22"/>
                <w:szCs w:val="18"/>
              </w:rPr>
            </w:pPr>
          </w:p>
        </w:tc>
      </w:tr>
      <w:tr w:rsidR="00664B29" w:rsidRPr="00664B29" w14:paraId="42D1A39E" w14:textId="77777777" w:rsidTr="007F1921">
        <w:trPr>
          <w:trHeight w:val="272"/>
        </w:trPr>
        <w:tc>
          <w:tcPr>
            <w:tcW w:w="1409" w:type="dxa"/>
            <w:tcBorders>
              <w:top w:val="nil"/>
              <w:left w:val="single" w:sz="8" w:space="0" w:color="auto"/>
              <w:bottom w:val="single" w:sz="4" w:space="0" w:color="auto"/>
              <w:right w:val="single" w:sz="4" w:space="0" w:color="auto"/>
            </w:tcBorders>
            <w:shd w:val="clear" w:color="000000" w:fill="F2F2F2"/>
            <w:noWrap/>
            <w:vAlign w:val="center"/>
            <w:hideMark/>
          </w:tcPr>
          <w:p w14:paraId="782A36A6" w14:textId="77777777" w:rsidR="00664B29" w:rsidRPr="00664B29" w:rsidRDefault="00664B29" w:rsidP="007F1921">
            <w:pPr>
              <w:rPr>
                <w:b/>
                <w:bCs/>
                <w:color w:val="000000"/>
                <w:sz w:val="22"/>
                <w:szCs w:val="18"/>
              </w:rPr>
            </w:pPr>
            <w:r w:rsidRPr="00664B29">
              <w:rPr>
                <w:b/>
                <w:bCs/>
                <w:color w:val="000000"/>
                <w:sz w:val="22"/>
                <w:szCs w:val="18"/>
              </w:rPr>
              <w:t>20</w:t>
            </w:r>
          </w:p>
        </w:tc>
        <w:tc>
          <w:tcPr>
            <w:tcW w:w="4044" w:type="dxa"/>
            <w:tcBorders>
              <w:top w:val="nil"/>
              <w:left w:val="nil"/>
              <w:bottom w:val="single" w:sz="4" w:space="0" w:color="auto"/>
              <w:right w:val="single" w:sz="4" w:space="0" w:color="auto"/>
            </w:tcBorders>
            <w:shd w:val="clear" w:color="auto" w:fill="auto"/>
            <w:noWrap/>
            <w:vAlign w:val="center"/>
            <w:hideMark/>
          </w:tcPr>
          <w:p w14:paraId="067F6808" w14:textId="77777777" w:rsidR="00664B29" w:rsidRPr="00664B29" w:rsidRDefault="00664B29" w:rsidP="007F1921">
            <w:pPr>
              <w:rPr>
                <w:color w:val="000000"/>
                <w:sz w:val="22"/>
                <w:szCs w:val="18"/>
              </w:rPr>
            </w:pPr>
            <w:r w:rsidRPr="00664B29">
              <w:rPr>
                <w:color w:val="000000"/>
                <w:sz w:val="22"/>
                <w:szCs w:val="18"/>
              </w:rPr>
              <w:t>220</w:t>
            </w:r>
          </w:p>
        </w:tc>
        <w:tc>
          <w:tcPr>
            <w:tcW w:w="4045" w:type="dxa"/>
            <w:vMerge/>
            <w:tcBorders>
              <w:top w:val="nil"/>
              <w:left w:val="single" w:sz="4" w:space="0" w:color="auto"/>
              <w:bottom w:val="single" w:sz="4" w:space="0" w:color="auto"/>
              <w:right w:val="single" w:sz="4" w:space="0" w:color="auto"/>
            </w:tcBorders>
            <w:vAlign w:val="center"/>
            <w:hideMark/>
          </w:tcPr>
          <w:p w14:paraId="60C6B9C5" w14:textId="77777777" w:rsidR="00664B29" w:rsidRPr="00664B29" w:rsidRDefault="00664B29" w:rsidP="007F1921">
            <w:pPr>
              <w:rPr>
                <w:color w:val="000000"/>
                <w:sz w:val="22"/>
                <w:szCs w:val="18"/>
              </w:rPr>
            </w:pPr>
          </w:p>
        </w:tc>
      </w:tr>
      <w:tr w:rsidR="00664B29" w:rsidRPr="00664B29" w14:paraId="42AF1783" w14:textId="77777777" w:rsidTr="007F1921">
        <w:trPr>
          <w:trHeight w:val="276"/>
        </w:trPr>
        <w:tc>
          <w:tcPr>
            <w:tcW w:w="1409" w:type="dxa"/>
            <w:tcBorders>
              <w:top w:val="nil"/>
              <w:left w:val="single" w:sz="8" w:space="0" w:color="auto"/>
              <w:bottom w:val="single" w:sz="4" w:space="0" w:color="auto"/>
              <w:right w:val="single" w:sz="4" w:space="0" w:color="auto"/>
            </w:tcBorders>
            <w:shd w:val="clear" w:color="000000" w:fill="F2F2F2"/>
            <w:noWrap/>
            <w:vAlign w:val="center"/>
            <w:hideMark/>
          </w:tcPr>
          <w:p w14:paraId="7F7EB132" w14:textId="77777777" w:rsidR="00664B29" w:rsidRPr="00664B29" w:rsidRDefault="00664B29" w:rsidP="007F1921">
            <w:pPr>
              <w:rPr>
                <w:b/>
                <w:bCs/>
                <w:color w:val="000000"/>
                <w:sz w:val="22"/>
                <w:szCs w:val="18"/>
              </w:rPr>
            </w:pPr>
            <w:r w:rsidRPr="00664B29">
              <w:rPr>
                <w:b/>
                <w:bCs/>
                <w:color w:val="000000"/>
                <w:sz w:val="22"/>
                <w:szCs w:val="18"/>
              </w:rPr>
              <w:t>30</w:t>
            </w:r>
          </w:p>
        </w:tc>
        <w:tc>
          <w:tcPr>
            <w:tcW w:w="4044" w:type="dxa"/>
            <w:tcBorders>
              <w:top w:val="nil"/>
              <w:left w:val="nil"/>
              <w:bottom w:val="single" w:sz="4" w:space="0" w:color="auto"/>
              <w:right w:val="single" w:sz="4" w:space="0" w:color="auto"/>
            </w:tcBorders>
            <w:shd w:val="clear" w:color="auto" w:fill="auto"/>
            <w:noWrap/>
            <w:vAlign w:val="center"/>
            <w:hideMark/>
          </w:tcPr>
          <w:p w14:paraId="3A60D256" w14:textId="77777777" w:rsidR="00664B29" w:rsidRPr="00664B29" w:rsidRDefault="00664B29" w:rsidP="007F1921">
            <w:pPr>
              <w:rPr>
                <w:color w:val="000000"/>
                <w:sz w:val="22"/>
                <w:szCs w:val="18"/>
              </w:rPr>
            </w:pPr>
            <w:r w:rsidRPr="00664B29">
              <w:rPr>
                <w:color w:val="000000"/>
                <w:sz w:val="22"/>
                <w:szCs w:val="18"/>
              </w:rPr>
              <w:t>320</w:t>
            </w:r>
          </w:p>
        </w:tc>
        <w:tc>
          <w:tcPr>
            <w:tcW w:w="4045" w:type="dxa"/>
            <w:vMerge/>
            <w:tcBorders>
              <w:top w:val="nil"/>
              <w:left w:val="single" w:sz="4" w:space="0" w:color="auto"/>
              <w:bottom w:val="single" w:sz="4" w:space="0" w:color="auto"/>
              <w:right w:val="single" w:sz="4" w:space="0" w:color="auto"/>
            </w:tcBorders>
            <w:vAlign w:val="center"/>
            <w:hideMark/>
          </w:tcPr>
          <w:p w14:paraId="2F71FACB" w14:textId="77777777" w:rsidR="00664B29" w:rsidRPr="00664B29" w:rsidRDefault="00664B29" w:rsidP="007F1921">
            <w:pPr>
              <w:rPr>
                <w:color w:val="000000"/>
                <w:sz w:val="22"/>
                <w:szCs w:val="18"/>
              </w:rPr>
            </w:pPr>
          </w:p>
        </w:tc>
      </w:tr>
      <w:tr w:rsidR="00664B29" w:rsidRPr="00664B29" w14:paraId="4AE312CA" w14:textId="77777777" w:rsidTr="007F1921">
        <w:trPr>
          <w:trHeight w:val="266"/>
        </w:trPr>
        <w:tc>
          <w:tcPr>
            <w:tcW w:w="1409" w:type="dxa"/>
            <w:tcBorders>
              <w:top w:val="nil"/>
              <w:left w:val="single" w:sz="8" w:space="0" w:color="auto"/>
              <w:bottom w:val="single" w:sz="4" w:space="0" w:color="auto"/>
              <w:right w:val="single" w:sz="4" w:space="0" w:color="auto"/>
            </w:tcBorders>
            <w:shd w:val="clear" w:color="000000" w:fill="F2F2F2"/>
            <w:noWrap/>
            <w:vAlign w:val="center"/>
            <w:hideMark/>
          </w:tcPr>
          <w:p w14:paraId="5225C74B" w14:textId="77777777" w:rsidR="00664B29" w:rsidRPr="00664B29" w:rsidRDefault="00664B29" w:rsidP="007F1921">
            <w:pPr>
              <w:rPr>
                <w:b/>
                <w:bCs/>
                <w:color w:val="000000"/>
                <w:sz w:val="22"/>
                <w:szCs w:val="18"/>
              </w:rPr>
            </w:pPr>
            <w:r w:rsidRPr="00664B29">
              <w:rPr>
                <w:b/>
                <w:bCs/>
                <w:color w:val="000000"/>
                <w:sz w:val="22"/>
                <w:szCs w:val="18"/>
              </w:rPr>
              <w:t>110</w:t>
            </w:r>
          </w:p>
        </w:tc>
        <w:tc>
          <w:tcPr>
            <w:tcW w:w="4044" w:type="dxa"/>
            <w:tcBorders>
              <w:top w:val="nil"/>
              <w:left w:val="nil"/>
              <w:bottom w:val="single" w:sz="4" w:space="0" w:color="auto"/>
              <w:right w:val="single" w:sz="4" w:space="0" w:color="auto"/>
            </w:tcBorders>
            <w:shd w:val="clear" w:color="auto" w:fill="auto"/>
            <w:noWrap/>
            <w:vAlign w:val="center"/>
            <w:hideMark/>
          </w:tcPr>
          <w:p w14:paraId="0E5B65C3" w14:textId="77777777" w:rsidR="00664B29" w:rsidRPr="00664B29" w:rsidRDefault="00664B29" w:rsidP="007F1921">
            <w:pPr>
              <w:rPr>
                <w:color w:val="000000"/>
                <w:sz w:val="22"/>
                <w:szCs w:val="18"/>
              </w:rPr>
            </w:pPr>
            <w:r w:rsidRPr="00664B29">
              <w:rPr>
                <w:color w:val="000000"/>
                <w:sz w:val="22"/>
                <w:szCs w:val="18"/>
              </w:rPr>
              <w:t>1100</w:t>
            </w:r>
          </w:p>
        </w:tc>
        <w:tc>
          <w:tcPr>
            <w:tcW w:w="4045" w:type="dxa"/>
            <w:tcBorders>
              <w:top w:val="nil"/>
              <w:left w:val="nil"/>
              <w:bottom w:val="single" w:sz="4" w:space="0" w:color="auto"/>
              <w:right w:val="single" w:sz="4" w:space="0" w:color="auto"/>
            </w:tcBorders>
            <w:shd w:val="clear" w:color="auto" w:fill="auto"/>
            <w:noWrap/>
            <w:vAlign w:val="center"/>
            <w:hideMark/>
          </w:tcPr>
          <w:p w14:paraId="635B9153" w14:textId="77777777" w:rsidR="00664B29" w:rsidRPr="00664B29" w:rsidRDefault="00664B29" w:rsidP="007F1921">
            <w:pPr>
              <w:rPr>
                <w:color w:val="000000"/>
                <w:sz w:val="22"/>
                <w:szCs w:val="18"/>
              </w:rPr>
            </w:pPr>
            <w:r w:rsidRPr="00664B29">
              <w:rPr>
                <w:color w:val="000000"/>
                <w:sz w:val="22"/>
                <w:szCs w:val="18"/>
              </w:rPr>
              <w:t>2</w:t>
            </w:r>
          </w:p>
        </w:tc>
      </w:tr>
    </w:tbl>
    <w:p w14:paraId="0454AFF8" w14:textId="77777777" w:rsidR="00664B29" w:rsidRPr="00767CEF" w:rsidRDefault="00664B29" w:rsidP="00664B29">
      <w:pPr>
        <w:jc w:val="both"/>
        <w:rPr>
          <w:noProof/>
        </w:rPr>
      </w:pPr>
      <w:r w:rsidRPr="00767CEF">
        <w:rPr>
          <w:noProof/>
        </w:rPr>
        <w:drawing>
          <wp:inline distT="0" distB="0" distL="0" distR="0" wp14:anchorId="7DB4005A" wp14:editId="7D7E6CB6">
            <wp:extent cx="5975350" cy="3381375"/>
            <wp:effectExtent l="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0" cy="3381375"/>
                    </a:xfrm>
                    <a:prstGeom prst="rect">
                      <a:avLst/>
                    </a:prstGeom>
                    <a:noFill/>
                    <a:ln>
                      <a:noFill/>
                    </a:ln>
                  </pic:spPr>
                </pic:pic>
              </a:graphicData>
            </a:graphic>
          </wp:inline>
        </w:drawing>
      </w:r>
    </w:p>
    <w:p w14:paraId="3FEF75BD" w14:textId="77777777" w:rsidR="00664B29" w:rsidRPr="00767CEF" w:rsidRDefault="00664B29" w:rsidP="00664B29">
      <w:pPr>
        <w:jc w:val="both"/>
      </w:pPr>
    </w:p>
    <w:p w14:paraId="6084B9C9" w14:textId="77777777" w:rsidR="00664B29" w:rsidRPr="00664B29" w:rsidRDefault="00664B29" w:rsidP="00664B29">
      <w:pPr>
        <w:jc w:val="both"/>
        <w:rPr>
          <w:sz w:val="22"/>
          <w:szCs w:val="18"/>
        </w:rPr>
      </w:pPr>
      <w:r w:rsidRPr="00664B29">
        <w:rPr>
          <w:sz w:val="22"/>
          <w:szCs w:val="18"/>
        </w:rPr>
        <w:t>Als oberster Grundsatz gilt, dass Arbeiten unter Spannung nur dann durchgeführt werden dürfen, wenn die Sicherheit und der Gesundheitsschutz aller an den Arbeiten beteiligten Personen sichergestellt ist. Man unterscheidet bei Arbeiten unter Spannung zwischen zwei Arten:</w:t>
      </w:r>
    </w:p>
    <w:p w14:paraId="5ED843F6" w14:textId="77777777" w:rsidR="00664B29" w:rsidRPr="00664B29" w:rsidRDefault="00664B29" w:rsidP="00664B29">
      <w:pPr>
        <w:numPr>
          <w:ilvl w:val="0"/>
          <w:numId w:val="10"/>
        </w:numPr>
        <w:ind w:left="426"/>
        <w:jc w:val="both"/>
        <w:rPr>
          <w:sz w:val="22"/>
          <w:szCs w:val="18"/>
        </w:rPr>
      </w:pPr>
      <w:r w:rsidRPr="00664B29">
        <w:rPr>
          <w:sz w:val="22"/>
          <w:szCs w:val="18"/>
        </w:rPr>
        <w:t>Arbeiten für die keine besonderen technischen und organisatorischen Maßnahmen nach VDE 0105-100 6.3.2.ff. (</w:t>
      </w:r>
      <w:proofErr w:type="spellStart"/>
      <w:r w:rsidRPr="00664B29">
        <w:rPr>
          <w:sz w:val="22"/>
          <w:szCs w:val="18"/>
        </w:rPr>
        <w:t>AuS</w:t>
      </w:r>
      <w:proofErr w:type="spellEnd"/>
      <w:r w:rsidRPr="00664B29">
        <w:rPr>
          <w:sz w:val="22"/>
          <w:szCs w:val="18"/>
        </w:rPr>
        <w:t>-Pass) erforderlich sind.</w:t>
      </w:r>
    </w:p>
    <w:p w14:paraId="29B41C72" w14:textId="77777777" w:rsidR="00664B29" w:rsidRPr="00664B29" w:rsidRDefault="00664B29" w:rsidP="00664B29">
      <w:pPr>
        <w:numPr>
          <w:ilvl w:val="0"/>
          <w:numId w:val="10"/>
        </w:numPr>
        <w:ind w:left="426"/>
        <w:jc w:val="both"/>
        <w:rPr>
          <w:sz w:val="22"/>
          <w:szCs w:val="18"/>
        </w:rPr>
      </w:pPr>
      <w:r w:rsidRPr="00664B29">
        <w:rPr>
          <w:sz w:val="22"/>
          <w:szCs w:val="18"/>
        </w:rPr>
        <w:t>Arbeiten für die eine Spezialausbildung, sowie besonderen technischen und organisatorischen Maßnahmen nach VDE 0105-100 6.3.2.ff. erforderlich sind.</w:t>
      </w:r>
    </w:p>
    <w:p w14:paraId="1C58F182" w14:textId="3F54AC65" w:rsidR="00A766F8" w:rsidRPr="00FB4954" w:rsidRDefault="00A766F8" w:rsidP="00620E65">
      <w:pPr>
        <w:rPr>
          <w:sz w:val="22"/>
          <w:szCs w:val="22"/>
        </w:rPr>
      </w:pPr>
    </w:p>
    <w:sectPr w:rsidR="00A766F8" w:rsidRPr="00FB4954" w:rsidSect="00D75291">
      <w:headerReference w:type="default" r:id="rId12"/>
      <w:footerReference w:type="default" r:id="rId13"/>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0A66C" w14:textId="77777777" w:rsidR="00AB0FB3" w:rsidRDefault="00AB0FB3">
      <w:r>
        <w:separator/>
      </w:r>
    </w:p>
  </w:endnote>
  <w:endnote w:type="continuationSeparator" w:id="0">
    <w:p w14:paraId="6CEA9291" w14:textId="77777777" w:rsidR="00AB0FB3" w:rsidRDefault="00AB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74E90F85" w:rsidR="00413A01" w:rsidRPr="004C1C05" w:rsidRDefault="00413A01" w:rsidP="00413A01">
          <w:pPr>
            <w:pStyle w:val="Fuzeile"/>
            <w:ind w:right="-83"/>
            <w:rPr>
              <w:sz w:val="16"/>
              <w:szCs w:val="16"/>
            </w:rPr>
          </w:pPr>
          <w:r>
            <w:rPr>
              <w:sz w:val="16"/>
              <w:szCs w:val="16"/>
            </w:rPr>
            <w:t>0</w:t>
          </w:r>
          <w:r w:rsidR="00077923">
            <w:rPr>
              <w:sz w:val="16"/>
              <w:szCs w:val="16"/>
            </w:rPr>
            <w:t>5</w:t>
          </w:r>
          <w:r>
            <w:rPr>
              <w:sz w:val="16"/>
              <w:szCs w:val="16"/>
            </w:rPr>
            <w:t>.2021</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2BFC6" w14:textId="77777777" w:rsidR="00AB0FB3" w:rsidRDefault="00AB0FB3">
      <w:r>
        <w:separator/>
      </w:r>
    </w:p>
  </w:footnote>
  <w:footnote w:type="continuationSeparator" w:id="0">
    <w:p w14:paraId="66A019BC" w14:textId="77777777" w:rsidR="00AB0FB3" w:rsidRDefault="00AB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7F5FF724" w:rsidR="004F0DC2" w:rsidRPr="00E21DC0" w:rsidRDefault="004F0DC2" w:rsidP="004F0DC2">
          <w:pPr>
            <w:jc w:val="center"/>
          </w:pPr>
          <w:r w:rsidRPr="00E21DC0">
            <w:rPr>
              <w:b/>
            </w:rPr>
            <w:t>UW_ET_</w:t>
          </w:r>
          <w:r w:rsidR="000F059B">
            <w:rPr>
              <w:b/>
            </w:rPr>
            <w:t>69</w:t>
          </w:r>
        </w:p>
      </w:tc>
      <w:tc>
        <w:tcPr>
          <w:tcW w:w="5026" w:type="dxa"/>
          <w:vAlign w:val="center"/>
        </w:tcPr>
        <w:p w14:paraId="63D167E9" w14:textId="16911457" w:rsidR="004F0DC2" w:rsidRPr="00B2005A" w:rsidRDefault="00664B29" w:rsidP="004F0DC2">
          <w:pPr>
            <w:jc w:val="center"/>
            <w:rPr>
              <w:sz w:val="28"/>
              <w:szCs w:val="28"/>
            </w:rPr>
          </w:pPr>
          <w:r>
            <w:rPr>
              <w:sz w:val="28"/>
              <w:szCs w:val="28"/>
            </w:rPr>
            <w:t>Arbeiten unter Spannung</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8"/>
  </w:num>
  <w:num w:numId="8">
    <w:abstractNumId w:val="9"/>
  </w:num>
  <w:num w:numId="9">
    <w:abstractNumId w:val="7"/>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77923"/>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059B"/>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450C"/>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B0FB3"/>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b41b8ce1e3fedc5710439cebc369e07d">
  <xsd:schema xmlns:xsd="http://www.w3.org/2001/XMLSchema" xmlns:xs="http://www.w3.org/2001/XMLSchema" xmlns:p="http://schemas.microsoft.com/office/2006/metadata/properties" xmlns:ns2="0ba9638b-9898-400c-aa80-e8ce42f10e4c" targetNamespace="http://schemas.microsoft.com/office/2006/metadata/properties" ma:root="true" ma:fieldsID="dd614d852a53a8e1a56adf46796f00ce"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FA8B1-1571-4FCF-82FF-1536744C9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3.xml><?xml version="1.0" encoding="utf-8"?>
<ds:datastoreItem xmlns:ds="http://schemas.openxmlformats.org/officeDocument/2006/customXml" ds:itemID="{264A3299-8989-457B-B504-E981EED9A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A0759-FFA6-4C14-B104-AB042993D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1</Pages>
  <Words>137</Words>
  <Characters>866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5</cp:revision>
  <cp:lastPrinted>2018-10-16T05:29:00Z</cp:lastPrinted>
  <dcterms:created xsi:type="dcterms:W3CDTF">2021-03-11T11:45:00Z</dcterms:created>
  <dcterms:modified xsi:type="dcterms:W3CDTF">2021-05-26T11:36:00Z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