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D4B2D" w14:textId="284458CB" w:rsidR="0096590B" w:rsidRPr="0096590B" w:rsidRDefault="0096590B" w:rsidP="0096590B">
      <w:pPr>
        <w:tabs>
          <w:tab w:val="left" w:pos="6075"/>
        </w:tabs>
        <w:jc w:val="both"/>
        <w:rPr>
          <w:rFonts w:eastAsiaTheme="minorEastAsia" w:cs="Arial"/>
          <w:sz w:val="22"/>
          <w:szCs w:val="22"/>
        </w:rPr>
      </w:pPr>
      <w:r w:rsidRPr="0096590B">
        <w:rPr>
          <w:rFonts w:eastAsiaTheme="minorEastAsia" w:cs="Arial"/>
          <w:sz w:val="22"/>
          <w:szCs w:val="22"/>
        </w:rPr>
        <w:t xml:space="preserve">Bei Änderungen oder Modernisierung im Rahmen von Instandhaltungsmaßnahmen an Schaltgerätekombination von Maschinen bzw. Niederspannungs-Schaltgerätekombination stellen sich für die ausführenden Firmen häufig die folgenden Fragen: </w:t>
      </w:r>
    </w:p>
    <w:p w14:paraId="610F35B7" w14:textId="77777777" w:rsidR="0096590B" w:rsidRPr="0096590B" w:rsidRDefault="0096590B" w:rsidP="0096590B">
      <w:pPr>
        <w:tabs>
          <w:tab w:val="left" w:pos="6075"/>
        </w:tabs>
        <w:jc w:val="both"/>
        <w:rPr>
          <w:rFonts w:eastAsiaTheme="minorEastAsia" w:cs="Arial"/>
          <w:sz w:val="22"/>
          <w:szCs w:val="22"/>
        </w:rPr>
      </w:pPr>
    </w:p>
    <w:p w14:paraId="1CF9FE9A" w14:textId="77777777" w:rsidR="0096590B" w:rsidRPr="0096590B" w:rsidRDefault="0096590B" w:rsidP="0096590B">
      <w:pPr>
        <w:pStyle w:val="Listenabsatz"/>
        <w:numPr>
          <w:ilvl w:val="0"/>
          <w:numId w:val="4"/>
        </w:numPr>
        <w:tabs>
          <w:tab w:val="left" w:pos="6075"/>
        </w:tabs>
        <w:ind w:left="426"/>
        <w:contextualSpacing/>
        <w:jc w:val="both"/>
        <w:rPr>
          <w:rFonts w:cs="Arial"/>
          <w:sz w:val="22"/>
          <w:szCs w:val="22"/>
        </w:rPr>
      </w:pPr>
      <w:r w:rsidRPr="0096590B">
        <w:rPr>
          <w:rFonts w:cs="Arial"/>
          <w:sz w:val="22"/>
          <w:szCs w:val="22"/>
        </w:rPr>
        <w:t>Welche Richtlinien und Regelwerke sind zu beachten und anzuwenden?</w:t>
      </w:r>
    </w:p>
    <w:p w14:paraId="3DA91A29" w14:textId="77777777" w:rsidR="0096590B" w:rsidRPr="0096590B" w:rsidRDefault="0096590B" w:rsidP="0096590B">
      <w:pPr>
        <w:pStyle w:val="Listenabsatz"/>
        <w:numPr>
          <w:ilvl w:val="0"/>
          <w:numId w:val="4"/>
        </w:numPr>
        <w:tabs>
          <w:tab w:val="left" w:pos="6075"/>
        </w:tabs>
        <w:ind w:left="426"/>
        <w:contextualSpacing/>
        <w:jc w:val="both"/>
        <w:rPr>
          <w:rFonts w:cs="Arial"/>
          <w:sz w:val="22"/>
          <w:szCs w:val="22"/>
        </w:rPr>
      </w:pPr>
      <w:r w:rsidRPr="0096590B">
        <w:rPr>
          <w:rFonts w:eastAsiaTheme="minorEastAsia" w:cs="Arial"/>
          <w:sz w:val="22"/>
          <w:szCs w:val="22"/>
        </w:rPr>
        <w:t>Was ist eine wesentliche Veränderung?</w:t>
      </w:r>
    </w:p>
    <w:p w14:paraId="1B5D63EC" w14:textId="77777777" w:rsidR="0096590B" w:rsidRPr="0096590B" w:rsidRDefault="0096590B" w:rsidP="0096590B">
      <w:pPr>
        <w:pStyle w:val="Listenabsatz"/>
        <w:numPr>
          <w:ilvl w:val="0"/>
          <w:numId w:val="4"/>
        </w:numPr>
        <w:tabs>
          <w:tab w:val="left" w:pos="6075"/>
        </w:tabs>
        <w:ind w:left="426"/>
        <w:contextualSpacing/>
        <w:jc w:val="both"/>
        <w:rPr>
          <w:rFonts w:cs="Arial"/>
          <w:sz w:val="22"/>
          <w:szCs w:val="22"/>
        </w:rPr>
      </w:pPr>
      <w:r w:rsidRPr="0096590B">
        <w:rPr>
          <w:rFonts w:eastAsiaTheme="minorEastAsia" w:cs="Arial"/>
          <w:sz w:val="22"/>
          <w:szCs w:val="22"/>
        </w:rPr>
        <w:t>Handelt es sich bei dem Umbau um eine wesentliche Veränderung?</w:t>
      </w:r>
    </w:p>
    <w:p w14:paraId="68CF2415" w14:textId="77777777" w:rsidR="0096590B" w:rsidRPr="0096590B" w:rsidRDefault="0096590B" w:rsidP="0096590B">
      <w:pPr>
        <w:pStyle w:val="Listenabsatz"/>
        <w:numPr>
          <w:ilvl w:val="0"/>
          <w:numId w:val="4"/>
        </w:numPr>
        <w:tabs>
          <w:tab w:val="left" w:pos="6075"/>
        </w:tabs>
        <w:ind w:left="426"/>
        <w:contextualSpacing/>
        <w:jc w:val="both"/>
        <w:rPr>
          <w:rFonts w:cs="Arial"/>
          <w:sz w:val="22"/>
          <w:szCs w:val="22"/>
        </w:rPr>
      </w:pPr>
      <w:r w:rsidRPr="0096590B">
        <w:rPr>
          <w:rFonts w:eastAsiaTheme="minorEastAsia" w:cs="Arial"/>
          <w:sz w:val="22"/>
          <w:szCs w:val="22"/>
        </w:rPr>
        <w:t>Was muss bei einer wesentlichen Veränderung beachtet werden?</w:t>
      </w:r>
    </w:p>
    <w:p w14:paraId="6DA8212D" w14:textId="77777777" w:rsidR="0096590B" w:rsidRPr="0096590B" w:rsidRDefault="0096590B" w:rsidP="0096590B">
      <w:pPr>
        <w:pStyle w:val="Listenabsatz"/>
        <w:numPr>
          <w:ilvl w:val="0"/>
          <w:numId w:val="4"/>
        </w:numPr>
        <w:tabs>
          <w:tab w:val="left" w:pos="6075"/>
        </w:tabs>
        <w:ind w:left="426"/>
        <w:contextualSpacing/>
        <w:jc w:val="both"/>
        <w:rPr>
          <w:rFonts w:cs="Arial"/>
          <w:sz w:val="22"/>
          <w:szCs w:val="22"/>
        </w:rPr>
      </w:pPr>
      <w:r w:rsidRPr="0096590B">
        <w:rPr>
          <w:rFonts w:eastAsiaTheme="minorEastAsia" w:cs="Arial"/>
          <w:sz w:val="22"/>
          <w:szCs w:val="22"/>
        </w:rPr>
        <w:t>Was muss auch bei nicht wesentlicher Veränderung beachtet werden?</w:t>
      </w:r>
    </w:p>
    <w:p w14:paraId="660DBC99" w14:textId="77777777" w:rsidR="0096590B" w:rsidRPr="0096590B" w:rsidRDefault="0096590B" w:rsidP="0096590B">
      <w:pPr>
        <w:tabs>
          <w:tab w:val="left" w:pos="6075"/>
        </w:tabs>
        <w:jc w:val="both"/>
        <w:rPr>
          <w:rFonts w:cs="Arial"/>
          <w:sz w:val="22"/>
          <w:szCs w:val="22"/>
        </w:rPr>
      </w:pPr>
    </w:p>
    <w:p w14:paraId="38092029" w14:textId="1F8CA2BF" w:rsidR="0096590B" w:rsidRPr="0096590B" w:rsidRDefault="0096590B" w:rsidP="0096590B">
      <w:pPr>
        <w:tabs>
          <w:tab w:val="left" w:pos="6075"/>
        </w:tabs>
        <w:jc w:val="both"/>
        <w:rPr>
          <w:rFonts w:cs="Arial"/>
          <w:sz w:val="22"/>
          <w:szCs w:val="22"/>
        </w:rPr>
      </w:pPr>
      <w:r w:rsidRPr="0096590B">
        <w:rPr>
          <w:rFonts w:cs="Arial"/>
          <w:sz w:val="22"/>
          <w:szCs w:val="22"/>
        </w:rPr>
        <w:t>Hier mal eine nicht abschließende Aufzählung der Gesetze, Verordnungen, Richtlinien und Normen, welche je nach konkreten Anwendungsfall zu berücksichtigen sind, um mal die Komplexität der Vorschriftenlage zu verdeutlichen:</w:t>
      </w:r>
    </w:p>
    <w:p w14:paraId="714C3720" w14:textId="77777777" w:rsidR="0096590B" w:rsidRPr="0096590B" w:rsidRDefault="0096590B" w:rsidP="0096590B">
      <w:pPr>
        <w:tabs>
          <w:tab w:val="left" w:pos="6075"/>
        </w:tabs>
        <w:jc w:val="both"/>
        <w:rPr>
          <w:rFonts w:cs="Arial"/>
          <w:sz w:val="22"/>
          <w:szCs w:val="22"/>
        </w:rPr>
      </w:pPr>
    </w:p>
    <w:p w14:paraId="512391EC" w14:textId="77777777" w:rsidR="0096590B" w:rsidRPr="0096590B" w:rsidRDefault="0096590B" w:rsidP="0096590B">
      <w:pPr>
        <w:pStyle w:val="Listenabsatz"/>
        <w:numPr>
          <w:ilvl w:val="0"/>
          <w:numId w:val="4"/>
        </w:numPr>
        <w:tabs>
          <w:tab w:val="left" w:pos="6075"/>
        </w:tabs>
        <w:ind w:left="426"/>
        <w:contextualSpacing/>
        <w:jc w:val="both"/>
        <w:rPr>
          <w:rFonts w:cs="Arial"/>
          <w:sz w:val="22"/>
          <w:szCs w:val="22"/>
        </w:rPr>
      </w:pPr>
      <w:r w:rsidRPr="0096590B">
        <w:rPr>
          <w:rFonts w:cs="Arial"/>
          <w:sz w:val="22"/>
          <w:szCs w:val="22"/>
        </w:rPr>
        <w:t>Produktsicherheitsgesetz (ProdSG)</w:t>
      </w:r>
    </w:p>
    <w:p w14:paraId="5CA1DA15" w14:textId="77777777" w:rsidR="0096590B" w:rsidRPr="0096590B" w:rsidRDefault="0096590B" w:rsidP="0096590B">
      <w:pPr>
        <w:pStyle w:val="Listenabsatz"/>
        <w:numPr>
          <w:ilvl w:val="0"/>
          <w:numId w:val="4"/>
        </w:numPr>
        <w:tabs>
          <w:tab w:val="left" w:pos="6075"/>
        </w:tabs>
        <w:ind w:left="426"/>
        <w:contextualSpacing/>
        <w:jc w:val="both"/>
        <w:rPr>
          <w:rFonts w:cs="Arial"/>
          <w:sz w:val="22"/>
          <w:szCs w:val="22"/>
        </w:rPr>
      </w:pPr>
      <w:r w:rsidRPr="0096590B">
        <w:rPr>
          <w:rFonts w:cs="Arial"/>
          <w:sz w:val="22"/>
          <w:szCs w:val="22"/>
        </w:rPr>
        <w:t>1. Produktsicherheitsverordnung (</w:t>
      </w:r>
      <w:proofErr w:type="spellStart"/>
      <w:r w:rsidRPr="0096590B">
        <w:rPr>
          <w:rFonts w:cs="Arial"/>
          <w:sz w:val="22"/>
          <w:szCs w:val="22"/>
        </w:rPr>
        <w:t>ProdSV</w:t>
      </w:r>
      <w:proofErr w:type="spellEnd"/>
      <w:r w:rsidRPr="0096590B">
        <w:rPr>
          <w:rFonts w:cs="Arial"/>
          <w:sz w:val="22"/>
          <w:szCs w:val="22"/>
        </w:rPr>
        <w:t xml:space="preserve">) „Verordnung über elektrische Betriebsmittel“, dies entspricht der nationalen Umsetzung der </w:t>
      </w:r>
      <w:proofErr w:type="gramStart"/>
      <w:r w:rsidRPr="0096590B">
        <w:rPr>
          <w:rFonts w:cs="Arial"/>
          <w:sz w:val="22"/>
          <w:szCs w:val="22"/>
        </w:rPr>
        <w:t>EU Richtlinie</w:t>
      </w:r>
      <w:proofErr w:type="gramEnd"/>
      <w:r w:rsidRPr="0096590B">
        <w:rPr>
          <w:rFonts w:cs="Arial"/>
          <w:sz w:val="22"/>
          <w:szCs w:val="22"/>
        </w:rPr>
        <w:t xml:space="preserve"> 2014/35 (Niederspannungsrichtlinie)</w:t>
      </w:r>
    </w:p>
    <w:p w14:paraId="48383F2E" w14:textId="77777777" w:rsidR="0096590B" w:rsidRPr="0096590B" w:rsidRDefault="0096590B" w:rsidP="0096590B">
      <w:pPr>
        <w:pStyle w:val="Listenabsatz"/>
        <w:numPr>
          <w:ilvl w:val="0"/>
          <w:numId w:val="4"/>
        </w:numPr>
        <w:tabs>
          <w:tab w:val="left" w:pos="6075"/>
        </w:tabs>
        <w:ind w:left="426"/>
        <w:contextualSpacing/>
        <w:jc w:val="both"/>
        <w:rPr>
          <w:rFonts w:cs="Arial"/>
          <w:sz w:val="22"/>
          <w:szCs w:val="22"/>
        </w:rPr>
      </w:pPr>
      <w:r w:rsidRPr="0096590B">
        <w:rPr>
          <w:rFonts w:cs="Arial"/>
          <w:sz w:val="22"/>
          <w:szCs w:val="22"/>
        </w:rPr>
        <w:t>9. Produktsicherheitsverordnung (</w:t>
      </w:r>
      <w:proofErr w:type="spellStart"/>
      <w:r w:rsidRPr="0096590B">
        <w:rPr>
          <w:rFonts w:cs="Arial"/>
          <w:sz w:val="22"/>
          <w:szCs w:val="22"/>
        </w:rPr>
        <w:t>ProdSV</w:t>
      </w:r>
      <w:proofErr w:type="spellEnd"/>
      <w:r w:rsidRPr="0096590B">
        <w:rPr>
          <w:rFonts w:cs="Arial"/>
          <w:sz w:val="22"/>
          <w:szCs w:val="22"/>
        </w:rPr>
        <w:t xml:space="preserve">) „Maschinenverordnung“, dies entspricht der nationalen Umsetzung der </w:t>
      </w:r>
      <w:proofErr w:type="gramStart"/>
      <w:r w:rsidRPr="0096590B">
        <w:rPr>
          <w:rFonts w:cs="Arial"/>
          <w:sz w:val="22"/>
          <w:szCs w:val="22"/>
        </w:rPr>
        <w:t>EG Richtlinie</w:t>
      </w:r>
      <w:proofErr w:type="gramEnd"/>
      <w:r w:rsidRPr="0096590B">
        <w:rPr>
          <w:rFonts w:cs="Arial"/>
          <w:sz w:val="22"/>
          <w:szCs w:val="22"/>
        </w:rPr>
        <w:t xml:space="preserve"> 2006/42 (Maschinenrichtlinie)</w:t>
      </w:r>
    </w:p>
    <w:p w14:paraId="30DCA29A" w14:textId="77777777" w:rsidR="0096590B" w:rsidRPr="0096590B" w:rsidRDefault="0096590B" w:rsidP="0096590B">
      <w:pPr>
        <w:pStyle w:val="Listenabsatz"/>
        <w:numPr>
          <w:ilvl w:val="0"/>
          <w:numId w:val="4"/>
        </w:numPr>
        <w:tabs>
          <w:tab w:val="left" w:pos="6075"/>
        </w:tabs>
        <w:ind w:left="426"/>
        <w:contextualSpacing/>
        <w:jc w:val="both"/>
        <w:rPr>
          <w:rFonts w:cs="Arial"/>
          <w:sz w:val="22"/>
          <w:szCs w:val="22"/>
        </w:rPr>
      </w:pPr>
      <w:r w:rsidRPr="0096590B">
        <w:rPr>
          <w:rFonts w:cs="Arial"/>
          <w:sz w:val="22"/>
          <w:szCs w:val="22"/>
        </w:rPr>
        <w:t>Betriebssicherheitsverordnung (BetrSichV)</w:t>
      </w:r>
    </w:p>
    <w:p w14:paraId="1B56AE16" w14:textId="77777777" w:rsidR="0096590B" w:rsidRPr="0096590B" w:rsidRDefault="0096590B" w:rsidP="0096590B">
      <w:pPr>
        <w:pStyle w:val="Listenabsatz"/>
        <w:numPr>
          <w:ilvl w:val="0"/>
          <w:numId w:val="4"/>
        </w:numPr>
        <w:tabs>
          <w:tab w:val="left" w:pos="6075"/>
        </w:tabs>
        <w:ind w:left="426"/>
        <w:contextualSpacing/>
        <w:jc w:val="both"/>
        <w:rPr>
          <w:rFonts w:cs="Arial"/>
          <w:sz w:val="22"/>
          <w:szCs w:val="22"/>
        </w:rPr>
      </w:pPr>
      <w:r w:rsidRPr="0096590B">
        <w:rPr>
          <w:rFonts w:cs="Arial"/>
          <w:sz w:val="22"/>
          <w:szCs w:val="22"/>
        </w:rPr>
        <w:t>EN 60204-1 (VDE 0113-1) „Sicherheit von Maschinen – Elektrische Ausrüstung von Maschinen Teil 1: Allgemeine Anforderungen“</w:t>
      </w:r>
    </w:p>
    <w:p w14:paraId="6761480C" w14:textId="77777777" w:rsidR="0096590B" w:rsidRPr="0096590B" w:rsidRDefault="0096590B" w:rsidP="0096590B">
      <w:pPr>
        <w:pStyle w:val="Listenabsatz"/>
        <w:numPr>
          <w:ilvl w:val="0"/>
          <w:numId w:val="4"/>
        </w:numPr>
        <w:tabs>
          <w:tab w:val="left" w:pos="6075"/>
        </w:tabs>
        <w:ind w:left="426"/>
        <w:contextualSpacing/>
        <w:jc w:val="both"/>
        <w:rPr>
          <w:rFonts w:cs="Arial"/>
          <w:sz w:val="22"/>
          <w:szCs w:val="22"/>
        </w:rPr>
      </w:pPr>
      <w:r w:rsidRPr="0096590B">
        <w:rPr>
          <w:rFonts w:cs="Arial"/>
          <w:sz w:val="22"/>
          <w:szCs w:val="22"/>
        </w:rPr>
        <w:t>EN 61439-1 (VDE 0660-600-1) „Niederspannungs-Schaltgerätekombinationen Teil 1: Allgemeine Festlegungen“</w:t>
      </w:r>
    </w:p>
    <w:p w14:paraId="1A15EE32" w14:textId="77777777" w:rsidR="0096590B" w:rsidRPr="0096590B" w:rsidRDefault="0096590B" w:rsidP="0096590B">
      <w:pPr>
        <w:tabs>
          <w:tab w:val="left" w:pos="6075"/>
        </w:tabs>
        <w:jc w:val="both"/>
        <w:rPr>
          <w:rFonts w:cs="Arial"/>
          <w:sz w:val="22"/>
          <w:szCs w:val="22"/>
        </w:rPr>
      </w:pPr>
    </w:p>
    <w:p w14:paraId="3A04E12E" w14:textId="0F0FE7FE" w:rsidR="0096590B" w:rsidRDefault="0096590B" w:rsidP="0096590B">
      <w:pPr>
        <w:tabs>
          <w:tab w:val="left" w:pos="6075"/>
        </w:tabs>
        <w:jc w:val="both"/>
        <w:rPr>
          <w:rFonts w:cs="Arial"/>
          <w:sz w:val="22"/>
          <w:szCs w:val="22"/>
        </w:rPr>
      </w:pPr>
      <w:r w:rsidRPr="0096590B">
        <w:rPr>
          <w:rFonts w:cs="Arial"/>
          <w:sz w:val="22"/>
          <w:szCs w:val="22"/>
        </w:rPr>
        <w:t>Häufig hört man in dem Zusammenhang einer Änderung an einer Schaltgerätekombination auch die Vermutung, dass man anschließend einen neuen CE Konformitätsprozess starten muss und eine neue Konformitätserklärung zu vergeben hat.</w:t>
      </w:r>
      <w:r>
        <w:rPr>
          <w:rFonts w:cs="Arial"/>
          <w:sz w:val="22"/>
          <w:szCs w:val="22"/>
        </w:rPr>
        <w:t xml:space="preserve"> </w:t>
      </w:r>
      <w:r w:rsidRPr="0096590B">
        <w:rPr>
          <w:rFonts w:cs="Arial"/>
          <w:sz w:val="22"/>
          <w:szCs w:val="22"/>
        </w:rPr>
        <w:t>Hierzu gleich die erste Klarstellung, ein erneuter CE Konformitätsprozess kann nur durch die folgenden Faktoren gestartet werden, sind diese nicht gegeben bleibt der Status der Schaltgerätekombination bestehen</w:t>
      </w:r>
      <w:r>
        <w:rPr>
          <w:rFonts w:cs="Arial"/>
          <w:sz w:val="22"/>
          <w:szCs w:val="22"/>
        </w:rPr>
        <w:t>:</w:t>
      </w:r>
    </w:p>
    <w:p w14:paraId="7043A65B" w14:textId="77777777" w:rsidR="0096590B" w:rsidRPr="0096590B" w:rsidRDefault="0096590B" w:rsidP="0096590B">
      <w:pPr>
        <w:tabs>
          <w:tab w:val="left" w:pos="6075"/>
        </w:tabs>
        <w:jc w:val="both"/>
        <w:rPr>
          <w:rFonts w:cs="Arial"/>
          <w:sz w:val="22"/>
          <w:szCs w:val="22"/>
        </w:rPr>
      </w:pPr>
    </w:p>
    <w:p w14:paraId="683F65E5" w14:textId="77777777" w:rsidR="0096590B" w:rsidRPr="0096590B" w:rsidRDefault="0096590B" w:rsidP="0096590B">
      <w:pPr>
        <w:pStyle w:val="Listenabsatz"/>
        <w:numPr>
          <w:ilvl w:val="0"/>
          <w:numId w:val="6"/>
        </w:numPr>
        <w:tabs>
          <w:tab w:val="left" w:pos="6075"/>
        </w:tabs>
        <w:ind w:left="426"/>
        <w:contextualSpacing/>
        <w:jc w:val="both"/>
        <w:rPr>
          <w:rFonts w:cs="Arial"/>
          <w:sz w:val="22"/>
          <w:szCs w:val="22"/>
        </w:rPr>
      </w:pPr>
      <w:r w:rsidRPr="0096590B">
        <w:rPr>
          <w:rFonts w:cs="Arial"/>
          <w:sz w:val="22"/>
          <w:szCs w:val="22"/>
        </w:rPr>
        <w:t>Herstellung eines neuen Produktes zum Inverkehrbringen/auf dem Markt bereitstellen im Europäischen Binnenmarkt (kann in der Betrachtung „Umbau“ ausgeschlossen werden)</w:t>
      </w:r>
    </w:p>
    <w:p w14:paraId="6334E745" w14:textId="77777777" w:rsidR="0096590B" w:rsidRPr="0096590B" w:rsidRDefault="0096590B" w:rsidP="0096590B">
      <w:pPr>
        <w:pStyle w:val="Listenabsatz"/>
        <w:numPr>
          <w:ilvl w:val="0"/>
          <w:numId w:val="6"/>
        </w:numPr>
        <w:tabs>
          <w:tab w:val="left" w:pos="6075"/>
        </w:tabs>
        <w:ind w:left="426"/>
        <w:contextualSpacing/>
        <w:jc w:val="both"/>
        <w:rPr>
          <w:rFonts w:cs="Arial"/>
          <w:sz w:val="22"/>
          <w:szCs w:val="22"/>
        </w:rPr>
      </w:pPr>
      <w:r w:rsidRPr="0096590B">
        <w:rPr>
          <w:rFonts w:cs="Arial"/>
          <w:sz w:val="22"/>
          <w:szCs w:val="22"/>
        </w:rPr>
        <w:t>Erstmaliges Inverkehrbringen/auf dem Markt bereitstellen eines nicht CE gekennzeichneten Produktes im Europäischen Binnenmarkt (wird in der Betrachtung „Umbau“ ausgeschlossen)</w:t>
      </w:r>
    </w:p>
    <w:p w14:paraId="7F991D2D" w14:textId="77777777" w:rsidR="0096590B" w:rsidRPr="0096590B" w:rsidRDefault="0096590B" w:rsidP="0096590B">
      <w:pPr>
        <w:pStyle w:val="Listenabsatz"/>
        <w:numPr>
          <w:ilvl w:val="0"/>
          <w:numId w:val="6"/>
        </w:numPr>
        <w:tabs>
          <w:tab w:val="left" w:pos="6075"/>
        </w:tabs>
        <w:ind w:left="426"/>
        <w:contextualSpacing/>
        <w:jc w:val="both"/>
        <w:rPr>
          <w:rFonts w:cs="Arial"/>
          <w:sz w:val="22"/>
          <w:szCs w:val="22"/>
        </w:rPr>
      </w:pPr>
      <w:r w:rsidRPr="0096590B">
        <w:rPr>
          <w:rFonts w:cs="Arial"/>
          <w:sz w:val="22"/>
          <w:szCs w:val="22"/>
        </w:rPr>
        <w:t>Herbeiführen einer wesentlichen Veränderung, welche aus dem Ursprungsprodukt ein neues Produkt macht und die Person, welche die Änderung vornimmt zum Hersteller macht.</w:t>
      </w:r>
    </w:p>
    <w:p w14:paraId="3B6AC63F" w14:textId="77777777" w:rsidR="0096590B" w:rsidRPr="0096590B" w:rsidRDefault="0096590B" w:rsidP="0096590B">
      <w:pPr>
        <w:tabs>
          <w:tab w:val="left" w:pos="6075"/>
        </w:tabs>
        <w:jc w:val="both"/>
        <w:rPr>
          <w:rFonts w:cs="Arial"/>
          <w:sz w:val="22"/>
          <w:szCs w:val="22"/>
        </w:rPr>
      </w:pPr>
    </w:p>
    <w:p w14:paraId="0A443A74" w14:textId="77777777" w:rsidR="0096590B" w:rsidRPr="0096590B" w:rsidRDefault="0096590B" w:rsidP="0096590B">
      <w:pPr>
        <w:jc w:val="both"/>
        <w:rPr>
          <w:rFonts w:eastAsiaTheme="minorEastAsia" w:cs="Arial"/>
          <w:sz w:val="22"/>
          <w:szCs w:val="22"/>
        </w:rPr>
      </w:pPr>
      <w:r w:rsidRPr="0096590B">
        <w:rPr>
          <w:rFonts w:eastAsiaTheme="minorEastAsia" w:cs="Arial"/>
          <w:sz w:val="22"/>
          <w:szCs w:val="22"/>
        </w:rPr>
        <w:t xml:space="preserve">Im </w:t>
      </w:r>
      <w:r w:rsidRPr="0096590B">
        <w:rPr>
          <w:rFonts w:eastAsiaTheme="minorEastAsia" w:cs="Arial"/>
          <w:i/>
          <w:iCs/>
          <w:sz w:val="22"/>
          <w:szCs w:val="22"/>
        </w:rPr>
        <w:t>Leitfaden für die Umsetzung der Produktvorschriften der EU 2016 („Blue Guide“)</w:t>
      </w:r>
      <w:r w:rsidRPr="0096590B">
        <w:rPr>
          <w:rFonts w:eastAsiaTheme="minorEastAsia" w:cs="Arial"/>
          <w:sz w:val="22"/>
          <w:szCs w:val="22"/>
        </w:rPr>
        <w:t xml:space="preserve"> vom 26. Juli 2016 der Europäische Kommission ist die wesentliche/erhebliche Veränderung wie folgt beschrieben:</w:t>
      </w:r>
    </w:p>
    <w:p w14:paraId="76832644" w14:textId="77777777" w:rsidR="0096590B" w:rsidRPr="0096590B" w:rsidRDefault="0096590B" w:rsidP="0096590B">
      <w:pPr>
        <w:tabs>
          <w:tab w:val="left" w:pos="6075"/>
        </w:tabs>
        <w:jc w:val="both"/>
        <w:rPr>
          <w:rFonts w:eastAsiaTheme="minorEastAsia" w:cs="Arial"/>
          <w:sz w:val="22"/>
          <w:szCs w:val="22"/>
        </w:rPr>
      </w:pPr>
    </w:p>
    <w:p w14:paraId="205FEC67" w14:textId="77777777" w:rsidR="0096590B" w:rsidRPr="0096590B" w:rsidRDefault="0096590B" w:rsidP="0096590B">
      <w:pPr>
        <w:tabs>
          <w:tab w:val="left" w:pos="6075"/>
        </w:tabs>
        <w:jc w:val="both"/>
        <w:rPr>
          <w:rFonts w:eastAsiaTheme="minorEastAsia" w:cs="Arial"/>
          <w:sz w:val="22"/>
          <w:szCs w:val="22"/>
        </w:rPr>
      </w:pPr>
      <w:r w:rsidRPr="0096590B">
        <w:rPr>
          <w:rStyle w:val="highlight"/>
          <w:rFonts w:eastAsiaTheme="minorEastAsia" w:cs="Arial"/>
          <w:sz w:val="22"/>
          <w:szCs w:val="22"/>
        </w:rPr>
        <w:t>„</w:t>
      </w:r>
      <w:r w:rsidRPr="0096590B">
        <w:rPr>
          <w:rStyle w:val="highlight"/>
          <w:rFonts w:eastAsiaTheme="minorEastAsia" w:cs="Arial"/>
          <w:i/>
          <w:iCs/>
          <w:sz w:val="22"/>
          <w:szCs w:val="22"/>
        </w:rPr>
        <w:t>Ein Produkt, an dem</w:t>
      </w:r>
      <w:r w:rsidRPr="0096590B">
        <w:rPr>
          <w:rFonts w:eastAsiaTheme="minorEastAsia" w:cs="Arial"/>
          <w:i/>
          <w:iCs/>
          <w:sz w:val="22"/>
          <w:szCs w:val="22"/>
        </w:rPr>
        <w:t xml:space="preserve"> erhebliche Veränderungen oder Überarbeitungen vorgenommen wurden, um die ursprüngliche Leistung, Verwendung oder Bauart zu verändern, kann als neues Produkt angesehen werden. Die Person, die die Veränderungen vornimmt, wird dann </w:t>
      </w:r>
      <w:r w:rsidRPr="0096590B">
        <w:rPr>
          <w:rFonts w:eastAsiaTheme="minorEastAsia" w:cs="Arial"/>
          <w:b/>
          <w:bCs/>
          <w:i/>
          <w:iCs/>
          <w:sz w:val="22"/>
          <w:szCs w:val="22"/>
        </w:rPr>
        <w:t>zum Hersteller</w:t>
      </w:r>
      <w:r w:rsidRPr="0096590B">
        <w:rPr>
          <w:rFonts w:eastAsiaTheme="minorEastAsia" w:cs="Arial"/>
          <w:i/>
          <w:iCs/>
          <w:sz w:val="22"/>
          <w:szCs w:val="22"/>
        </w:rPr>
        <w:t xml:space="preserve"> mit den entsprechenden Verpflichtungen.</w:t>
      </w:r>
      <w:r w:rsidRPr="0096590B">
        <w:rPr>
          <w:rFonts w:eastAsiaTheme="minorEastAsia" w:cs="Arial"/>
          <w:sz w:val="22"/>
          <w:szCs w:val="22"/>
        </w:rPr>
        <w:t>“</w:t>
      </w:r>
    </w:p>
    <w:p w14:paraId="1AFCDBE6" w14:textId="77777777" w:rsidR="0096590B" w:rsidRPr="0096590B" w:rsidRDefault="0096590B" w:rsidP="0096590B">
      <w:pPr>
        <w:tabs>
          <w:tab w:val="left" w:pos="6075"/>
        </w:tabs>
        <w:jc w:val="both"/>
        <w:rPr>
          <w:rFonts w:eastAsiaTheme="minorEastAsia" w:cs="Arial"/>
          <w:sz w:val="22"/>
          <w:szCs w:val="22"/>
        </w:rPr>
      </w:pPr>
    </w:p>
    <w:p w14:paraId="718CCE09" w14:textId="6E51F2E8" w:rsidR="0096590B" w:rsidRDefault="0096590B" w:rsidP="0096590B">
      <w:pPr>
        <w:tabs>
          <w:tab w:val="left" w:pos="6075"/>
        </w:tabs>
        <w:jc w:val="both"/>
        <w:rPr>
          <w:rFonts w:eastAsiaTheme="minorEastAsia" w:cs="Arial"/>
          <w:i/>
          <w:iCs/>
          <w:sz w:val="22"/>
          <w:szCs w:val="22"/>
        </w:rPr>
      </w:pPr>
      <w:r w:rsidRPr="0096590B">
        <w:rPr>
          <w:rFonts w:eastAsiaTheme="minorEastAsia" w:cs="Arial"/>
          <w:sz w:val="22"/>
          <w:szCs w:val="22"/>
        </w:rPr>
        <w:lastRenderedPageBreak/>
        <w:t>„</w:t>
      </w:r>
      <w:r w:rsidRPr="0096590B">
        <w:rPr>
          <w:rFonts w:eastAsiaTheme="minorEastAsia" w:cs="Arial"/>
          <w:i/>
          <w:iCs/>
          <w:sz w:val="22"/>
          <w:szCs w:val="22"/>
        </w:rPr>
        <w:t>Ein Produkt, an dem nach seiner Inbetriebnahme erhebliche Veränderungen oder Überarbeitungen mit dem Ziel der Modifizierung seiner ursprünglichen Leistung, Verwendung oder Bauart vorgenommen worden sind, die sich wesentlich auf die Einhaltung der Harmonisierungsrechtsvorschriften der Union auswirken, ist als neues Produkt anzusehen.</w:t>
      </w:r>
      <w:r w:rsidRPr="0096590B">
        <w:rPr>
          <w:rFonts w:eastAsiaTheme="minorEastAsia" w:cs="Arial"/>
          <w:sz w:val="22"/>
          <w:szCs w:val="22"/>
        </w:rPr>
        <w:t xml:space="preserve"> </w:t>
      </w:r>
      <w:r w:rsidRPr="0096590B">
        <w:rPr>
          <w:rFonts w:eastAsiaTheme="minorEastAsia" w:cs="Arial"/>
          <w:i/>
          <w:iCs/>
          <w:sz w:val="22"/>
          <w:szCs w:val="22"/>
        </w:rPr>
        <w:t>Dies ist von Fall zu Fall und insbesondere vor dem Hintergrund des Ziels der Rechtsvorschriften und der Art der Produkte im Anwendungsbereich der betreffenden Rechtsvorschrift zu entscheiden.“</w:t>
      </w:r>
    </w:p>
    <w:p w14:paraId="58E0A63E" w14:textId="77777777" w:rsidR="0096590B" w:rsidRPr="0096590B" w:rsidRDefault="0096590B" w:rsidP="0096590B">
      <w:pPr>
        <w:tabs>
          <w:tab w:val="left" w:pos="6075"/>
        </w:tabs>
        <w:jc w:val="both"/>
        <w:rPr>
          <w:rFonts w:eastAsiaTheme="minorEastAsia" w:cs="Arial"/>
          <w:i/>
          <w:iCs/>
          <w:sz w:val="22"/>
          <w:szCs w:val="22"/>
        </w:rPr>
      </w:pPr>
    </w:p>
    <w:p w14:paraId="41C9140C" w14:textId="77777777" w:rsidR="0096590B" w:rsidRPr="0096590B" w:rsidRDefault="0096590B" w:rsidP="0096590B">
      <w:pPr>
        <w:jc w:val="both"/>
        <w:rPr>
          <w:rFonts w:eastAsiaTheme="minorEastAsia" w:cs="Arial"/>
          <w:sz w:val="16"/>
          <w:szCs w:val="16"/>
        </w:rPr>
      </w:pPr>
      <w:r w:rsidRPr="0096590B">
        <w:rPr>
          <w:rFonts w:eastAsiaTheme="minorEastAsia" w:cs="Arial"/>
          <w:sz w:val="16"/>
          <w:szCs w:val="16"/>
        </w:rPr>
        <w:t>Quelle: EUROPÄISCHE KOMMISSION - Leitfaden für die Umsetzung der Produktvorschriften der EU 2016 („Blue Guide“) Abs. 2.1</w:t>
      </w:r>
    </w:p>
    <w:p w14:paraId="5A12F609" w14:textId="77777777" w:rsidR="0096590B" w:rsidRPr="0096590B" w:rsidRDefault="0096590B" w:rsidP="0096590B">
      <w:pPr>
        <w:tabs>
          <w:tab w:val="left" w:pos="6075"/>
        </w:tabs>
        <w:jc w:val="both"/>
        <w:rPr>
          <w:rFonts w:cs="Arial"/>
          <w:sz w:val="22"/>
          <w:szCs w:val="22"/>
        </w:rPr>
      </w:pPr>
    </w:p>
    <w:p w14:paraId="2475A3C5" w14:textId="73D512DB" w:rsidR="0096590B" w:rsidRDefault="0096590B" w:rsidP="0096590B">
      <w:pPr>
        <w:tabs>
          <w:tab w:val="left" w:pos="6075"/>
        </w:tabs>
        <w:jc w:val="both"/>
        <w:rPr>
          <w:rFonts w:cs="Arial"/>
          <w:sz w:val="22"/>
          <w:szCs w:val="22"/>
        </w:rPr>
      </w:pPr>
      <w:r w:rsidRPr="0096590B">
        <w:rPr>
          <w:rFonts w:cs="Arial"/>
          <w:sz w:val="22"/>
          <w:szCs w:val="22"/>
        </w:rPr>
        <w:t>Dies bedeutet für den Umbau, das als erste Maßnahme festgestellt und dokumentiert werden sollte, ob die Veränderung des Produktes als wesentlich eingestuft werden muss. Erfahrungsgemäß ist dies eher selten der Fall.</w:t>
      </w:r>
    </w:p>
    <w:p w14:paraId="37547822" w14:textId="3A41391E" w:rsidR="0096590B" w:rsidRPr="0096590B" w:rsidRDefault="0096590B" w:rsidP="0096590B">
      <w:pPr>
        <w:tabs>
          <w:tab w:val="left" w:pos="6075"/>
        </w:tabs>
        <w:jc w:val="both"/>
        <w:rPr>
          <w:rFonts w:cs="Arial"/>
          <w:sz w:val="22"/>
          <w:szCs w:val="22"/>
        </w:rPr>
      </w:pPr>
    </w:p>
    <w:p w14:paraId="0524F3A4" w14:textId="3BB282A4" w:rsidR="0096590B" w:rsidRPr="0096590B" w:rsidRDefault="0096590B" w:rsidP="0096590B">
      <w:pPr>
        <w:tabs>
          <w:tab w:val="left" w:pos="6075"/>
        </w:tabs>
        <w:jc w:val="both"/>
        <w:rPr>
          <w:rFonts w:cs="Arial"/>
          <w:sz w:val="22"/>
          <w:szCs w:val="22"/>
        </w:rPr>
      </w:pPr>
      <w:r w:rsidRPr="0096590B">
        <w:rPr>
          <w:rFonts w:cs="Arial"/>
          <w:noProof/>
          <w:sz w:val="22"/>
          <w:szCs w:val="22"/>
        </w:rPr>
        <w:drawing>
          <wp:anchor distT="0" distB="0" distL="114300" distR="114300" simplePos="0" relativeHeight="251658240" behindDoc="0" locked="0" layoutInCell="1" allowOverlap="1" wp14:anchorId="178D9C71" wp14:editId="51D3D23D">
            <wp:simplePos x="0" y="0"/>
            <wp:positionH relativeFrom="margin">
              <wp:posOffset>2907665</wp:posOffset>
            </wp:positionH>
            <wp:positionV relativeFrom="margin">
              <wp:posOffset>2196746</wp:posOffset>
            </wp:positionV>
            <wp:extent cx="3237876" cy="3392110"/>
            <wp:effectExtent l="0" t="0" r="63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819237" name="Grafik 14"/>
                    <pic:cNvPicPr>
                      <a:picLocks noChangeAspect="1" noChangeArrowheads="1"/>
                    </pic:cNvPicPr>
                  </pic:nvPicPr>
                  <pic:blipFill rotWithShape="1">
                    <a:blip r:embed="rId11">
                      <a:extLst>
                        <a:ext uri="{28A0092B-C50C-407E-A947-70E740481C1C}">
                          <a14:useLocalDpi xmlns:a14="http://schemas.microsoft.com/office/drawing/2010/main" val="0"/>
                        </a:ext>
                      </a:extLst>
                    </a:blip>
                    <a:srcRect t="4009"/>
                    <a:stretch/>
                  </pic:blipFill>
                  <pic:spPr bwMode="auto">
                    <a:xfrm>
                      <a:off x="0" y="0"/>
                      <a:ext cx="3237876" cy="3392110"/>
                    </a:xfrm>
                    <a:prstGeom prst="rect">
                      <a:avLst/>
                    </a:prstGeom>
                    <a:noFill/>
                    <a:ln>
                      <a:noFill/>
                    </a:ln>
                    <a:extLst>
                      <a:ext uri="{53640926-AAD7-44D8-BBD7-CCE9431645EC}">
                        <a14:shadowObscured xmlns:a14="http://schemas.microsoft.com/office/drawing/2010/main"/>
                      </a:ext>
                    </a:extLst>
                  </pic:spPr>
                </pic:pic>
              </a:graphicData>
            </a:graphic>
          </wp:anchor>
        </w:drawing>
      </w:r>
      <w:r w:rsidRPr="0096590B">
        <w:rPr>
          <w:rFonts w:cs="Arial"/>
          <w:sz w:val="22"/>
          <w:szCs w:val="22"/>
        </w:rPr>
        <w:t>Zum Thema "Wesentliche Veränderung von Maschinen" wurde am 09. April 2015 ein Interpretationspapier</w:t>
      </w:r>
      <w:r>
        <w:rPr>
          <w:rFonts w:cs="Arial"/>
          <w:sz w:val="22"/>
          <w:szCs w:val="22"/>
        </w:rPr>
        <w:t>,</w:t>
      </w:r>
      <w:r w:rsidRPr="0096590B">
        <w:rPr>
          <w:rFonts w:cs="Arial"/>
          <w:sz w:val="22"/>
          <w:szCs w:val="22"/>
        </w:rPr>
        <w:t xml:space="preserve"> </w:t>
      </w:r>
      <w:r>
        <w:rPr>
          <w:rFonts w:cs="Arial"/>
          <w:sz w:val="22"/>
          <w:szCs w:val="22"/>
        </w:rPr>
        <w:t xml:space="preserve">mit folgendem Schema, </w:t>
      </w:r>
      <w:r w:rsidRPr="0096590B">
        <w:rPr>
          <w:rFonts w:cs="Arial"/>
          <w:sz w:val="22"/>
          <w:szCs w:val="22"/>
        </w:rPr>
        <w:t xml:space="preserve">amtlich durch das Bundesministerium für Arbeit und Soziales (BMAS) bekannt gemacht, mit </w:t>
      </w:r>
      <w:r>
        <w:rPr>
          <w:rFonts w:cs="Arial"/>
          <w:sz w:val="22"/>
          <w:szCs w:val="22"/>
        </w:rPr>
        <w:t>dem</w:t>
      </w:r>
      <w:r w:rsidRPr="0096590B">
        <w:rPr>
          <w:rFonts w:cs="Arial"/>
          <w:sz w:val="22"/>
          <w:szCs w:val="22"/>
        </w:rPr>
        <w:t xml:space="preserve"> man die Betrachtung zur wesentlichen Veränderung dokumentieren kann. </w:t>
      </w:r>
    </w:p>
    <w:p w14:paraId="2B9ECA6D" w14:textId="77777777" w:rsidR="0096590B" w:rsidRPr="0096590B" w:rsidRDefault="0096590B" w:rsidP="0096590B">
      <w:pPr>
        <w:tabs>
          <w:tab w:val="left" w:pos="6075"/>
        </w:tabs>
        <w:jc w:val="both"/>
        <w:rPr>
          <w:rFonts w:cs="Arial"/>
          <w:sz w:val="22"/>
          <w:szCs w:val="22"/>
        </w:rPr>
      </w:pPr>
    </w:p>
    <w:p w14:paraId="05C89496" w14:textId="3029ADF3" w:rsidR="0096590B" w:rsidRPr="0096590B" w:rsidRDefault="0096590B" w:rsidP="0096590B">
      <w:pPr>
        <w:tabs>
          <w:tab w:val="left" w:pos="6075"/>
        </w:tabs>
        <w:jc w:val="both"/>
        <w:rPr>
          <w:rFonts w:cs="Arial"/>
          <w:sz w:val="22"/>
          <w:szCs w:val="22"/>
        </w:rPr>
      </w:pPr>
      <w:r w:rsidRPr="0096590B">
        <w:rPr>
          <w:rFonts w:cs="Arial"/>
          <w:sz w:val="22"/>
          <w:szCs w:val="22"/>
        </w:rPr>
        <w:t>Wird der Umbau als wesentliche Änderung eingestuft, so ist die komplette Anlage auf den aktuellen Stand der Technik zu bringen und es ist ein neues Konformitätsbewertungsverfahren durchzuführen, da die Anlage als komplett neues Produkt betrachtet wird.</w:t>
      </w:r>
    </w:p>
    <w:p w14:paraId="7AF901ED" w14:textId="77777777" w:rsidR="0096590B" w:rsidRPr="0096590B" w:rsidRDefault="0096590B" w:rsidP="0096590B">
      <w:pPr>
        <w:tabs>
          <w:tab w:val="left" w:pos="6075"/>
        </w:tabs>
        <w:jc w:val="both"/>
        <w:rPr>
          <w:rFonts w:cs="Arial"/>
          <w:sz w:val="22"/>
          <w:szCs w:val="22"/>
        </w:rPr>
      </w:pPr>
    </w:p>
    <w:p w14:paraId="3DCBCD38" w14:textId="77777777" w:rsidR="0096590B" w:rsidRPr="0096590B" w:rsidRDefault="0096590B" w:rsidP="0096590B">
      <w:pPr>
        <w:tabs>
          <w:tab w:val="left" w:pos="6075"/>
        </w:tabs>
        <w:jc w:val="both"/>
        <w:rPr>
          <w:rFonts w:cs="Arial"/>
          <w:sz w:val="22"/>
          <w:szCs w:val="22"/>
        </w:rPr>
      </w:pPr>
      <w:r w:rsidRPr="0096590B">
        <w:rPr>
          <w:rFonts w:cs="Arial"/>
          <w:sz w:val="22"/>
          <w:szCs w:val="22"/>
        </w:rPr>
        <w:t>Betrachten wir nun die Schritte für eine Schaltgerätekombination an der Umbauten oder Erweiterungen vorgenommen werden müssen. Diese muss zum Zeitpunkt der ursprünglichen Errichtung den geltenden Errichtungsnormen entsprochen haben und weiterhin durch die wiederkehrenden Prüfungen als sicher nach dem Stand der Technik eingestuft werden können.</w:t>
      </w:r>
    </w:p>
    <w:p w14:paraId="4E8CBB61" w14:textId="77777777" w:rsidR="0096590B" w:rsidRPr="0096590B" w:rsidRDefault="0096590B" w:rsidP="0096590B">
      <w:pPr>
        <w:tabs>
          <w:tab w:val="left" w:pos="6075"/>
        </w:tabs>
        <w:jc w:val="both"/>
        <w:rPr>
          <w:rFonts w:cs="Arial"/>
          <w:sz w:val="22"/>
          <w:szCs w:val="22"/>
        </w:rPr>
      </w:pPr>
    </w:p>
    <w:p w14:paraId="07FD5082" w14:textId="77777777" w:rsidR="0096590B" w:rsidRPr="0096590B" w:rsidRDefault="0096590B" w:rsidP="0096590B">
      <w:pPr>
        <w:tabs>
          <w:tab w:val="left" w:pos="6075"/>
        </w:tabs>
        <w:jc w:val="both"/>
        <w:rPr>
          <w:rFonts w:cs="Arial"/>
          <w:sz w:val="22"/>
          <w:szCs w:val="22"/>
        </w:rPr>
      </w:pPr>
      <w:r w:rsidRPr="0096590B">
        <w:rPr>
          <w:rFonts w:cs="Arial"/>
          <w:sz w:val="22"/>
          <w:szCs w:val="22"/>
        </w:rPr>
        <w:t xml:space="preserve">Hierfür werden dann nicht die </w:t>
      </w:r>
      <w:proofErr w:type="spellStart"/>
      <w:r w:rsidRPr="0096590B">
        <w:rPr>
          <w:rFonts w:cs="Arial"/>
          <w:sz w:val="22"/>
          <w:szCs w:val="22"/>
        </w:rPr>
        <w:t>Maschinenrichtline</w:t>
      </w:r>
      <w:proofErr w:type="spellEnd"/>
      <w:r w:rsidRPr="0096590B">
        <w:rPr>
          <w:rFonts w:cs="Arial"/>
          <w:sz w:val="22"/>
          <w:szCs w:val="22"/>
        </w:rPr>
        <w:t xml:space="preserve"> 2006/42/EG oder die Niederspannungsrichtlinie 2014/35/EU (</w:t>
      </w:r>
      <w:proofErr w:type="spellStart"/>
      <w:r w:rsidRPr="0096590B">
        <w:rPr>
          <w:rFonts w:cs="Arial"/>
          <w:sz w:val="22"/>
          <w:szCs w:val="22"/>
        </w:rPr>
        <w:t>Errichterrichtlinien</w:t>
      </w:r>
      <w:proofErr w:type="spellEnd"/>
      <w:r w:rsidRPr="0096590B">
        <w:rPr>
          <w:rFonts w:cs="Arial"/>
          <w:sz w:val="22"/>
          <w:szCs w:val="22"/>
        </w:rPr>
        <w:t>), sondern die Betriebssicherheitsverordnung (Betreiberverordnung) angewendet. Hieraus ergeben sich andere Voraussetzungen für die normativ korrekte Ausführung der Tätigkeiten inkl. der Dokumentation. Diese müssen auch zu einer weiterhin sicheren Verwendung der Anlage führen.</w:t>
      </w:r>
    </w:p>
    <w:p w14:paraId="1C063DA8" w14:textId="77777777" w:rsidR="0096590B" w:rsidRPr="0096590B" w:rsidRDefault="0096590B" w:rsidP="0096590B">
      <w:pPr>
        <w:tabs>
          <w:tab w:val="left" w:pos="6075"/>
        </w:tabs>
        <w:jc w:val="both"/>
        <w:rPr>
          <w:rFonts w:cs="Arial"/>
          <w:sz w:val="22"/>
          <w:szCs w:val="22"/>
        </w:rPr>
      </w:pPr>
    </w:p>
    <w:p w14:paraId="367812E0" w14:textId="77777777" w:rsidR="0096590B" w:rsidRPr="0096590B" w:rsidRDefault="0096590B" w:rsidP="0096590B">
      <w:pPr>
        <w:tabs>
          <w:tab w:val="left" w:pos="6075"/>
        </w:tabs>
        <w:jc w:val="both"/>
        <w:rPr>
          <w:rFonts w:cs="Arial"/>
          <w:sz w:val="22"/>
          <w:szCs w:val="22"/>
        </w:rPr>
      </w:pPr>
      <w:r w:rsidRPr="0096590B">
        <w:rPr>
          <w:rFonts w:eastAsiaTheme="minorEastAsia" w:cs="Arial"/>
          <w:sz w:val="22"/>
          <w:szCs w:val="22"/>
        </w:rPr>
        <w:t>Der Arbeitgeber ist verpflichtet im Zuge der BetrSichV § 10 Instandhaltungsmaßnahmen durchzuführen, damit die Arbeitsmittel während der gesamten Verwendungsdauer den geltenden Sicherheits- und Gesundheitsanforderungen entsprechen. Gleichzeitig hat der Arbeitgeber für eine stetige Verbesserung des Arbeitsschutzes im Unternehmen zu sorgen.</w:t>
      </w:r>
    </w:p>
    <w:p w14:paraId="3378B247" w14:textId="77777777" w:rsidR="0096590B" w:rsidRPr="0096590B" w:rsidRDefault="0096590B" w:rsidP="0096590B">
      <w:pPr>
        <w:tabs>
          <w:tab w:val="left" w:pos="6075"/>
        </w:tabs>
        <w:jc w:val="both"/>
        <w:rPr>
          <w:rFonts w:cs="Arial"/>
          <w:sz w:val="22"/>
          <w:szCs w:val="22"/>
        </w:rPr>
      </w:pPr>
      <w:r w:rsidRPr="0096590B">
        <w:rPr>
          <w:rFonts w:eastAsiaTheme="minorEastAsia" w:cs="Arial"/>
          <w:sz w:val="22"/>
          <w:szCs w:val="22"/>
        </w:rPr>
        <w:lastRenderedPageBreak/>
        <w:t>Bei Änderungen oder Modernisierung (Verbesserung) von Maschinen bzw. Schaltgerätekombinationen sind zwingend der aktuelle Stand der Technik für die durchgeführten Änderungen/Erweiterungen, zumindest die zum Änderungszeitpunkt geltenden anerkannten Regeln der Technik anzuwenden. Im Falle einer Schaltgerätekombination ist dies die EN 61439-1 (VDE 0660-600-1) mit dem entsprechenden produktspezifischen Teilen 2 - 7 bzw. bei Maschinen ist dies die EN 60204-1 (VDE 0113-1), welche ebenfalls in bestimmten Teilen der elektrischen Ausrüstung auf die EN 61439 verweist.</w:t>
      </w:r>
    </w:p>
    <w:p w14:paraId="385C247C" w14:textId="77777777" w:rsidR="0096590B" w:rsidRPr="0096590B" w:rsidRDefault="0096590B" w:rsidP="0096590B">
      <w:pPr>
        <w:tabs>
          <w:tab w:val="left" w:pos="6075"/>
        </w:tabs>
        <w:jc w:val="both"/>
        <w:rPr>
          <w:rFonts w:cs="Arial"/>
          <w:sz w:val="22"/>
          <w:szCs w:val="22"/>
        </w:rPr>
      </w:pPr>
    </w:p>
    <w:p w14:paraId="41F088F5" w14:textId="77777777" w:rsidR="0096590B" w:rsidRPr="0096590B" w:rsidRDefault="0096590B" w:rsidP="0096590B">
      <w:pPr>
        <w:tabs>
          <w:tab w:val="left" w:pos="6075"/>
        </w:tabs>
        <w:jc w:val="both"/>
        <w:rPr>
          <w:rFonts w:cs="Arial"/>
          <w:sz w:val="22"/>
          <w:szCs w:val="22"/>
        </w:rPr>
      </w:pPr>
      <w:r w:rsidRPr="0096590B">
        <w:rPr>
          <w:rFonts w:cs="Arial"/>
          <w:sz w:val="22"/>
          <w:szCs w:val="22"/>
        </w:rPr>
        <w:t>Hier eine stichpunktartige, nicht abschließende, Auflistung der Maßnahmen und Voraussetzungen die beachtet werden müssen:</w:t>
      </w:r>
    </w:p>
    <w:p w14:paraId="43C2E5A9" w14:textId="77777777" w:rsidR="0096590B" w:rsidRPr="0096590B" w:rsidRDefault="0096590B" w:rsidP="0096590B">
      <w:pPr>
        <w:tabs>
          <w:tab w:val="left" w:pos="6075"/>
        </w:tabs>
        <w:jc w:val="both"/>
        <w:rPr>
          <w:rFonts w:cs="Arial"/>
          <w:sz w:val="22"/>
          <w:szCs w:val="22"/>
        </w:rPr>
      </w:pPr>
    </w:p>
    <w:p w14:paraId="26F16940" w14:textId="48818DA4" w:rsidR="0096590B" w:rsidRPr="0096590B" w:rsidRDefault="0096590B" w:rsidP="0096590B">
      <w:pPr>
        <w:pStyle w:val="Listenabsatz"/>
        <w:numPr>
          <w:ilvl w:val="0"/>
          <w:numId w:val="8"/>
        </w:numPr>
        <w:tabs>
          <w:tab w:val="left" w:pos="6075"/>
        </w:tabs>
        <w:ind w:left="426"/>
        <w:contextualSpacing/>
        <w:jc w:val="both"/>
        <w:rPr>
          <w:rFonts w:cs="Arial"/>
          <w:sz w:val="22"/>
          <w:szCs w:val="22"/>
        </w:rPr>
      </w:pPr>
      <w:r w:rsidRPr="0096590B">
        <w:rPr>
          <w:rFonts w:cs="Arial"/>
          <w:sz w:val="22"/>
          <w:szCs w:val="22"/>
        </w:rPr>
        <w:t xml:space="preserve">Betrachtung, ob eine wesentliche Veränderung durchgeführt wird (siehe </w:t>
      </w:r>
      <w:r w:rsidRPr="0096590B">
        <w:rPr>
          <w:rFonts w:cs="Arial"/>
          <w:sz w:val="22"/>
          <w:szCs w:val="22"/>
        </w:rPr>
        <w:fldChar w:fldCharType="begin"/>
      </w:r>
      <w:r w:rsidRPr="0096590B">
        <w:rPr>
          <w:rFonts w:cs="Arial"/>
          <w:sz w:val="22"/>
          <w:szCs w:val="22"/>
        </w:rPr>
        <w:instrText xml:space="preserve"> REF _Ref60824812 \h </w:instrText>
      </w:r>
      <w:r w:rsidRPr="0096590B">
        <w:rPr>
          <w:rFonts w:cs="Arial"/>
          <w:sz w:val="22"/>
          <w:szCs w:val="22"/>
        </w:rPr>
      </w:r>
      <w:r w:rsidRPr="0096590B">
        <w:rPr>
          <w:rFonts w:cs="Arial"/>
          <w:sz w:val="22"/>
          <w:szCs w:val="22"/>
        </w:rPr>
        <w:instrText xml:space="preserve"> \* MERGEFORMAT </w:instrText>
      </w:r>
      <w:r w:rsidRPr="0096590B">
        <w:rPr>
          <w:rFonts w:cs="Arial"/>
          <w:sz w:val="22"/>
          <w:szCs w:val="22"/>
        </w:rPr>
        <w:fldChar w:fldCharType="separate"/>
      </w:r>
      <w:r w:rsidRPr="0096590B">
        <w:rPr>
          <w:rFonts w:cs="Arial"/>
          <w:sz w:val="22"/>
          <w:szCs w:val="22"/>
        </w:rPr>
        <w:t>Abbildung 1</w:t>
      </w:r>
      <w:r w:rsidRPr="0096590B">
        <w:rPr>
          <w:rFonts w:cs="Arial"/>
          <w:sz w:val="22"/>
          <w:szCs w:val="22"/>
        </w:rPr>
        <w:fldChar w:fldCharType="end"/>
      </w:r>
      <w:r w:rsidRPr="0096590B">
        <w:rPr>
          <w:rFonts w:cs="Arial"/>
          <w:sz w:val="22"/>
          <w:szCs w:val="22"/>
        </w:rPr>
        <w:t>).</w:t>
      </w:r>
    </w:p>
    <w:p w14:paraId="165F8276" w14:textId="77777777" w:rsidR="0096590B" w:rsidRPr="0096590B" w:rsidRDefault="0096590B" w:rsidP="0096590B">
      <w:pPr>
        <w:pStyle w:val="Listenabsatz"/>
        <w:numPr>
          <w:ilvl w:val="0"/>
          <w:numId w:val="8"/>
        </w:numPr>
        <w:tabs>
          <w:tab w:val="left" w:pos="6075"/>
        </w:tabs>
        <w:ind w:left="426"/>
        <w:contextualSpacing/>
        <w:jc w:val="both"/>
        <w:rPr>
          <w:rFonts w:cs="Arial"/>
          <w:sz w:val="22"/>
          <w:szCs w:val="22"/>
        </w:rPr>
      </w:pPr>
      <w:r w:rsidRPr="0096590B">
        <w:rPr>
          <w:rFonts w:cs="Arial"/>
          <w:sz w:val="22"/>
          <w:szCs w:val="22"/>
        </w:rPr>
        <w:t>Erstellung einer Risiko-/Gefährdungsbeurteilung, ob die Umbau-/ Erweiterungsmaßnahmen Auswirkungen (sicherheitstechnisch und funktionell) auf die bestehende Anlage und die sichere Verwendung haben und festlegen welche Maßnahmen zu ergreifen sind. Wenn es sinnvoll erscheint sollte der Hersteller der Anlage mit einbezogen werden.</w:t>
      </w:r>
    </w:p>
    <w:p w14:paraId="691CA3E9" w14:textId="77777777" w:rsidR="0096590B" w:rsidRPr="0096590B" w:rsidRDefault="0096590B" w:rsidP="0096590B">
      <w:pPr>
        <w:pStyle w:val="Listenabsatz"/>
        <w:numPr>
          <w:ilvl w:val="0"/>
          <w:numId w:val="8"/>
        </w:numPr>
        <w:tabs>
          <w:tab w:val="left" w:pos="6075"/>
        </w:tabs>
        <w:ind w:left="426"/>
        <w:contextualSpacing/>
        <w:jc w:val="both"/>
        <w:rPr>
          <w:rFonts w:cs="Arial"/>
          <w:sz w:val="22"/>
          <w:szCs w:val="22"/>
        </w:rPr>
      </w:pPr>
      <w:r w:rsidRPr="0096590B">
        <w:rPr>
          <w:rFonts w:cs="Arial"/>
          <w:sz w:val="22"/>
          <w:szCs w:val="22"/>
        </w:rPr>
        <w:t>Auswahl der nachzurüstenden Bauteile und Komponenten unter Beachtung der Vorgaben der aktuellen Normen (z. B. EN 61439, EN 60204-1), der Herstellervorgaben der ursprünglichen Anlage (technische Dokumentation) und unter Einhaltung der Vorgaben der Bauteile-/ Komponentenhersteller.</w:t>
      </w:r>
    </w:p>
    <w:p w14:paraId="0AC90095" w14:textId="77777777" w:rsidR="0096590B" w:rsidRPr="0096590B" w:rsidRDefault="0096590B" w:rsidP="0096590B">
      <w:pPr>
        <w:pStyle w:val="Listenabsatz"/>
        <w:numPr>
          <w:ilvl w:val="0"/>
          <w:numId w:val="8"/>
        </w:numPr>
        <w:tabs>
          <w:tab w:val="left" w:pos="6075"/>
        </w:tabs>
        <w:ind w:left="426"/>
        <w:contextualSpacing/>
        <w:jc w:val="both"/>
        <w:rPr>
          <w:rFonts w:cs="Arial"/>
          <w:sz w:val="22"/>
          <w:szCs w:val="22"/>
        </w:rPr>
      </w:pPr>
      <w:r w:rsidRPr="0096590B">
        <w:rPr>
          <w:rFonts w:cs="Arial"/>
          <w:sz w:val="22"/>
          <w:szCs w:val="22"/>
        </w:rPr>
        <w:t>Wenn möglich und notwendig (Einbringung von Wärmeverlusten) Berechnung oder Ableitung der Erwärmung der Schaltgerätekombination nach der Umrüstung zum Nachweis der Einhaltung der Grenztemperaturen der Bauteile.</w:t>
      </w:r>
    </w:p>
    <w:p w14:paraId="5C280CEC" w14:textId="77777777" w:rsidR="0096590B" w:rsidRPr="0096590B" w:rsidRDefault="0096590B" w:rsidP="0096590B">
      <w:pPr>
        <w:pStyle w:val="Listenabsatz"/>
        <w:numPr>
          <w:ilvl w:val="0"/>
          <w:numId w:val="8"/>
        </w:numPr>
        <w:tabs>
          <w:tab w:val="left" w:pos="6075"/>
        </w:tabs>
        <w:ind w:left="426"/>
        <w:contextualSpacing/>
        <w:jc w:val="both"/>
        <w:rPr>
          <w:rFonts w:cs="Arial"/>
          <w:sz w:val="22"/>
          <w:szCs w:val="22"/>
        </w:rPr>
      </w:pPr>
      <w:r w:rsidRPr="0096590B">
        <w:rPr>
          <w:rFonts w:cs="Arial"/>
          <w:sz w:val="22"/>
          <w:szCs w:val="22"/>
        </w:rPr>
        <w:t>Installation der nachzurüstenden Bauteile und Komponenten unter Beachtung der Vorgaben der aktuellen Normen (z. B. EN 61439, EN 60204-1) der Herstellervorgaben und dem Stand der Technik.</w:t>
      </w:r>
    </w:p>
    <w:p w14:paraId="0784ADCD" w14:textId="77777777" w:rsidR="0096590B" w:rsidRPr="0096590B" w:rsidRDefault="0096590B" w:rsidP="0096590B">
      <w:pPr>
        <w:pStyle w:val="Listenabsatz"/>
        <w:numPr>
          <w:ilvl w:val="0"/>
          <w:numId w:val="8"/>
        </w:numPr>
        <w:tabs>
          <w:tab w:val="left" w:pos="6075"/>
        </w:tabs>
        <w:ind w:left="426"/>
        <w:contextualSpacing/>
        <w:jc w:val="both"/>
        <w:rPr>
          <w:rFonts w:cs="Arial"/>
          <w:sz w:val="22"/>
          <w:szCs w:val="22"/>
        </w:rPr>
      </w:pPr>
      <w:r w:rsidRPr="0096590B">
        <w:rPr>
          <w:rFonts w:cs="Arial"/>
          <w:sz w:val="22"/>
          <w:szCs w:val="22"/>
        </w:rPr>
        <w:t>Prüfung der durch den Umbau/die Erweiterung betroffenen Stromkreise und Funktionen nach den entsprechenden Normvorgaben (z. B. EN 61439, EN 60204-1, VDE 0100-600) und Dokumentation der Prüfung.</w:t>
      </w:r>
      <w:r w:rsidRPr="0096590B">
        <w:rPr>
          <w:rFonts w:cs="Arial"/>
          <w:sz w:val="22"/>
          <w:szCs w:val="22"/>
        </w:rPr>
        <w:br/>
        <w:t>Wenn die Erwärmung nicht im Voraus ermittelt werden konnte, kann der Nachweis der Erwärmung durch Messung im Betrieb und Dokumentation in den Technischen Unterlagen erbracht werden.</w:t>
      </w:r>
    </w:p>
    <w:p w14:paraId="1C58F182" w14:textId="5F57A3D8" w:rsidR="00A766F8" w:rsidRPr="0096590B" w:rsidRDefault="0096590B" w:rsidP="0096590B">
      <w:pPr>
        <w:pStyle w:val="Listenabsatz"/>
        <w:numPr>
          <w:ilvl w:val="0"/>
          <w:numId w:val="8"/>
        </w:numPr>
        <w:tabs>
          <w:tab w:val="left" w:pos="6075"/>
        </w:tabs>
        <w:ind w:left="426"/>
        <w:contextualSpacing/>
        <w:jc w:val="both"/>
        <w:rPr>
          <w:rFonts w:cs="Arial"/>
          <w:sz w:val="22"/>
          <w:szCs w:val="22"/>
        </w:rPr>
      </w:pPr>
      <w:r w:rsidRPr="0096590B">
        <w:rPr>
          <w:rFonts w:cs="Arial"/>
          <w:sz w:val="22"/>
          <w:szCs w:val="22"/>
        </w:rPr>
        <w:t>Anpassung der technischen Dokumentation der Anlage (Schaltpläne, Betriebsanleitung, …) auf den Stand nach dem Umbau.</w:t>
      </w:r>
    </w:p>
    <w:sectPr w:rsidR="00A766F8" w:rsidRPr="0096590B" w:rsidSect="00D75291">
      <w:headerReference w:type="default" r:id="rId12"/>
      <w:footerReference w:type="default" r:id="rId13"/>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FA9F4" w14:textId="77777777" w:rsidR="00382B90" w:rsidRDefault="00382B90">
      <w:r>
        <w:separator/>
      </w:r>
    </w:p>
  </w:endnote>
  <w:endnote w:type="continuationSeparator" w:id="0">
    <w:p w14:paraId="67B6A83B" w14:textId="77777777" w:rsidR="00382B90" w:rsidRDefault="0038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panose1 w:val="020B0300000000000000"/>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7777777" w:rsidR="004F0DC2" w:rsidRPr="004C1C05" w:rsidRDefault="004F0DC2" w:rsidP="004F0DC2">
          <w:pPr>
            <w:pStyle w:val="Fuzeile"/>
            <w:ind w:right="-83"/>
            <w:rPr>
              <w:sz w:val="16"/>
              <w:szCs w:val="16"/>
            </w:rPr>
          </w:pPr>
          <w:r w:rsidRPr="004C1C05">
            <w:rPr>
              <w:sz w:val="16"/>
              <w:szCs w:val="16"/>
            </w:rPr>
            <w:t>0</w:t>
          </w:r>
        </w:p>
      </w:tc>
      <w:tc>
        <w:tcPr>
          <w:tcW w:w="1114" w:type="dxa"/>
          <w:vAlign w:val="center"/>
        </w:tcPr>
        <w:p w14:paraId="6AD19F8F" w14:textId="77777777" w:rsidR="004F0DC2" w:rsidRPr="004C1C05" w:rsidRDefault="004F0DC2" w:rsidP="004F0DC2">
          <w:pPr>
            <w:pStyle w:val="Fuzeile"/>
            <w:ind w:right="-83"/>
            <w:rPr>
              <w:sz w:val="16"/>
              <w:szCs w:val="16"/>
            </w:rPr>
          </w:pPr>
        </w:p>
      </w:tc>
      <w:tc>
        <w:tcPr>
          <w:tcW w:w="1114" w:type="dxa"/>
          <w:vAlign w:val="center"/>
        </w:tcPr>
        <w:p w14:paraId="06E32EC2" w14:textId="77777777"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F0DC2" w:rsidRPr="004C1C05" w14:paraId="2A3C2017" w14:textId="77777777" w:rsidTr="001B5CEE">
      <w:tc>
        <w:tcPr>
          <w:tcW w:w="1814" w:type="dxa"/>
          <w:vAlign w:val="center"/>
        </w:tcPr>
        <w:p w14:paraId="7303C304" w14:textId="77777777" w:rsidR="004F0DC2" w:rsidRPr="004C1C05" w:rsidRDefault="004F0DC2" w:rsidP="004F0DC2">
          <w:pPr>
            <w:pStyle w:val="Fuzeile"/>
            <w:ind w:right="-83"/>
            <w:rPr>
              <w:sz w:val="16"/>
              <w:szCs w:val="16"/>
            </w:rPr>
          </w:pPr>
          <w:r w:rsidRPr="004C1C05">
            <w:rPr>
              <w:sz w:val="16"/>
              <w:szCs w:val="16"/>
            </w:rPr>
            <w:t>Datum:</w:t>
          </w:r>
        </w:p>
      </w:tc>
      <w:tc>
        <w:tcPr>
          <w:tcW w:w="1113" w:type="dxa"/>
          <w:vAlign w:val="center"/>
        </w:tcPr>
        <w:p w14:paraId="725D6138" w14:textId="1AEA4B5E" w:rsidR="004F0DC2" w:rsidRPr="004C1C05" w:rsidRDefault="008A5740" w:rsidP="004F0DC2">
          <w:pPr>
            <w:pStyle w:val="Fuzeile"/>
            <w:ind w:right="-83"/>
            <w:rPr>
              <w:sz w:val="16"/>
              <w:szCs w:val="16"/>
            </w:rPr>
          </w:pPr>
          <w:r>
            <w:rPr>
              <w:sz w:val="16"/>
              <w:szCs w:val="16"/>
            </w:rPr>
            <w:t>0</w:t>
          </w:r>
          <w:r w:rsidR="0096590B">
            <w:rPr>
              <w:sz w:val="16"/>
              <w:szCs w:val="16"/>
            </w:rPr>
            <w:t>2</w:t>
          </w:r>
          <w:r w:rsidR="00CA4118">
            <w:rPr>
              <w:sz w:val="16"/>
              <w:szCs w:val="16"/>
            </w:rPr>
            <w:t>.202</w:t>
          </w:r>
          <w:r>
            <w:rPr>
              <w:sz w:val="16"/>
              <w:szCs w:val="16"/>
            </w:rPr>
            <w:t>1</w:t>
          </w:r>
        </w:p>
      </w:tc>
      <w:tc>
        <w:tcPr>
          <w:tcW w:w="1114" w:type="dxa"/>
          <w:vAlign w:val="center"/>
        </w:tcPr>
        <w:p w14:paraId="0367896C" w14:textId="77777777" w:rsidR="004F0DC2" w:rsidRPr="004C1C05" w:rsidRDefault="004F0DC2" w:rsidP="004F0DC2">
          <w:pPr>
            <w:pStyle w:val="Fuzeile"/>
            <w:ind w:right="-83"/>
            <w:rPr>
              <w:sz w:val="16"/>
              <w:szCs w:val="16"/>
            </w:rPr>
          </w:pPr>
        </w:p>
      </w:tc>
      <w:tc>
        <w:tcPr>
          <w:tcW w:w="1114" w:type="dxa"/>
          <w:vAlign w:val="center"/>
        </w:tcPr>
        <w:p w14:paraId="360FB340" w14:textId="77777777" w:rsidR="004F0DC2" w:rsidRPr="004C1C05" w:rsidRDefault="004F0DC2" w:rsidP="004F0DC2">
          <w:pPr>
            <w:pStyle w:val="Fuzeile"/>
            <w:ind w:right="-83"/>
            <w:rPr>
              <w:sz w:val="16"/>
              <w:szCs w:val="16"/>
            </w:rPr>
          </w:pPr>
        </w:p>
      </w:tc>
      <w:tc>
        <w:tcPr>
          <w:tcW w:w="1114" w:type="dxa"/>
          <w:vAlign w:val="center"/>
        </w:tcPr>
        <w:p w14:paraId="135C6EE0" w14:textId="77777777" w:rsidR="004F0DC2" w:rsidRPr="004C1C05" w:rsidRDefault="004F0DC2" w:rsidP="004F0DC2">
          <w:pPr>
            <w:pStyle w:val="Fuzeile"/>
            <w:ind w:right="-83"/>
            <w:rPr>
              <w:sz w:val="16"/>
              <w:szCs w:val="16"/>
            </w:rPr>
          </w:pPr>
        </w:p>
      </w:tc>
      <w:tc>
        <w:tcPr>
          <w:tcW w:w="1114" w:type="dxa"/>
          <w:vAlign w:val="center"/>
        </w:tcPr>
        <w:p w14:paraId="5C164BEF" w14:textId="77777777" w:rsidR="004F0DC2" w:rsidRPr="004C1C05" w:rsidRDefault="004F0DC2" w:rsidP="004F0DC2">
          <w:pPr>
            <w:pStyle w:val="Fuzeile"/>
            <w:ind w:right="-83"/>
            <w:rPr>
              <w:sz w:val="16"/>
              <w:szCs w:val="16"/>
            </w:rPr>
          </w:pPr>
        </w:p>
      </w:tc>
      <w:tc>
        <w:tcPr>
          <w:tcW w:w="1114" w:type="dxa"/>
          <w:vAlign w:val="center"/>
        </w:tcPr>
        <w:p w14:paraId="5E6BF161" w14:textId="77777777" w:rsidR="004F0DC2" w:rsidRPr="004C1C05" w:rsidRDefault="004F0DC2" w:rsidP="004F0DC2">
          <w:pPr>
            <w:pStyle w:val="Fuzeile"/>
            <w:ind w:right="-83"/>
            <w:rPr>
              <w:sz w:val="16"/>
              <w:szCs w:val="16"/>
            </w:rPr>
          </w:pPr>
          <w:r w:rsidRPr="004C1C05">
            <w:rPr>
              <w:sz w:val="16"/>
              <w:szCs w:val="16"/>
            </w:rPr>
            <w:t>Gültig ab:</w:t>
          </w:r>
        </w:p>
      </w:tc>
      <w:tc>
        <w:tcPr>
          <w:tcW w:w="1114" w:type="dxa"/>
          <w:vAlign w:val="center"/>
        </w:tcPr>
        <w:p w14:paraId="6E18031B" w14:textId="77777777" w:rsidR="004F0DC2" w:rsidRPr="004C1C05" w:rsidRDefault="004F0DC2" w:rsidP="004F0DC2">
          <w:pPr>
            <w:pStyle w:val="Fuzeile"/>
            <w:ind w:right="-83"/>
            <w:rPr>
              <w:sz w:val="16"/>
              <w:szCs w:val="16"/>
            </w:rPr>
          </w:pPr>
        </w:p>
      </w:tc>
    </w:tr>
    <w:tr w:rsidR="004F0DC2" w:rsidRPr="004C1C05" w14:paraId="7D7C1E9E" w14:textId="77777777" w:rsidTr="001B5CEE">
      <w:tc>
        <w:tcPr>
          <w:tcW w:w="1814" w:type="dxa"/>
          <w:vAlign w:val="center"/>
        </w:tcPr>
        <w:p w14:paraId="5FA7E0CE" w14:textId="77777777" w:rsidR="004F0DC2" w:rsidRPr="004C1C05" w:rsidRDefault="004F0DC2" w:rsidP="004F0DC2">
          <w:pPr>
            <w:pStyle w:val="Fuzeile"/>
            <w:ind w:right="-83"/>
            <w:rPr>
              <w:sz w:val="16"/>
              <w:szCs w:val="16"/>
            </w:rPr>
          </w:pPr>
          <w:r w:rsidRPr="004C1C05">
            <w:rPr>
              <w:sz w:val="16"/>
              <w:szCs w:val="16"/>
            </w:rPr>
            <w:t>Erstellt/geändert:</w:t>
          </w:r>
        </w:p>
      </w:tc>
      <w:tc>
        <w:tcPr>
          <w:tcW w:w="1113" w:type="dxa"/>
          <w:vAlign w:val="center"/>
        </w:tcPr>
        <w:p w14:paraId="46681F7E" w14:textId="77777777" w:rsidR="004F0DC2" w:rsidRPr="004C1C05" w:rsidRDefault="004F0DC2" w:rsidP="004F0DC2">
          <w:pPr>
            <w:pStyle w:val="Fuzeile"/>
            <w:ind w:right="-83"/>
            <w:rPr>
              <w:sz w:val="16"/>
              <w:szCs w:val="16"/>
            </w:rPr>
          </w:pPr>
          <w:r>
            <w:rPr>
              <w:sz w:val="16"/>
              <w:szCs w:val="16"/>
            </w:rPr>
            <w:t>R.O.E.</w:t>
          </w:r>
          <w:r w:rsidRPr="004C1C05">
            <w:rPr>
              <w:sz w:val="16"/>
              <w:szCs w:val="16"/>
            </w:rPr>
            <w:t>GmbH</w:t>
          </w:r>
        </w:p>
      </w:tc>
      <w:tc>
        <w:tcPr>
          <w:tcW w:w="1114" w:type="dxa"/>
          <w:vAlign w:val="center"/>
        </w:tcPr>
        <w:p w14:paraId="238D0AC1" w14:textId="77777777" w:rsidR="004F0DC2" w:rsidRPr="004C1C05" w:rsidRDefault="004F0DC2" w:rsidP="004F0DC2">
          <w:pPr>
            <w:pStyle w:val="Fuzeile"/>
            <w:ind w:right="-83"/>
            <w:rPr>
              <w:sz w:val="16"/>
              <w:szCs w:val="16"/>
            </w:rPr>
          </w:pPr>
        </w:p>
      </w:tc>
      <w:tc>
        <w:tcPr>
          <w:tcW w:w="1114" w:type="dxa"/>
          <w:vAlign w:val="center"/>
        </w:tcPr>
        <w:p w14:paraId="74E249C1" w14:textId="77777777" w:rsidR="004F0DC2" w:rsidRPr="004C1C05" w:rsidRDefault="004F0DC2" w:rsidP="004F0DC2">
          <w:pPr>
            <w:pStyle w:val="Fuzeile"/>
            <w:ind w:right="-83"/>
            <w:rPr>
              <w:sz w:val="16"/>
              <w:szCs w:val="16"/>
            </w:rPr>
          </w:pPr>
        </w:p>
      </w:tc>
      <w:tc>
        <w:tcPr>
          <w:tcW w:w="1114" w:type="dxa"/>
          <w:vAlign w:val="center"/>
        </w:tcPr>
        <w:p w14:paraId="2834616F" w14:textId="77777777" w:rsidR="004F0DC2" w:rsidRPr="004C1C05" w:rsidRDefault="004F0DC2" w:rsidP="004F0DC2">
          <w:pPr>
            <w:pStyle w:val="Fuzeile"/>
            <w:ind w:right="-83"/>
            <w:rPr>
              <w:sz w:val="16"/>
              <w:szCs w:val="16"/>
            </w:rPr>
          </w:pPr>
        </w:p>
      </w:tc>
      <w:tc>
        <w:tcPr>
          <w:tcW w:w="1114" w:type="dxa"/>
          <w:vAlign w:val="center"/>
        </w:tcPr>
        <w:p w14:paraId="7C8A9D96" w14:textId="77777777" w:rsidR="004F0DC2" w:rsidRPr="004C1C05" w:rsidRDefault="004F0DC2" w:rsidP="004F0DC2">
          <w:pPr>
            <w:pStyle w:val="Fuzeile"/>
            <w:ind w:right="-83"/>
            <w:rPr>
              <w:sz w:val="16"/>
              <w:szCs w:val="16"/>
            </w:rPr>
          </w:pPr>
        </w:p>
      </w:tc>
      <w:tc>
        <w:tcPr>
          <w:tcW w:w="1114" w:type="dxa"/>
          <w:shd w:val="clear" w:color="auto" w:fill="auto"/>
          <w:vAlign w:val="center"/>
        </w:tcPr>
        <w:p w14:paraId="6CCC8185" w14:textId="77777777" w:rsidR="004F0DC2" w:rsidRPr="004C1C05" w:rsidRDefault="004F0DC2" w:rsidP="004F0DC2">
          <w:pPr>
            <w:pStyle w:val="Fuzeile"/>
            <w:ind w:right="-83"/>
            <w:rPr>
              <w:sz w:val="16"/>
              <w:szCs w:val="16"/>
            </w:rPr>
          </w:pPr>
        </w:p>
      </w:tc>
      <w:tc>
        <w:tcPr>
          <w:tcW w:w="1114" w:type="dxa"/>
          <w:vAlign w:val="center"/>
        </w:tcPr>
        <w:p w14:paraId="7C91B93C" w14:textId="77777777" w:rsidR="004F0DC2" w:rsidRPr="004C1C05" w:rsidRDefault="004F0DC2" w:rsidP="004F0DC2">
          <w:pPr>
            <w:pStyle w:val="Fuzeile"/>
            <w:ind w:right="-83"/>
            <w:rPr>
              <w:sz w:val="16"/>
              <w:szCs w:val="16"/>
            </w:rPr>
          </w:pPr>
        </w:p>
      </w:tc>
    </w:tr>
    <w:tr w:rsidR="004F0DC2" w:rsidRPr="004C1C05" w14:paraId="7DBB12E6" w14:textId="77777777" w:rsidTr="001B5CEE">
      <w:tc>
        <w:tcPr>
          <w:tcW w:w="1814" w:type="dxa"/>
          <w:vAlign w:val="center"/>
        </w:tcPr>
        <w:p w14:paraId="1DAF7BED" w14:textId="77777777" w:rsidR="004F0DC2" w:rsidRPr="004C1C05" w:rsidRDefault="004F0DC2" w:rsidP="004F0DC2">
          <w:pPr>
            <w:pStyle w:val="Fuzeile"/>
            <w:ind w:right="-83"/>
            <w:rPr>
              <w:sz w:val="16"/>
              <w:szCs w:val="16"/>
            </w:rPr>
          </w:pPr>
          <w:r w:rsidRPr="004C1C05">
            <w:rPr>
              <w:sz w:val="16"/>
              <w:szCs w:val="16"/>
            </w:rPr>
            <w:t>Genehmigt:</w:t>
          </w:r>
        </w:p>
      </w:tc>
      <w:tc>
        <w:tcPr>
          <w:tcW w:w="1113" w:type="dxa"/>
          <w:vAlign w:val="center"/>
        </w:tcPr>
        <w:p w14:paraId="7031F58E" w14:textId="77777777" w:rsidR="004F0DC2" w:rsidRPr="004C1C05" w:rsidRDefault="004F0DC2" w:rsidP="004F0DC2">
          <w:pPr>
            <w:pStyle w:val="Fuzeile"/>
            <w:ind w:right="-83"/>
            <w:rPr>
              <w:sz w:val="16"/>
              <w:szCs w:val="16"/>
            </w:rPr>
          </w:pPr>
        </w:p>
      </w:tc>
      <w:tc>
        <w:tcPr>
          <w:tcW w:w="1114" w:type="dxa"/>
          <w:vAlign w:val="center"/>
        </w:tcPr>
        <w:p w14:paraId="47A64D35" w14:textId="77777777" w:rsidR="004F0DC2" w:rsidRPr="004C1C05" w:rsidRDefault="004F0DC2" w:rsidP="004F0DC2">
          <w:pPr>
            <w:pStyle w:val="Fuzeile"/>
            <w:ind w:right="-83"/>
            <w:rPr>
              <w:sz w:val="16"/>
              <w:szCs w:val="16"/>
            </w:rPr>
          </w:pPr>
        </w:p>
      </w:tc>
      <w:tc>
        <w:tcPr>
          <w:tcW w:w="1114" w:type="dxa"/>
          <w:vAlign w:val="center"/>
        </w:tcPr>
        <w:p w14:paraId="51ECD793" w14:textId="77777777" w:rsidR="004F0DC2" w:rsidRPr="004C1C05" w:rsidRDefault="004F0DC2" w:rsidP="004F0DC2">
          <w:pPr>
            <w:pStyle w:val="Fuzeile"/>
            <w:ind w:right="-83"/>
            <w:rPr>
              <w:sz w:val="16"/>
              <w:szCs w:val="16"/>
            </w:rPr>
          </w:pPr>
        </w:p>
      </w:tc>
      <w:tc>
        <w:tcPr>
          <w:tcW w:w="1114" w:type="dxa"/>
          <w:vAlign w:val="center"/>
        </w:tcPr>
        <w:p w14:paraId="0616FCC5" w14:textId="77777777" w:rsidR="004F0DC2" w:rsidRPr="004C1C05" w:rsidRDefault="004F0DC2" w:rsidP="004F0DC2">
          <w:pPr>
            <w:pStyle w:val="Fuzeile"/>
            <w:ind w:right="-83"/>
            <w:rPr>
              <w:sz w:val="16"/>
              <w:szCs w:val="16"/>
            </w:rPr>
          </w:pPr>
        </w:p>
      </w:tc>
      <w:tc>
        <w:tcPr>
          <w:tcW w:w="1114" w:type="dxa"/>
          <w:vAlign w:val="center"/>
        </w:tcPr>
        <w:p w14:paraId="3AEBC74A" w14:textId="77777777" w:rsidR="004F0DC2" w:rsidRPr="004C1C05" w:rsidRDefault="004F0DC2" w:rsidP="004F0DC2">
          <w:pPr>
            <w:pStyle w:val="Fuzeile"/>
            <w:ind w:right="-83"/>
            <w:rPr>
              <w:sz w:val="16"/>
              <w:szCs w:val="16"/>
            </w:rPr>
          </w:pPr>
        </w:p>
      </w:tc>
      <w:tc>
        <w:tcPr>
          <w:tcW w:w="1114" w:type="dxa"/>
          <w:shd w:val="clear" w:color="auto" w:fill="auto"/>
          <w:vAlign w:val="center"/>
        </w:tcPr>
        <w:p w14:paraId="024944CB" w14:textId="77777777" w:rsidR="004F0DC2" w:rsidRPr="004C1C05" w:rsidRDefault="004F0DC2" w:rsidP="004F0DC2">
          <w:pPr>
            <w:pStyle w:val="Fuzeile"/>
            <w:ind w:right="-83"/>
            <w:rPr>
              <w:sz w:val="16"/>
              <w:szCs w:val="16"/>
            </w:rPr>
          </w:pPr>
        </w:p>
      </w:tc>
      <w:tc>
        <w:tcPr>
          <w:tcW w:w="1114" w:type="dxa"/>
          <w:vAlign w:val="center"/>
        </w:tcPr>
        <w:p w14:paraId="4FE0CA3B" w14:textId="77777777" w:rsidR="004F0DC2" w:rsidRPr="004C1C05" w:rsidRDefault="004F0DC2" w:rsidP="004F0DC2">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4BC74" w14:textId="77777777" w:rsidR="00382B90" w:rsidRDefault="00382B90">
      <w:r>
        <w:separator/>
      </w:r>
    </w:p>
  </w:footnote>
  <w:footnote w:type="continuationSeparator" w:id="0">
    <w:p w14:paraId="065F5AC4" w14:textId="77777777" w:rsidR="00382B90" w:rsidRDefault="0038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7777777" w:rsidR="004F0DC2" w:rsidRPr="00E21DC0" w:rsidRDefault="004F0DC2" w:rsidP="004F0DC2">
          <w:pPr>
            <w:pStyle w:val="KeinLeerraum"/>
            <w:jc w:val="center"/>
            <w:rPr>
              <w:b/>
              <w:sz w:val="18"/>
            </w:rPr>
          </w:pPr>
          <w:r>
            <w:rPr>
              <w:b/>
              <w:noProof/>
              <w:sz w:val="18"/>
            </w:rPr>
            <w:drawing>
              <wp:inline distT="0" distB="0" distL="0" distR="0" wp14:anchorId="1BCB57F7" wp14:editId="62FA6469">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5A8A45E1" w:rsidR="004F0DC2" w:rsidRPr="00E21DC0" w:rsidRDefault="004F0DC2" w:rsidP="004F0DC2">
          <w:pPr>
            <w:jc w:val="center"/>
          </w:pPr>
          <w:r w:rsidRPr="00E21DC0">
            <w:rPr>
              <w:b/>
            </w:rPr>
            <w:t>UW_ET_</w:t>
          </w:r>
          <w:r w:rsidR="001651BB">
            <w:rPr>
              <w:b/>
            </w:rPr>
            <w:t>6</w:t>
          </w:r>
          <w:r w:rsidR="0096590B">
            <w:rPr>
              <w:b/>
            </w:rPr>
            <w:t>6</w:t>
          </w:r>
        </w:p>
      </w:tc>
      <w:tc>
        <w:tcPr>
          <w:tcW w:w="5026" w:type="dxa"/>
          <w:vAlign w:val="center"/>
        </w:tcPr>
        <w:p w14:paraId="63D167E9" w14:textId="75FECD43" w:rsidR="004F0DC2" w:rsidRPr="00B2005A" w:rsidRDefault="0096590B" w:rsidP="004F0DC2">
          <w:pPr>
            <w:jc w:val="center"/>
            <w:rPr>
              <w:sz w:val="28"/>
              <w:szCs w:val="28"/>
            </w:rPr>
          </w:pPr>
          <w:r w:rsidRPr="0096590B">
            <w:rPr>
              <w:sz w:val="28"/>
              <w:szCs w:val="28"/>
            </w:rPr>
            <w:t>Umbau einer Niederspannungs-Schaltgerätekombination im Rahmen einer Instandhaltung</w:t>
          </w:r>
          <w:r>
            <w:rPr>
              <w:sz w:val="28"/>
              <w:szCs w:val="28"/>
            </w:rPr>
            <w:t>smaßnahme</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7CD2"/>
    <w:multiLevelType w:val="hybridMultilevel"/>
    <w:tmpl w:val="A984C9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55205"/>
    <w:multiLevelType w:val="hybridMultilevel"/>
    <w:tmpl w:val="5CCEA0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3D42E5"/>
    <w:multiLevelType w:val="hybridMultilevel"/>
    <w:tmpl w:val="3884A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CD0336"/>
    <w:multiLevelType w:val="hybridMultilevel"/>
    <w:tmpl w:val="D7FA3C4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51E045E6"/>
    <w:multiLevelType w:val="hybridMultilevel"/>
    <w:tmpl w:val="A984C9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150121"/>
    <w:multiLevelType w:val="hybridMultilevel"/>
    <w:tmpl w:val="5CCEA0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564149"/>
    <w:multiLevelType w:val="hybridMultilevel"/>
    <w:tmpl w:val="0A5001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1121EB"/>
    <w:multiLevelType w:val="hybridMultilevel"/>
    <w:tmpl w:val="E4C021E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3"/>
  </w:num>
  <w:num w:numId="6">
    <w:abstractNumId w:val="0"/>
  </w:num>
  <w:num w:numId="7">
    <w:abstractNumId w:val="6"/>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E49B4"/>
    <w:rsid w:val="000E7D83"/>
    <w:rsid w:val="000F2384"/>
    <w:rsid w:val="000F2584"/>
    <w:rsid w:val="000F6291"/>
    <w:rsid w:val="00103F17"/>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51BB"/>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36015"/>
    <w:rsid w:val="002406C5"/>
    <w:rsid w:val="002414FA"/>
    <w:rsid w:val="0024427B"/>
    <w:rsid w:val="0024474D"/>
    <w:rsid w:val="00244F91"/>
    <w:rsid w:val="002477EA"/>
    <w:rsid w:val="00247F5D"/>
    <w:rsid w:val="00250538"/>
    <w:rsid w:val="00252541"/>
    <w:rsid w:val="0025264C"/>
    <w:rsid w:val="00256AC2"/>
    <w:rsid w:val="0026056C"/>
    <w:rsid w:val="00261D61"/>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2B90"/>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100B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1215"/>
    <w:rsid w:val="006213A9"/>
    <w:rsid w:val="00621DB8"/>
    <w:rsid w:val="00625C19"/>
    <w:rsid w:val="006262F6"/>
    <w:rsid w:val="0062688B"/>
    <w:rsid w:val="00626E05"/>
    <w:rsid w:val="0063075F"/>
    <w:rsid w:val="00631D90"/>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0EF5"/>
    <w:rsid w:val="0068470A"/>
    <w:rsid w:val="0068587C"/>
    <w:rsid w:val="00686CBC"/>
    <w:rsid w:val="00686F84"/>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A5740"/>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590B"/>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E79E4"/>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7CA"/>
    <w:rsid w:val="00A72C0D"/>
    <w:rsid w:val="00A731AC"/>
    <w:rsid w:val="00A73362"/>
    <w:rsid w:val="00A73B0F"/>
    <w:rsid w:val="00A74C06"/>
    <w:rsid w:val="00A74EF7"/>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6C9D"/>
    <w:rsid w:val="00B07A3A"/>
    <w:rsid w:val="00B1047F"/>
    <w:rsid w:val="00B12354"/>
    <w:rsid w:val="00B13FE3"/>
    <w:rsid w:val="00B15196"/>
    <w:rsid w:val="00B15B95"/>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487B"/>
    <w:rsid w:val="00BB59DE"/>
    <w:rsid w:val="00BB5B2B"/>
    <w:rsid w:val="00BC5E35"/>
    <w:rsid w:val="00BC6DF4"/>
    <w:rsid w:val="00BD06FE"/>
    <w:rsid w:val="00BD073D"/>
    <w:rsid w:val="00BD66D1"/>
    <w:rsid w:val="00BE32B8"/>
    <w:rsid w:val="00BE3C39"/>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25CB"/>
    <w:rsid w:val="00C740C3"/>
    <w:rsid w:val="00C76F57"/>
    <w:rsid w:val="00C8238B"/>
    <w:rsid w:val="00C90655"/>
    <w:rsid w:val="00C92AA8"/>
    <w:rsid w:val="00C94250"/>
    <w:rsid w:val="00C96C7E"/>
    <w:rsid w:val="00CA18B6"/>
    <w:rsid w:val="00CA4118"/>
    <w:rsid w:val="00CA723B"/>
    <w:rsid w:val="00CA7579"/>
    <w:rsid w:val="00CB0A16"/>
    <w:rsid w:val="00CB1503"/>
    <w:rsid w:val="00CB2536"/>
    <w:rsid w:val="00CC0B71"/>
    <w:rsid w:val="00CC4EE5"/>
    <w:rsid w:val="00CC743C"/>
    <w:rsid w:val="00CD01DE"/>
    <w:rsid w:val="00CD575C"/>
    <w:rsid w:val="00CD671E"/>
    <w:rsid w:val="00CD6727"/>
    <w:rsid w:val="00CD741C"/>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E02056"/>
    <w:rsid w:val="00E13E3B"/>
    <w:rsid w:val="00E15B7B"/>
    <w:rsid w:val="00E15F21"/>
    <w:rsid w:val="00E1744A"/>
    <w:rsid w:val="00E174BB"/>
    <w:rsid w:val="00E17EBF"/>
    <w:rsid w:val="00E20B3B"/>
    <w:rsid w:val="00E22259"/>
    <w:rsid w:val="00E24DDE"/>
    <w:rsid w:val="00E26C5D"/>
    <w:rsid w:val="00E3095F"/>
    <w:rsid w:val="00E360A2"/>
    <w:rsid w:val="00E418AB"/>
    <w:rsid w:val="00E420A0"/>
    <w:rsid w:val="00E44E5D"/>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9"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9"/>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character" w:customStyle="1" w:styleId="ilfuvd">
    <w:name w:val="ilfuvd"/>
    <w:basedOn w:val="Absatz-Standardschriftart"/>
    <w:rsid w:val="00CA4118"/>
  </w:style>
  <w:style w:type="character" w:customStyle="1" w:styleId="highlight">
    <w:name w:val="highlight"/>
    <w:basedOn w:val="Absatz-Standardschriftart"/>
    <w:rsid w:val="009E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12c18e6bc0c91f2532c73ae918b009a7">
  <xsd:schema xmlns:xsd="http://www.w3.org/2001/XMLSchema" xmlns:xs="http://www.w3.org/2001/XMLSchema" xmlns:p="http://schemas.microsoft.com/office/2006/metadata/properties" xmlns:ns2="0ba9638b-9898-400c-aa80-e8ce42f10e4c" targetNamespace="http://schemas.microsoft.com/office/2006/metadata/properties" ma:root="true" ma:fieldsID="c452818881f39161e789e58a50665cad"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770B7-9525-054C-A770-71B57E2EDDA7}">
  <ds:schemaRefs>
    <ds:schemaRef ds:uri="http://schemas.openxmlformats.org/officeDocument/2006/bibliography"/>
  </ds:schemaRefs>
</ds:datastoreItem>
</file>

<file path=customXml/itemProps2.xml><?xml version="1.0" encoding="utf-8"?>
<ds:datastoreItem xmlns:ds="http://schemas.openxmlformats.org/officeDocument/2006/customXml" ds:itemID="{C440BD62-0E69-44DC-A48C-ACE66E57BCB3}">
  <ds:schemaRefs>
    <ds:schemaRef ds:uri="http://schemas.microsoft.com/sharepoint/v3/contenttype/forms"/>
  </ds:schemaRefs>
</ds:datastoreItem>
</file>

<file path=customXml/itemProps3.xml><?xml version="1.0" encoding="utf-8"?>
<ds:datastoreItem xmlns:ds="http://schemas.openxmlformats.org/officeDocument/2006/customXml" ds:itemID="{B72DF9C5-121F-403D-B516-BF755EFD5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73BA5-4048-4636-9CC9-2D2E326949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3</Pages>
  <Words>1049</Words>
  <Characters>6612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3</cp:revision>
  <cp:lastPrinted>2018-10-16T05:29:00Z</cp:lastPrinted>
  <dcterms:created xsi:type="dcterms:W3CDTF">2021-02-26T08:14:00Z</dcterms:created>
  <dcterms:modified xsi:type="dcterms:W3CDTF">2021-02-26T08:25:00Z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ContentTypeId">
    <vt:lpwstr>0x010100144F0A2E325DA94982285E9B7D5E10CC</vt:lpwstr>
  </property>
</Properties>
</file>