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3E7B" w14:textId="0812CAA1" w:rsidR="004C7BFA" w:rsidRDefault="004C7BFA" w:rsidP="004C6FE7">
      <w:pPr>
        <w:pStyle w:val="KeinLeerraum"/>
        <w:spacing w:before="60" w:after="60"/>
        <w:rPr>
          <w:rFonts w:ascii="Arial" w:hAnsi="Arial" w:cs="Arial"/>
          <w:b/>
          <w:bCs/>
        </w:rPr>
      </w:pPr>
      <w:r w:rsidRPr="004C7BFA">
        <w:rPr>
          <w:rFonts w:ascii="Arial" w:hAnsi="Arial" w:cs="Arial"/>
          <w:b/>
          <w:bCs/>
        </w:rPr>
        <w:t>Rechtsgrundlagen</w:t>
      </w:r>
    </w:p>
    <w:p w14:paraId="38CADAFE" w14:textId="162C8A2B" w:rsidR="004C6FE7" w:rsidRPr="004C7BFA" w:rsidRDefault="004C6FE7" w:rsidP="004C6FE7">
      <w:pPr>
        <w:pStyle w:val="KeinLeerraum"/>
        <w:spacing w:before="60" w:after="60"/>
        <w:rPr>
          <w:rFonts w:ascii="Arial" w:hAnsi="Arial" w:cs="Arial"/>
        </w:rPr>
      </w:pPr>
      <w:r w:rsidRPr="004C7BFA">
        <w:rPr>
          <w:rFonts w:ascii="Arial" w:hAnsi="Arial" w:cs="Arial"/>
        </w:rPr>
        <w:t>Vorgaben für die Pflicht zur Instandhaltung finden sich insbesondere in nachfolgenden Regelwerken:</w:t>
      </w:r>
    </w:p>
    <w:p w14:paraId="59400C60" w14:textId="77777777" w:rsidR="004C6FE7" w:rsidRPr="00C0186E" w:rsidRDefault="004C6FE7" w:rsidP="004C6FE7">
      <w:pPr>
        <w:pStyle w:val="KeinLeerraum"/>
        <w:numPr>
          <w:ilvl w:val="0"/>
          <w:numId w:val="13"/>
        </w:numPr>
        <w:spacing w:before="60" w:after="60"/>
        <w:rPr>
          <w:rFonts w:ascii="Arial" w:hAnsi="Arial" w:cs="Arial"/>
        </w:rPr>
      </w:pPr>
      <w:r w:rsidRPr="00C0186E">
        <w:rPr>
          <w:rFonts w:ascii="Arial" w:hAnsi="Arial" w:cs="Arial"/>
        </w:rPr>
        <w:t>Instandhaltung als Pflicht aus der unternehmerischen Organisationsverantwortung, § 130 OWiG (Verletzung der Aufsichtspflichten in Betrieben und Unternehmen),</w:t>
      </w:r>
    </w:p>
    <w:p w14:paraId="0927B15E" w14:textId="77777777" w:rsidR="004C6FE7" w:rsidRPr="00C0186E" w:rsidRDefault="004C6FE7" w:rsidP="004C6FE7">
      <w:pPr>
        <w:pStyle w:val="KeinLeerraum"/>
        <w:numPr>
          <w:ilvl w:val="0"/>
          <w:numId w:val="13"/>
        </w:numPr>
        <w:spacing w:before="60" w:after="60"/>
        <w:rPr>
          <w:rFonts w:ascii="Arial" w:hAnsi="Arial" w:cs="Arial"/>
        </w:rPr>
      </w:pPr>
      <w:r w:rsidRPr="00C0186E">
        <w:rPr>
          <w:rFonts w:ascii="Arial" w:hAnsi="Arial" w:cs="Arial"/>
        </w:rPr>
        <w:t>Instandhaltung als Verkehrssicherungspflicht, § 823 BGB (Schadensersatzpflicht),</w:t>
      </w:r>
    </w:p>
    <w:p w14:paraId="52CC2B9A" w14:textId="77777777" w:rsidR="004C6FE7" w:rsidRPr="00C0186E" w:rsidRDefault="004C6FE7" w:rsidP="004C6FE7">
      <w:pPr>
        <w:pStyle w:val="KeinLeerraum"/>
        <w:numPr>
          <w:ilvl w:val="0"/>
          <w:numId w:val="13"/>
        </w:numPr>
        <w:spacing w:before="60" w:after="60"/>
        <w:rPr>
          <w:rFonts w:ascii="Arial" w:hAnsi="Arial" w:cs="Arial"/>
        </w:rPr>
      </w:pPr>
      <w:r w:rsidRPr="00C0186E">
        <w:rPr>
          <w:rFonts w:ascii="Arial" w:hAnsi="Arial" w:cs="Arial"/>
        </w:rPr>
        <w:t>Instandhaltung als Arbeitgeberpflicht, § 3 ArbSchG (Grundpflichten des Arbeitgebers) z. B. für eine geeignete Organisation zu sorgen.</w:t>
      </w:r>
    </w:p>
    <w:p w14:paraId="7DB1A595" w14:textId="77777777" w:rsidR="004C6FE7" w:rsidRPr="00C0186E" w:rsidRDefault="004C6FE7" w:rsidP="004C6FE7">
      <w:pPr>
        <w:pStyle w:val="KeinLeerraum"/>
        <w:spacing w:before="60" w:after="60"/>
        <w:rPr>
          <w:rFonts w:ascii="Arial" w:hAnsi="Arial" w:cs="Arial"/>
        </w:rPr>
      </w:pPr>
    </w:p>
    <w:p w14:paraId="232A41E3" w14:textId="77777777" w:rsidR="004C6FE7" w:rsidRPr="00C0186E" w:rsidRDefault="004C6FE7" w:rsidP="004C6FE7">
      <w:pPr>
        <w:pStyle w:val="KeinLeerraum"/>
        <w:spacing w:before="60" w:after="60"/>
        <w:rPr>
          <w:rFonts w:ascii="Arial" w:hAnsi="Arial" w:cs="Arial"/>
          <w:b/>
          <w:bCs/>
        </w:rPr>
      </w:pPr>
      <w:r w:rsidRPr="00C0186E">
        <w:rPr>
          <w:rFonts w:ascii="Arial" w:hAnsi="Arial" w:cs="Arial"/>
          <w:b/>
          <w:bCs/>
        </w:rPr>
        <w:t>Instandhaltung als Arbeitgeberpflicht</w:t>
      </w:r>
    </w:p>
    <w:p w14:paraId="272E6594" w14:textId="77777777" w:rsidR="004C6FE7" w:rsidRPr="00C0186E" w:rsidRDefault="004C6FE7" w:rsidP="004C6FE7">
      <w:pPr>
        <w:pStyle w:val="KeinLeerraum"/>
        <w:spacing w:before="60" w:after="60"/>
        <w:jc w:val="both"/>
        <w:rPr>
          <w:rFonts w:ascii="Arial" w:hAnsi="Arial" w:cs="Arial"/>
        </w:rPr>
      </w:pPr>
      <w:r w:rsidRPr="00C0186E">
        <w:rPr>
          <w:rFonts w:ascii="Arial" w:hAnsi="Arial" w:cs="Arial"/>
        </w:rPr>
        <w:t>Der Arbeitgeber ist verpflichtet Maßnahmen zu ergreifen, welche die Sicherheit und die Gesundheit von Mitarbeitern sicherstellen. Hierunter fallen ohne Zweifel Maßnahmen zum Erhalt eines sicheren Zustandes u. a. eines Arbeitsmittels oder einer Arbeitsstätte.</w:t>
      </w:r>
    </w:p>
    <w:p w14:paraId="089CB9C6" w14:textId="77777777" w:rsidR="004C6FE7" w:rsidRDefault="004C6FE7" w:rsidP="004C6FE7">
      <w:pPr>
        <w:pStyle w:val="KeinLeerraum"/>
        <w:spacing w:before="60" w:after="60"/>
        <w:jc w:val="both"/>
        <w:rPr>
          <w:rFonts w:ascii="Arial" w:hAnsi="Arial" w:cs="Arial"/>
        </w:rPr>
      </w:pPr>
    </w:p>
    <w:p w14:paraId="39FB9683" w14:textId="7E0BD067" w:rsidR="004C6FE7" w:rsidRPr="004C7BFA" w:rsidRDefault="004C6FE7" w:rsidP="004C6FE7">
      <w:pPr>
        <w:pStyle w:val="KeinLeerraum"/>
        <w:spacing w:before="60" w:after="60"/>
        <w:jc w:val="both"/>
        <w:rPr>
          <w:rFonts w:ascii="Arial" w:hAnsi="Arial" w:cs="Arial"/>
          <w:b/>
          <w:bCs/>
        </w:rPr>
      </w:pPr>
      <w:r w:rsidRPr="004C7BFA">
        <w:rPr>
          <w:rFonts w:ascii="Arial" w:hAnsi="Arial" w:cs="Arial"/>
          <w:b/>
          <w:bCs/>
        </w:rPr>
        <w:t xml:space="preserve">ArbSchG </w:t>
      </w:r>
    </w:p>
    <w:p w14:paraId="03C9FED4" w14:textId="3DEB500D" w:rsidR="004C6FE7" w:rsidRPr="004C7BFA" w:rsidRDefault="004C7BFA" w:rsidP="004C6FE7">
      <w:pPr>
        <w:pStyle w:val="KeinLeerraum"/>
        <w:spacing w:before="60" w:after="60"/>
        <w:jc w:val="both"/>
        <w:rPr>
          <w:rFonts w:ascii="Arial" w:hAnsi="Arial" w:cs="Arial"/>
          <w:i/>
          <w:iCs/>
        </w:rPr>
      </w:pPr>
      <w:r>
        <w:rPr>
          <w:rFonts w:ascii="Arial" w:hAnsi="Arial" w:cs="Arial"/>
          <w:i/>
          <w:iCs/>
        </w:rPr>
        <w:t xml:space="preserve">§ 3 </w:t>
      </w:r>
      <w:r w:rsidR="004C6FE7" w:rsidRPr="004C7BFA">
        <w:rPr>
          <w:rFonts w:ascii="Arial" w:hAnsi="Arial" w:cs="Arial"/>
          <w:i/>
          <w:iCs/>
        </w:rPr>
        <w:t>Grundpflichten des Arbeitgebers</w:t>
      </w:r>
    </w:p>
    <w:p w14:paraId="7741B951" w14:textId="77777777" w:rsidR="004C6FE7" w:rsidRPr="004C7BFA" w:rsidRDefault="004C6FE7" w:rsidP="004C6FE7">
      <w:pPr>
        <w:pStyle w:val="KeinLeerraum"/>
        <w:spacing w:before="60" w:after="60"/>
        <w:jc w:val="both"/>
        <w:rPr>
          <w:rFonts w:ascii="Arial" w:hAnsi="Arial" w:cs="Arial"/>
          <w:i/>
          <w:iCs/>
        </w:rPr>
      </w:pPr>
      <w:r w:rsidRPr="004C7BFA">
        <w:rPr>
          <w:rFonts w:ascii="Arial" w:hAnsi="Arial" w:cs="Arial"/>
          <w:i/>
          <w:iCs/>
        </w:rPr>
        <w:t xml:space="preserve">(1) Der Arbeitsgeber ist verpflichtet, die erforderlichen Maßnahmen des Arbeitsschutzes unter Berücksichtigung der Umstände zu treffen, die Sicherheit und Gesundheit der Beschäftigten bei der Arbeit beeinflussen. Er hat die Maßnahmen auf ihre Wirksamkeit zu überprüfen und erforderlichenfalls sich ändernden Gegebenheiten anzupassen. </w:t>
      </w:r>
    </w:p>
    <w:p w14:paraId="2F6F625F" w14:textId="77777777" w:rsidR="004C6FE7" w:rsidRPr="004C7BFA" w:rsidRDefault="004C6FE7" w:rsidP="004C6FE7">
      <w:pPr>
        <w:pStyle w:val="KeinLeerraum"/>
        <w:spacing w:before="60" w:after="60"/>
        <w:jc w:val="both"/>
        <w:rPr>
          <w:rFonts w:ascii="Arial" w:hAnsi="Arial" w:cs="Arial"/>
          <w:i/>
          <w:iCs/>
        </w:rPr>
      </w:pPr>
      <w:r w:rsidRPr="004C7BFA">
        <w:rPr>
          <w:rFonts w:ascii="Arial" w:hAnsi="Arial" w:cs="Arial"/>
          <w:i/>
          <w:iCs/>
        </w:rPr>
        <w:t xml:space="preserve">[…] </w:t>
      </w:r>
    </w:p>
    <w:p w14:paraId="5F1D996C" w14:textId="77777777" w:rsidR="004C6FE7" w:rsidRPr="004C7BFA" w:rsidRDefault="004C6FE7" w:rsidP="004C6FE7">
      <w:pPr>
        <w:pStyle w:val="KeinLeerraum"/>
        <w:spacing w:before="120" w:after="60"/>
        <w:jc w:val="both"/>
        <w:rPr>
          <w:rFonts w:ascii="Arial" w:hAnsi="Arial" w:cs="Arial"/>
          <w:i/>
          <w:iCs/>
        </w:rPr>
      </w:pPr>
      <w:r w:rsidRPr="004C7BFA">
        <w:rPr>
          <w:rFonts w:ascii="Arial" w:hAnsi="Arial" w:cs="Arial"/>
          <w:i/>
          <w:iCs/>
        </w:rPr>
        <w:t xml:space="preserve">(2) Zur Planung und Durchführung der Maßnahmen nach Absatz 1 hat der Arbeitgeber unter Berücksichtigung der Art der Tätigkeiten und der Zahl der Beschäftigten </w:t>
      </w:r>
    </w:p>
    <w:p w14:paraId="0D93A5F2" w14:textId="77777777" w:rsidR="004C6FE7" w:rsidRPr="004C7BFA" w:rsidRDefault="004C6FE7" w:rsidP="004C6FE7">
      <w:pPr>
        <w:pStyle w:val="KeinLeerraum"/>
        <w:spacing w:before="120" w:after="60"/>
        <w:rPr>
          <w:rFonts w:ascii="Arial" w:hAnsi="Arial" w:cs="Arial"/>
          <w:i/>
          <w:iCs/>
        </w:rPr>
      </w:pPr>
      <w:r w:rsidRPr="004C7BFA">
        <w:rPr>
          <w:rFonts w:ascii="Arial" w:hAnsi="Arial" w:cs="Arial"/>
          <w:i/>
          <w:iCs/>
        </w:rPr>
        <w:t xml:space="preserve">1.  für eine geeignete Organisation zu sorgen und die erforderlichen Mittel bereitzustellen </w:t>
      </w:r>
    </w:p>
    <w:p w14:paraId="7451E2FE" w14:textId="77777777" w:rsidR="004C6FE7" w:rsidRPr="004C7BFA" w:rsidRDefault="004C6FE7" w:rsidP="004C6FE7">
      <w:pPr>
        <w:pStyle w:val="KeinLeerraum"/>
        <w:spacing w:before="60" w:after="60"/>
        <w:rPr>
          <w:rFonts w:ascii="Arial" w:hAnsi="Arial" w:cs="Arial"/>
          <w:i/>
          <w:iCs/>
        </w:rPr>
      </w:pPr>
      <w:r w:rsidRPr="004C7BFA">
        <w:rPr>
          <w:rFonts w:ascii="Arial" w:hAnsi="Arial" w:cs="Arial"/>
          <w:i/>
          <w:iCs/>
        </w:rPr>
        <w:t>[…]</w:t>
      </w:r>
    </w:p>
    <w:p w14:paraId="047E1F51" w14:textId="77777777" w:rsidR="004C6FE7" w:rsidRPr="00C0186E" w:rsidRDefault="004C6FE7" w:rsidP="004C6FE7">
      <w:pPr>
        <w:pStyle w:val="KeinLeerraum"/>
        <w:spacing w:before="60" w:after="60"/>
        <w:rPr>
          <w:rFonts w:ascii="Arial" w:hAnsi="Arial" w:cs="Arial"/>
        </w:rPr>
      </w:pPr>
    </w:p>
    <w:p w14:paraId="75840F69" w14:textId="77777777" w:rsidR="004C6FE7" w:rsidRPr="00C0186E" w:rsidRDefault="004C6FE7" w:rsidP="004C6FE7">
      <w:pPr>
        <w:pStyle w:val="KeinLeerraum"/>
        <w:spacing w:before="60" w:after="60"/>
        <w:jc w:val="both"/>
        <w:rPr>
          <w:rFonts w:ascii="Arial" w:hAnsi="Arial" w:cs="Arial"/>
        </w:rPr>
      </w:pPr>
      <w:r w:rsidRPr="00C0186E">
        <w:rPr>
          <w:rFonts w:ascii="Arial" w:hAnsi="Arial" w:cs="Arial"/>
        </w:rPr>
        <w:t>Aus dem vorgenannten Grund und der sehr allgemeinen Aussage von Gesetzestexten hat der Gesetzgeber weitere Verordnungen speziell für die Gestaltung und den Betrieb von Arbeitsstätten (ArbStättV) sowie für die Verwendung von Arbeitsmitteln (BetrSichV) als konkretisierende Ausführungen zum ArbSchG zu diesen speziellen Anwendungsbereichen herausgegeben.</w:t>
      </w:r>
    </w:p>
    <w:p w14:paraId="57048C74" w14:textId="77777777" w:rsidR="004C6FE7" w:rsidRDefault="004C6FE7" w:rsidP="004C6FE7">
      <w:pPr>
        <w:pStyle w:val="Titel"/>
        <w:rPr>
          <w:rFonts w:ascii="Arial" w:hAnsi="Arial" w:cs="Arial"/>
          <w:sz w:val="22"/>
          <w:szCs w:val="22"/>
        </w:rPr>
      </w:pPr>
    </w:p>
    <w:p w14:paraId="298385B4" w14:textId="772B6668" w:rsidR="004C6FE7" w:rsidRPr="004C7BFA" w:rsidRDefault="004C6FE7" w:rsidP="004C6FE7">
      <w:pPr>
        <w:pStyle w:val="KeinLeerraum"/>
        <w:spacing w:before="60" w:after="60"/>
        <w:jc w:val="both"/>
        <w:rPr>
          <w:rFonts w:ascii="Arial" w:hAnsi="Arial" w:cs="Arial"/>
          <w:b/>
          <w:bCs/>
        </w:rPr>
      </w:pPr>
      <w:r w:rsidRPr="004C7BFA">
        <w:rPr>
          <w:rFonts w:ascii="Arial" w:hAnsi="Arial" w:cs="Arial"/>
          <w:b/>
          <w:bCs/>
        </w:rPr>
        <w:t>Arbeitsstättenverordnung – ArbStättV</w:t>
      </w:r>
    </w:p>
    <w:p w14:paraId="5CBE1FC5" w14:textId="29552DAE" w:rsidR="004C7BFA" w:rsidRPr="00C0186E" w:rsidRDefault="004C6FE7" w:rsidP="004C6FE7">
      <w:pPr>
        <w:jc w:val="both"/>
        <w:rPr>
          <w:sz w:val="22"/>
          <w:szCs w:val="22"/>
        </w:rPr>
      </w:pPr>
      <w:r w:rsidRPr="00C0186E">
        <w:rPr>
          <w:sz w:val="22"/>
          <w:szCs w:val="22"/>
        </w:rPr>
        <w:t>In der ArbStättV hat der Gesetzgeber bereits im § 2 Abs. 9 und 10 die Forderung nach Instandhaltungsmaßnahmen in Arbeitsstätten verankert.</w:t>
      </w:r>
    </w:p>
    <w:p w14:paraId="4C907169" w14:textId="77777777" w:rsidR="004C6FE7" w:rsidRPr="004C7BFA" w:rsidRDefault="004C6FE7" w:rsidP="004C6FE7">
      <w:pPr>
        <w:spacing w:before="120"/>
        <w:jc w:val="both"/>
        <w:rPr>
          <w:i/>
          <w:iCs/>
          <w:sz w:val="22"/>
          <w:szCs w:val="22"/>
        </w:rPr>
      </w:pPr>
      <w:r w:rsidRPr="004C7BFA">
        <w:rPr>
          <w:i/>
          <w:iCs/>
          <w:sz w:val="22"/>
          <w:szCs w:val="22"/>
        </w:rPr>
        <w:t>(9) Das Betreiben von Arbeitsstätten umfasst das Benutzen, Instandhalten und Optimieren der Arbeitsstätten sowie die Organisation und Gestaltung der Arbeit einschließlich der Arbeitsabläufe in Arbeitsstätten.</w:t>
      </w:r>
    </w:p>
    <w:p w14:paraId="5C5B9D5D" w14:textId="77777777" w:rsidR="004C6FE7" w:rsidRPr="004C7BFA" w:rsidRDefault="004C6FE7" w:rsidP="004C6FE7">
      <w:pPr>
        <w:spacing w:before="120"/>
        <w:jc w:val="both"/>
        <w:rPr>
          <w:i/>
          <w:iCs/>
          <w:sz w:val="22"/>
          <w:szCs w:val="22"/>
        </w:rPr>
      </w:pPr>
      <w:r w:rsidRPr="004C7BFA">
        <w:rPr>
          <w:i/>
          <w:iCs/>
          <w:sz w:val="22"/>
          <w:szCs w:val="22"/>
        </w:rPr>
        <w:t>(10) Instandhalten ist die Wartung, Inspektion, Instandsetzung oder Verbesserung der Arbeitsstätten zum Erhalt des baulichen und technischen Zustandes.</w:t>
      </w:r>
    </w:p>
    <w:p w14:paraId="387E8AEF" w14:textId="77777777" w:rsidR="004C6FE7" w:rsidRPr="00C0186E" w:rsidRDefault="004C6FE7" w:rsidP="004C6FE7">
      <w:pPr>
        <w:jc w:val="both"/>
        <w:rPr>
          <w:sz w:val="22"/>
          <w:szCs w:val="22"/>
        </w:rPr>
      </w:pPr>
    </w:p>
    <w:p w14:paraId="2E581F3E" w14:textId="77777777" w:rsidR="004C6FE7" w:rsidRDefault="004C6FE7" w:rsidP="004C6FE7">
      <w:pPr>
        <w:jc w:val="both"/>
        <w:rPr>
          <w:b/>
          <w:sz w:val="22"/>
          <w:szCs w:val="22"/>
        </w:rPr>
      </w:pPr>
      <w:r>
        <w:rPr>
          <w:b/>
          <w:sz w:val="22"/>
          <w:szCs w:val="22"/>
        </w:rPr>
        <w:br w:type="page"/>
      </w:r>
    </w:p>
    <w:p w14:paraId="69A4CB50" w14:textId="020C5651" w:rsidR="004C6FE7" w:rsidRPr="004C7BFA" w:rsidRDefault="004C6FE7" w:rsidP="004C6FE7">
      <w:pPr>
        <w:jc w:val="both"/>
        <w:rPr>
          <w:bCs/>
          <w:sz w:val="22"/>
          <w:szCs w:val="22"/>
        </w:rPr>
      </w:pPr>
      <w:r w:rsidRPr="004C7BFA">
        <w:rPr>
          <w:bCs/>
          <w:sz w:val="22"/>
          <w:szCs w:val="22"/>
        </w:rPr>
        <w:lastRenderedPageBreak/>
        <w:t>Noch deutlicher formuliert die ArbStättV das Thema Instandhaltung im § 4 Abs. 1</w:t>
      </w:r>
    </w:p>
    <w:p w14:paraId="7218A9C1" w14:textId="77777777" w:rsidR="004C6FE7" w:rsidRPr="004C7BFA" w:rsidRDefault="004C6FE7" w:rsidP="004C6FE7">
      <w:pPr>
        <w:spacing w:before="120"/>
        <w:jc w:val="both"/>
        <w:rPr>
          <w:i/>
          <w:iCs/>
          <w:sz w:val="22"/>
          <w:szCs w:val="22"/>
        </w:rPr>
      </w:pPr>
      <w:r w:rsidRPr="004C7BFA">
        <w:rPr>
          <w:i/>
          <w:iCs/>
          <w:sz w:val="22"/>
          <w:szCs w:val="22"/>
        </w:rPr>
        <w:t xml:space="preserve">(1) Der Arbeitgeber hat die Arbeitsstätte instand zu halten und dafür zu sorgen, dass festgestellte Mängel </w:t>
      </w:r>
      <w:r w:rsidRPr="004C7BFA">
        <w:rPr>
          <w:i/>
          <w:iCs/>
          <w:sz w:val="22"/>
          <w:szCs w:val="22"/>
          <w:u w:val="single"/>
        </w:rPr>
        <w:t>unverzüglich</w:t>
      </w:r>
      <w:r w:rsidRPr="004C7BFA">
        <w:rPr>
          <w:i/>
          <w:iCs/>
          <w:sz w:val="22"/>
          <w:szCs w:val="22"/>
        </w:rPr>
        <w:t xml:space="preserve"> beseitigt werden. Können Mängel, mit denen eine unmittelbare erhebliche Gefahr verbunden ist, </w:t>
      </w:r>
      <w:r w:rsidRPr="004C7BFA">
        <w:rPr>
          <w:i/>
          <w:iCs/>
          <w:sz w:val="22"/>
          <w:szCs w:val="22"/>
          <w:u w:val="single"/>
        </w:rPr>
        <w:t>nicht sofort</w:t>
      </w:r>
      <w:r w:rsidRPr="004C7BFA">
        <w:rPr>
          <w:i/>
          <w:iCs/>
          <w:sz w:val="22"/>
          <w:szCs w:val="22"/>
        </w:rPr>
        <w:t xml:space="preserve"> beseitigt werden, hat er dafür zu sorgen, dass die gefährdeten Beschäftigten ihre Tätigkeit unverzüglich einstellen.</w:t>
      </w:r>
    </w:p>
    <w:p w14:paraId="37354E52" w14:textId="77777777" w:rsidR="004C6FE7" w:rsidRPr="004C6FE7" w:rsidRDefault="004C6FE7" w:rsidP="004C6FE7">
      <w:pPr>
        <w:jc w:val="both"/>
        <w:rPr>
          <w:sz w:val="22"/>
          <w:szCs w:val="22"/>
        </w:rPr>
      </w:pPr>
    </w:p>
    <w:p w14:paraId="130A6759" w14:textId="04D5A9AD" w:rsidR="004C6FE7" w:rsidRDefault="004C6FE7" w:rsidP="004C6FE7">
      <w:pPr>
        <w:jc w:val="both"/>
        <w:rPr>
          <w:sz w:val="22"/>
          <w:szCs w:val="22"/>
        </w:rPr>
      </w:pPr>
      <w:r w:rsidRPr="004C6FE7">
        <w:rPr>
          <w:sz w:val="22"/>
          <w:szCs w:val="22"/>
        </w:rPr>
        <w:t xml:space="preserve">Auch das Thema </w:t>
      </w:r>
      <w:r w:rsidRPr="004C6FE7">
        <w:rPr>
          <w:b/>
          <w:bCs/>
          <w:sz w:val="22"/>
          <w:szCs w:val="22"/>
        </w:rPr>
        <w:t>Unterweisung der Beschäftigten</w:t>
      </w:r>
      <w:r w:rsidRPr="004C6FE7">
        <w:rPr>
          <w:sz w:val="22"/>
          <w:szCs w:val="22"/>
        </w:rPr>
        <w:t xml:space="preserve"> ist gem. ArbStättV § 6 gefordert.</w:t>
      </w:r>
    </w:p>
    <w:p w14:paraId="13DB14E9" w14:textId="77777777" w:rsidR="004C7BFA" w:rsidRPr="004C6FE7" w:rsidRDefault="004C7BFA" w:rsidP="004C6FE7">
      <w:pPr>
        <w:jc w:val="both"/>
        <w:rPr>
          <w:sz w:val="22"/>
          <w:szCs w:val="22"/>
        </w:rPr>
      </w:pPr>
    </w:p>
    <w:p w14:paraId="112B86B8" w14:textId="77777777" w:rsidR="004C6FE7" w:rsidRPr="004C7BFA" w:rsidRDefault="004C6FE7" w:rsidP="004C6FE7">
      <w:pPr>
        <w:spacing w:after="120"/>
        <w:jc w:val="both"/>
        <w:rPr>
          <w:i/>
          <w:iCs/>
          <w:sz w:val="22"/>
          <w:szCs w:val="22"/>
        </w:rPr>
      </w:pPr>
      <w:r w:rsidRPr="004C7BFA">
        <w:rPr>
          <w:i/>
          <w:iCs/>
          <w:sz w:val="22"/>
          <w:szCs w:val="22"/>
        </w:rPr>
        <w:t>(1) Der Arbeitgeber hat den Beschäftigten ausreichende und angemessene Informationen anhand der Gefährdungsbeurteilung in einer für den Beschäftigen verständlichen Form und Sprache zur Verfügung zu stellen über</w:t>
      </w:r>
    </w:p>
    <w:p w14:paraId="4DDBFBF6" w14:textId="77777777" w:rsidR="004C6FE7" w:rsidRPr="004C7BFA" w:rsidRDefault="004C6FE7" w:rsidP="004C6FE7">
      <w:pPr>
        <w:pStyle w:val="Listenabsatz"/>
        <w:numPr>
          <w:ilvl w:val="0"/>
          <w:numId w:val="16"/>
        </w:numPr>
        <w:spacing w:after="120"/>
        <w:ind w:left="714" w:hanging="357"/>
        <w:contextualSpacing w:val="0"/>
        <w:rPr>
          <w:i/>
          <w:iCs/>
          <w:sz w:val="22"/>
          <w:szCs w:val="22"/>
        </w:rPr>
      </w:pPr>
      <w:r w:rsidRPr="004C7BFA">
        <w:rPr>
          <w:i/>
          <w:iCs/>
          <w:sz w:val="22"/>
          <w:szCs w:val="22"/>
        </w:rPr>
        <w:t>das bestimmungsgemäße Betreiben der Arbeitsstätte,</w:t>
      </w:r>
    </w:p>
    <w:p w14:paraId="0B5DF246" w14:textId="77777777" w:rsidR="004C6FE7" w:rsidRPr="004C7BFA" w:rsidRDefault="004C6FE7" w:rsidP="004C6FE7">
      <w:pPr>
        <w:pStyle w:val="Listenabsatz"/>
        <w:numPr>
          <w:ilvl w:val="0"/>
          <w:numId w:val="16"/>
        </w:numPr>
        <w:spacing w:after="120"/>
        <w:ind w:left="714" w:hanging="357"/>
        <w:contextualSpacing w:val="0"/>
        <w:rPr>
          <w:i/>
          <w:iCs/>
          <w:sz w:val="22"/>
          <w:szCs w:val="22"/>
        </w:rPr>
      </w:pPr>
      <w:r w:rsidRPr="004C7BFA">
        <w:rPr>
          <w:i/>
          <w:iCs/>
          <w:sz w:val="22"/>
          <w:szCs w:val="22"/>
        </w:rPr>
        <w:t>alles gesundheits- und sicherheitsrelevanten Fragen im Zusammenhang mit ihrer Tätigkeit,</w:t>
      </w:r>
    </w:p>
    <w:p w14:paraId="2E241C1B" w14:textId="77777777" w:rsidR="004C6FE7" w:rsidRPr="004C7BFA" w:rsidRDefault="004C6FE7" w:rsidP="004C6FE7">
      <w:pPr>
        <w:pStyle w:val="Listenabsatz"/>
        <w:numPr>
          <w:ilvl w:val="0"/>
          <w:numId w:val="16"/>
        </w:numPr>
        <w:spacing w:after="120"/>
        <w:ind w:left="714" w:hanging="357"/>
        <w:contextualSpacing w:val="0"/>
        <w:rPr>
          <w:i/>
          <w:iCs/>
          <w:sz w:val="22"/>
          <w:szCs w:val="22"/>
        </w:rPr>
      </w:pPr>
      <w:r w:rsidRPr="004C7BFA">
        <w:rPr>
          <w:i/>
          <w:iCs/>
          <w:sz w:val="22"/>
          <w:szCs w:val="22"/>
        </w:rPr>
        <w:t>Maßnahmen, die zur Gewährleistung der Sicherheit und zum Schutz der Gesundheit der Beschäftigten durchgeführt werden müssen, und</w:t>
      </w:r>
    </w:p>
    <w:p w14:paraId="3A5705E2" w14:textId="77777777" w:rsidR="004C6FE7" w:rsidRPr="004C7BFA" w:rsidRDefault="004C6FE7" w:rsidP="004C6FE7">
      <w:pPr>
        <w:pStyle w:val="Listenabsatz"/>
        <w:numPr>
          <w:ilvl w:val="0"/>
          <w:numId w:val="16"/>
        </w:numPr>
        <w:spacing w:after="120"/>
        <w:ind w:left="714" w:hanging="357"/>
        <w:contextualSpacing w:val="0"/>
        <w:rPr>
          <w:i/>
          <w:iCs/>
          <w:sz w:val="22"/>
          <w:szCs w:val="22"/>
        </w:rPr>
      </w:pPr>
      <w:r w:rsidRPr="004C7BFA">
        <w:rPr>
          <w:i/>
          <w:iCs/>
          <w:sz w:val="22"/>
          <w:szCs w:val="22"/>
        </w:rPr>
        <w:t>Arbeitsplatzspezifische Maßnahmen, insbesondere bei Tätigkeiten auf Baustellen oder an Bildschirmgeräten</w:t>
      </w:r>
    </w:p>
    <w:p w14:paraId="37899348" w14:textId="77777777" w:rsidR="004C6FE7" w:rsidRPr="004C7BFA" w:rsidRDefault="004C6FE7" w:rsidP="004C6FE7">
      <w:pPr>
        <w:rPr>
          <w:i/>
          <w:iCs/>
          <w:sz w:val="22"/>
          <w:szCs w:val="22"/>
        </w:rPr>
      </w:pPr>
      <w:r w:rsidRPr="004C7BFA">
        <w:rPr>
          <w:i/>
          <w:iCs/>
          <w:sz w:val="22"/>
          <w:szCs w:val="22"/>
        </w:rPr>
        <w:t>und sie anhand dieser Information zu unterweisen.</w:t>
      </w:r>
    </w:p>
    <w:p w14:paraId="33E40560" w14:textId="77777777" w:rsidR="004C6FE7" w:rsidRPr="00C0186E" w:rsidRDefault="004C6FE7" w:rsidP="004C6FE7">
      <w:pPr>
        <w:rPr>
          <w:sz w:val="22"/>
          <w:szCs w:val="22"/>
        </w:rPr>
      </w:pPr>
    </w:p>
    <w:p w14:paraId="4DAF1402" w14:textId="77777777" w:rsidR="004C6FE7" w:rsidRPr="00C0186E" w:rsidRDefault="004C6FE7" w:rsidP="004C6FE7">
      <w:pPr>
        <w:rPr>
          <w:sz w:val="22"/>
          <w:szCs w:val="22"/>
        </w:rPr>
      </w:pPr>
      <w:r w:rsidRPr="00C0186E">
        <w:rPr>
          <w:sz w:val="22"/>
          <w:szCs w:val="22"/>
        </w:rPr>
        <w:t>Als Konkretisierung für die Verwendung von Arbeitsmitteln gibt es eine weitere Verordnung des Gesetzgebers für den Arbeitgeber. Bei der Einhaltung der Verordnung ist für den Anwendungsbereich der Verordnung die Erfüllung des ArbSchG als gegeben zu erachten.</w:t>
      </w:r>
    </w:p>
    <w:p w14:paraId="509F6C4A" w14:textId="77777777" w:rsidR="004C6FE7" w:rsidRPr="00C0186E" w:rsidRDefault="004C6FE7" w:rsidP="004C6FE7">
      <w:pPr>
        <w:rPr>
          <w:sz w:val="22"/>
          <w:szCs w:val="22"/>
        </w:rPr>
      </w:pPr>
    </w:p>
    <w:p w14:paraId="0F0A2B60" w14:textId="77777777" w:rsidR="004C6FE7" w:rsidRPr="00C0186E" w:rsidRDefault="004C6FE7" w:rsidP="004C6FE7">
      <w:pPr>
        <w:rPr>
          <w:sz w:val="22"/>
          <w:szCs w:val="22"/>
        </w:rPr>
      </w:pPr>
      <w:r w:rsidRPr="00C0186E">
        <w:rPr>
          <w:sz w:val="22"/>
          <w:szCs w:val="22"/>
        </w:rPr>
        <w:t>Vorab soll hier noch einmal kurz der sehr weitreichende Begriff „Arbeitsmittel“ definiert werden.</w:t>
      </w:r>
    </w:p>
    <w:p w14:paraId="142EC936" w14:textId="77777777" w:rsidR="004C6FE7" w:rsidRPr="004C7BFA" w:rsidRDefault="004C6FE7" w:rsidP="004C6FE7">
      <w:pPr>
        <w:spacing w:before="120"/>
        <w:rPr>
          <w:i/>
          <w:iCs/>
          <w:sz w:val="22"/>
          <w:szCs w:val="22"/>
        </w:rPr>
      </w:pPr>
      <w:r w:rsidRPr="004C7BFA">
        <w:rPr>
          <w:i/>
          <w:iCs/>
          <w:sz w:val="22"/>
          <w:szCs w:val="22"/>
        </w:rPr>
        <w:t>(1) Arbeitsmittel sind Werkzeuge, Geräte, Maschinen oder Anlagen, die für die Arbeit verwendet werden, sowie überwachungsbedürftige Anlagen.</w:t>
      </w:r>
    </w:p>
    <w:p w14:paraId="4DB9AD29" w14:textId="77777777" w:rsidR="004C6FE7" w:rsidRDefault="004C6FE7" w:rsidP="004C6FE7">
      <w:pPr>
        <w:pStyle w:val="Titel"/>
        <w:rPr>
          <w:rFonts w:ascii="Arial" w:hAnsi="Arial" w:cs="Arial"/>
          <w:sz w:val="22"/>
          <w:szCs w:val="22"/>
        </w:rPr>
      </w:pPr>
    </w:p>
    <w:p w14:paraId="0A2C83F6" w14:textId="56BDF7EC" w:rsidR="004C6FE7" w:rsidRPr="004C7BFA" w:rsidRDefault="004C6FE7" w:rsidP="004C7BFA">
      <w:pPr>
        <w:pStyle w:val="KeinLeerraum"/>
        <w:spacing w:before="60" w:after="60"/>
        <w:jc w:val="both"/>
        <w:rPr>
          <w:rFonts w:ascii="Arial" w:hAnsi="Arial" w:cs="Arial"/>
          <w:b/>
          <w:bCs/>
        </w:rPr>
      </w:pPr>
      <w:r w:rsidRPr="004C7BFA">
        <w:rPr>
          <w:rFonts w:ascii="Arial" w:hAnsi="Arial" w:cs="Arial"/>
          <w:b/>
          <w:bCs/>
        </w:rPr>
        <w:t>Betriebssicherheitsverordnung – BetrSichV</w:t>
      </w:r>
    </w:p>
    <w:p w14:paraId="68CF3388" w14:textId="77777777" w:rsidR="004C6FE7" w:rsidRPr="004C7BFA" w:rsidRDefault="004C6FE7" w:rsidP="004C6FE7">
      <w:pPr>
        <w:jc w:val="both"/>
        <w:rPr>
          <w:sz w:val="22"/>
          <w:szCs w:val="22"/>
        </w:rPr>
      </w:pPr>
      <w:r w:rsidRPr="004C7BFA">
        <w:rPr>
          <w:sz w:val="22"/>
          <w:szCs w:val="22"/>
        </w:rPr>
        <w:t xml:space="preserve">In der BetrSichV hat der Gesetzgeber der Instandhaltung von Arbeitsmitteln einen eigenen Paragraphen gewidmet, den § 10 mit dem Titel „Instandhaltung und Änderung von Arbeitsmitteln“. </w:t>
      </w:r>
    </w:p>
    <w:p w14:paraId="6FF8C6F7" w14:textId="77777777" w:rsidR="004C6FE7" w:rsidRPr="004C7BFA" w:rsidRDefault="004C6FE7" w:rsidP="004C6FE7">
      <w:pPr>
        <w:jc w:val="both"/>
        <w:rPr>
          <w:sz w:val="22"/>
          <w:szCs w:val="22"/>
        </w:rPr>
      </w:pPr>
    </w:p>
    <w:p w14:paraId="4B075865" w14:textId="483EB93D" w:rsidR="004C7BFA" w:rsidRPr="004C7BFA" w:rsidRDefault="004C6FE7" w:rsidP="004C6FE7">
      <w:pPr>
        <w:jc w:val="both"/>
        <w:rPr>
          <w:sz w:val="22"/>
          <w:szCs w:val="22"/>
        </w:rPr>
      </w:pPr>
      <w:r w:rsidRPr="004C7BFA">
        <w:rPr>
          <w:sz w:val="22"/>
          <w:szCs w:val="22"/>
        </w:rPr>
        <w:t>Hier die wichtigsten Absätze zur Instandhaltung:</w:t>
      </w:r>
    </w:p>
    <w:p w14:paraId="4629AF81" w14:textId="77777777" w:rsidR="004C7BFA" w:rsidRDefault="004C6FE7" w:rsidP="004C7BFA">
      <w:pPr>
        <w:spacing w:before="120"/>
        <w:jc w:val="both"/>
        <w:rPr>
          <w:i/>
          <w:iCs/>
          <w:sz w:val="22"/>
          <w:szCs w:val="22"/>
        </w:rPr>
      </w:pPr>
      <w:r w:rsidRPr="004C7BFA">
        <w:rPr>
          <w:i/>
          <w:iCs/>
          <w:sz w:val="22"/>
          <w:szCs w:val="22"/>
        </w:rPr>
        <w:t>(1) Der Arbeitgeber hat Instandhaltungsmaßnahmen zu treffen, damit die Arbeitsmittel während der gesamten Verwendungsdauer den für Sie geltenden Sicherheits- und Gesundheitsschutzanforderungen entsprechen und in einem sicheren Zustand erhalten werden. […] notwendige Instandhaltungsmaßnahmen nach Satz 1 sind unverzüglich durchzuführen und die dabei erforderlichen Schutzmaßnahmen zu treffen.</w:t>
      </w:r>
    </w:p>
    <w:p w14:paraId="2EB37C60" w14:textId="77777777" w:rsidR="004C7BFA" w:rsidRDefault="004C6FE7" w:rsidP="004C7BFA">
      <w:pPr>
        <w:spacing w:before="120"/>
        <w:jc w:val="both"/>
        <w:rPr>
          <w:i/>
          <w:iCs/>
          <w:sz w:val="22"/>
          <w:szCs w:val="22"/>
        </w:rPr>
      </w:pPr>
      <w:r w:rsidRPr="004C7BFA">
        <w:rPr>
          <w:i/>
          <w:iCs/>
          <w:sz w:val="22"/>
          <w:szCs w:val="22"/>
        </w:rPr>
        <w:t>(2) Der Arbeitgeber hat Instandhaltungsmaßnahmen auf der Grundlage einer Gefährdungsbeurteilung sicher durchführen zu lassen und dabei die Betriebsanleitung des Herstellers zu berücksichtigen. Instandhaltungsmaßnahmen dürfen nur von fachkundigen, beauftragten und unterwiesenen Beschäftigten oder von sonstigen für die Durchführung der Instandhaltungsarbeiten geeigneten Auftragnehmern mit vergleichbarer Qualifikation durchgeführt werden.</w:t>
      </w:r>
    </w:p>
    <w:p w14:paraId="3D698FEF" w14:textId="77777777" w:rsidR="004C7BFA" w:rsidRPr="004C7BFA" w:rsidRDefault="004C6FE7" w:rsidP="004C7BFA">
      <w:pPr>
        <w:spacing w:before="120"/>
        <w:jc w:val="both"/>
        <w:rPr>
          <w:i/>
          <w:iCs/>
          <w:sz w:val="22"/>
          <w:szCs w:val="22"/>
        </w:rPr>
      </w:pPr>
      <w:r w:rsidRPr="004C7BFA">
        <w:rPr>
          <w:i/>
          <w:iCs/>
          <w:sz w:val="22"/>
          <w:szCs w:val="22"/>
        </w:rPr>
        <w:lastRenderedPageBreak/>
        <w:t>(3) Der Arbeitgeber hat alle erforderlichen Maßnahmen zu treffen, damit Instandhaltungsarbeiten sicher durchgeführt werden können. […]</w:t>
      </w:r>
    </w:p>
    <w:p w14:paraId="3D9CEE43" w14:textId="77777777" w:rsidR="004C7BFA" w:rsidRPr="004C7BFA" w:rsidRDefault="004C6FE7" w:rsidP="004C7BFA">
      <w:pPr>
        <w:spacing w:before="120"/>
        <w:jc w:val="both"/>
        <w:rPr>
          <w:i/>
          <w:iCs/>
          <w:sz w:val="22"/>
          <w:szCs w:val="22"/>
        </w:rPr>
      </w:pPr>
      <w:r w:rsidRPr="004C7BFA">
        <w:rPr>
          <w:i/>
          <w:iCs/>
          <w:sz w:val="22"/>
          <w:szCs w:val="22"/>
        </w:rPr>
        <w:t>(4) Werden bei Instandhaltungsmaßnahmen an Arbeitsmitteln die für den Normalbetrieb getroffenen technischen Schutzmaßnahmen ganz oder teilweise außer Betrieb gesetzt oder müssen solche Arbeiten unter Gefährdung durch Energie durchgeführt werden, so ist die Sicherheit der Beschäftigten während der Dauer dieser Arbeiten durch andere geeignete Maßnahmen zu gewährleisten.</w:t>
      </w:r>
    </w:p>
    <w:p w14:paraId="13B63F9A" w14:textId="0E110296" w:rsidR="004C6FE7" w:rsidRPr="004C7BFA" w:rsidRDefault="004C6FE7" w:rsidP="004C7BFA">
      <w:pPr>
        <w:spacing w:before="120"/>
        <w:jc w:val="both"/>
        <w:rPr>
          <w:i/>
          <w:iCs/>
          <w:sz w:val="22"/>
          <w:szCs w:val="22"/>
        </w:rPr>
      </w:pPr>
      <w:r w:rsidRPr="004C7BFA">
        <w:rPr>
          <w:i/>
          <w:iCs/>
          <w:sz w:val="22"/>
          <w:szCs w:val="22"/>
        </w:rPr>
        <w:t xml:space="preserve">(5) Werden Änderungen an Arbeitsmitteln durchgeführt, gelten die Absätze 1 bis 3 entsprechend. Der Arbeitgeber hat sicherzustellen, dass die geänderten Arbeitsmittel die Sicherheits- und Gesundheitsschutzanforderungen nach § 5 Absatz 1 und 2 erfüllen. Bei Änderungen von Arbeitsmitteln hat der Arbeitgeber zu beurteilen, </w:t>
      </w:r>
      <w:proofErr w:type="spellStart"/>
      <w:r w:rsidRPr="004C7BFA">
        <w:rPr>
          <w:i/>
          <w:iCs/>
          <w:sz w:val="22"/>
          <w:szCs w:val="22"/>
        </w:rPr>
        <w:t>obes</w:t>
      </w:r>
      <w:proofErr w:type="spellEnd"/>
      <w:r w:rsidRPr="004C7BFA">
        <w:rPr>
          <w:i/>
          <w:iCs/>
          <w:sz w:val="22"/>
          <w:szCs w:val="22"/>
        </w:rPr>
        <w:t xml:space="preserve"> sich um prüfpflichtige Änderungen handelt. Er hat auch zu beurteilen, ob er bei</w:t>
      </w:r>
      <w:r w:rsidR="004C7BFA" w:rsidRPr="004C7BFA">
        <w:rPr>
          <w:i/>
          <w:iCs/>
          <w:sz w:val="22"/>
          <w:szCs w:val="22"/>
        </w:rPr>
        <w:t xml:space="preserve"> </w:t>
      </w:r>
      <w:r w:rsidRPr="004C7BFA">
        <w:rPr>
          <w:i/>
          <w:iCs/>
          <w:sz w:val="22"/>
          <w:szCs w:val="22"/>
        </w:rPr>
        <w:t>den Änderungen von Arbeitsmitteln Herstellerpflichten zu beachten hat, die sich aus</w:t>
      </w:r>
      <w:r w:rsidR="004C7BFA" w:rsidRPr="004C7BFA">
        <w:rPr>
          <w:i/>
          <w:iCs/>
          <w:sz w:val="22"/>
          <w:szCs w:val="22"/>
        </w:rPr>
        <w:t xml:space="preserve"> </w:t>
      </w:r>
      <w:r w:rsidRPr="004C7BFA">
        <w:rPr>
          <w:i/>
          <w:iCs/>
          <w:sz w:val="22"/>
          <w:szCs w:val="22"/>
        </w:rPr>
        <w:t>anderen Rechtsvorschriften, insbesondere dem Produktsicherheitsgesetz oder einer Verordnung nach § 8 Absatz 1 des Produktsicherheitsgesetzes ergeben.</w:t>
      </w:r>
    </w:p>
    <w:p w14:paraId="51B2B8BB" w14:textId="77777777" w:rsidR="004C6FE7" w:rsidRPr="00C0186E" w:rsidRDefault="004C6FE7" w:rsidP="004C6FE7">
      <w:pPr>
        <w:rPr>
          <w:sz w:val="22"/>
          <w:szCs w:val="22"/>
        </w:rPr>
      </w:pPr>
    </w:p>
    <w:p w14:paraId="5065CA34" w14:textId="10C6B266" w:rsidR="004C6FE7" w:rsidRPr="004C7BFA" w:rsidRDefault="004C6FE7" w:rsidP="004C6FE7">
      <w:pPr>
        <w:spacing w:after="60"/>
        <w:rPr>
          <w:sz w:val="22"/>
          <w:szCs w:val="22"/>
          <w:u w:val="single"/>
        </w:rPr>
      </w:pPr>
      <w:r w:rsidRPr="004C7BFA">
        <w:rPr>
          <w:sz w:val="22"/>
          <w:szCs w:val="22"/>
          <w:u w:val="single"/>
        </w:rPr>
        <w:t>Begriffsdefinition</w:t>
      </w:r>
      <w:r w:rsidR="004C7BFA" w:rsidRPr="004C7BFA">
        <w:rPr>
          <w:sz w:val="22"/>
          <w:szCs w:val="22"/>
          <w:u w:val="single"/>
        </w:rPr>
        <w:t>:</w:t>
      </w:r>
    </w:p>
    <w:p w14:paraId="00C2C671" w14:textId="4768555F" w:rsidR="004C6FE7" w:rsidRPr="004C7BFA" w:rsidRDefault="004C6FE7" w:rsidP="004C7BFA">
      <w:pPr>
        <w:pStyle w:val="Listenabsatz"/>
        <w:numPr>
          <w:ilvl w:val="0"/>
          <w:numId w:val="17"/>
        </w:numPr>
        <w:contextualSpacing w:val="0"/>
        <w:jc w:val="both"/>
        <w:rPr>
          <w:sz w:val="22"/>
          <w:szCs w:val="22"/>
        </w:rPr>
      </w:pPr>
      <w:r w:rsidRPr="004C6FE7">
        <w:rPr>
          <w:sz w:val="22"/>
          <w:szCs w:val="22"/>
        </w:rPr>
        <w:t>„</w:t>
      </w:r>
      <w:r w:rsidRPr="004C6FE7">
        <w:rPr>
          <w:sz w:val="22"/>
          <w:szCs w:val="22"/>
          <w:u w:val="single"/>
        </w:rPr>
        <w:t>Unverzüglich</w:t>
      </w:r>
      <w:r w:rsidRPr="004C6FE7">
        <w:rPr>
          <w:sz w:val="22"/>
          <w:szCs w:val="22"/>
        </w:rPr>
        <w:t>“ ist im § 121 Absatz 1 Satz 1 des Bürgerlichen Gesetzbuches (BGB) legal definiert (d. h. die Definition erfolgt in gesetzlicher Form) und meint „ohne schuldhaftes Zögern“. Allerdings gilt dieser unbestimmte Rechtsbegriff für das gesamte deutsche Recht, wird dabei jedoch jeweils von den etwaigen Umständen des Einzelfalls abhängig gemacht</w:t>
      </w:r>
    </w:p>
    <w:p w14:paraId="4B43946C" w14:textId="77777777" w:rsidR="004C6FE7" w:rsidRPr="004C6FE7" w:rsidRDefault="004C6FE7" w:rsidP="004C6FE7">
      <w:pPr>
        <w:pStyle w:val="Listenabsatz"/>
        <w:numPr>
          <w:ilvl w:val="0"/>
          <w:numId w:val="17"/>
        </w:numPr>
        <w:contextualSpacing w:val="0"/>
        <w:jc w:val="both"/>
        <w:rPr>
          <w:sz w:val="22"/>
          <w:szCs w:val="22"/>
        </w:rPr>
      </w:pPr>
      <w:r w:rsidRPr="004C6FE7">
        <w:rPr>
          <w:sz w:val="22"/>
          <w:szCs w:val="22"/>
        </w:rPr>
        <w:t>„</w:t>
      </w:r>
      <w:r w:rsidRPr="004C6FE7">
        <w:rPr>
          <w:sz w:val="22"/>
          <w:szCs w:val="22"/>
          <w:u w:val="single"/>
        </w:rPr>
        <w:t>Fachkundig</w:t>
      </w:r>
      <w:r w:rsidRPr="004C6FE7">
        <w:rPr>
          <w:sz w:val="22"/>
          <w:szCs w:val="22"/>
        </w:rPr>
        <w:t>“ ist gem. BetrSichV § 2 (5) wer zur Ausübung einer in dieser Verordnung bestimmten Aufgabe über die erforderlichen Fachkenntnisse verfügt. Die Anforderungen an die Fachkunde sind abhängig von der jeweiligen Art der Aufgabe. Zu den Anforderungen zählen eine entsprechende Berufsausbildung, Berufserfahrung oder eine zeitnah ausgeübte entsprechende berufliche Tätigkeit. Die Fachkenntnisse sind durch Teilnahme an Schulungen auf aktuellem Stand zu halten.</w:t>
      </w:r>
    </w:p>
    <w:p w14:paraId="7AA1D5FD" w14:textId="77777777" w:rsidR="004C6FE7" w:rsidRPr="00C0186E" w:rsidRDefault="004C6FE7" w:rsidP="004C6FE7">
      <w:pPr>
        <w:rPr>
          <w:sz w:val="22"/>
          <w:szCs w:val="22"/>
        </w:rPr>
      </w:pPr>
    </w:p>
    <w:p w14:paraId="2D9B3FA6" w14:textId="77777777" w:rsidR="004C6FE7" w:rsidRPr="00C0186E" w:rsidRDefault="004C6FE7" w:rsidP="004C6FE7">
      <w:pPr>
        <w:rPr>
          <w:sz w:val="22"/>
          <w:szCs w:val="22"/>
        </w:rPr>
      </w:pPr>
      <w:r w:rsidRPr="00C0186E">
        <w:rPr>
          <w:sz w:val="22"/>
          <w:szCs w:val="22"/>
        </w:rPr>
        <w:t xml:space="preserve">Hieraus ist leicht zu ersehen, dass </w:t>
      </w:r>
      <w:r w:rsidRPr="00C0186E">
        <w:rPr>
          <w:b/>
          <w:sz w:val="22"/>
          <w:szCs w:val="22"/>
        </w:rPr>
        <w:t>Instandhaltungsmaßnahmen</w:t>
      </w:r>
      <w:r w:rsidRPr="00C0186E">
        <w:rPr>
          <w:sz w:val="22"/>
          <w:szCs w:val="22"/>
        </w:rPr>
        <w:t xml:space="preserve"> für die Sicherheit und Gesundheit von Mitarbeiter bei der Benutzung von Arbeitsmitteln </w:t>
      </w:r>
      <w:r w:rsidRPr="00C0186E">
        <w:rPr>
          <w:b/>
          <w:sz w:val="22"/>
          <w:szCs w:val="22"/>
        </w:rPr>
        <w:t>einen sehr hohen Stellenwert einnehmen</w:t>
      </w:r>
      <w:r w:rsidRPr="00C0186E">
        <w:rPr>
          <w:sz w:val="22"/>
          <w:szCs w:val="22"/>
        </w:rPr>
        <w:t>. Noch deutlicher wird dies in der folgenden amtlichen Begründung zur BetrSichV.</w:t>
      </w:r>
    </w:p>
    <w:p w14:paraId="37E59D25" w14:textId="77777777" w:rsidR="004C6FE7" w:rsidRPr="00C0186E" w:rsidRDefault="004C6FE7" w:rsidP="004C6FE7">
      <w:pPr>
        <w:rPr>
          <w:sz w:val="22"/>
          <w:szCs w:val="22"/>
        </w:rPr>
      </w:pPr>
    </w:p>
    <w:p w14:paraId="7ECA661C" w14:textId="77777777" w:rsidR="004C6FE7" w:rsidRPr="004C7BFA" w:rsidRDefault="004C6FE7" w:rsidP="004C6FE7">
      <w:pPr>
        <w:spacing w:after="60"/>
        <w:rPr>
          <w:b/>
          <w:bCs/>
          <w:sz w:val="22"/>
          <w:szCs w:val="22"/>
        </w:rPr>
      </w:pPr>
      <w:r w:rsidRPr="004C7BFA">
        <w:rPr>
          <w:b/>
          <w:bCs/>
          <w:sz w:val="22"/>
          <w:szCs w:val="22"/>
        </w:rPr>
        <w:t>Amtliche Begründung der Betriebssicherheitsverordnung</w:t>
      </w:r>
    </w:p>
    <w:p w14:paraId="35BC3FED" w14:textId="77777777" w:rsidR="004C6FE7" w:rsidRPr="00C0186E" w:rsidRDefault="004C6FE7" w:rsidP="004C6FE7">
      <w:pPr>
        <w:rPr>
          <w:sz w:val="22"/>
          <w:szCs w:val="22"/>
        </w:rPr>
      </w:pPr>
      <w:r w:rsidRPr="00C0186E">
        <w:rPr>
          <w:sz w:val="22"/>
          <w:szCs w:val="22"/>
        </w:rPr>
        <w:t xml:space="preserve">Hier steht zur </w:t>
      </w:r>
      <w:r w:rsidRPr="00C0186E">
        <w:rPr>
          <w:b/>
          <w:bCs/>
          <w:sz w:val="22"/>
          <w:szCs w:val="22"/>
        </w:rPr>
        <w:t xml:space="preserve">Begriffsbestimmung „Instandhaltung“ </w:t>
      </w:r>
      <w:r w:rsidRPr="00C0186E">
        <w:rPr>
          <w:sz w:val="22"/>
          <w:szCs w:val="22"/>
        </w:rPr>
        <w:t>aus § 2 Abs. 7 der BetrSichV:</w:t>
      </w:r>
    </w:p>
    <w:p w14:paraId="11ED3567" w14:textId="486D5BE7" w:rsidR="004C6FE7" w:rsidRPr="004C7BFA" w:rsidRDefault="004C6FE7" w:rsidP="004C7BFA">
      <w:pPr>
        <w:spacing w:before="120"/>
        <w:jc w:val="both"/>
        <w:rPr>
          <w:i/>
          <w:iCs/>
          <w:sz w:val="22"/>
          <w:szCs w:val="22"/>
        </w:rPr>
      </w:pPr>
      <w:r w:rsidRPr="004C7BFA">
        <w:rPr>
          <w:i/>
          <w:iCs/>
          <w:sz w:val="22"/>
          <w:szCs w:val="22"/>
        </w:rPr>
        <w:t xml:space="preserve">(7) Instandhaltung ist die Gesamtheit aller Maßnahmen zur Erhaltung des sicheren Zustands oder der Rückführung in diesen. Instandhaltung umfasst insbesondere Inspektion, Wartung und Instandsetzung. </w:t>
      </w:r>
    </w:p>
    <w:p w14:paraId="54265CC6" w14:textId="77777777" w:rsidR="004C6FE7" w:rsidRPr="00C0186E" w:rsidRDefault="004C6FE7" w:rsidP="004C6FE7">
      <w:pPr>
        <w:rPr>
          <w:sz w:val="22"/>
          <w:szCs w:val="22"/>
        </w:rPr>
      </w:pPr>
    </w:p>
    <w:p w14:paraId="5EC20626" w14:textId="77777777" w:rsidR="004C6FE7" w:rsidRPr="004C7BFA" w:rsidRDefault="004C6FE7" w:rsidP="004C6FE7">
      <w:pPr>
        <w:spacing w:after="60"/>
        <w:rPr>
          <w:bCs/>
          <w:sz w:val="22"/>
          <w:szCs w:val="22"/>
          <w:u w:val="single"/>
        </w:rPr>
      </w:pPr>
      <w:r w:rsidRPr="004C7BFA">
        <w:rPr>
          <w:bCs/>
          <w:sz w:val="22"/>
          <w:szCs w:val="22"/>
          <w:u w:val="single"/>
        </w:rPr>
        <w:t xml:space="preserve">Erläuterung zu Absatz 7 </w:t>
      </w:r>
    </w:p>
    <w:p w14:paraId="5472C110" w14:textId="77777777" w:rsidR="004C6FE7" w:rsidRPr="00C0186E" w:rsidRDefault="004C6FE7" w:rsidP="004C6FE7">
      <w:pPr>
        <w:rPr>
          <w:sz w:val="22"/>
          <w:szCs w:val="22"/>
        </w:rPr>
      </w:pPr>
      <w:r w:rsidRPr="00C0186E">
        <w:rPr>
          <w:sz w:val="22"/>
          <w:szCs w:val="22"/>
        </w:rPr>
        <w:t>Die Formulierung lehnt sich an die Technische Regel für Betriebssicherheit (</w:t>
      </w:r>
      <w:r w:rsidRPr="00C0186E">
        <w:rPr>
          <w:b/>
          <w:bCs/>
          <w:sz w:val="22"/>
          <w:szCs w:val="22"/>
        </w:rPr>
        <w:t>TRBS 1112</w:t>
      </w:r>
      <w:r w:rsidRPr="00C0186E">
        <w:rPr>
          <w:sz w:val="22"/>
          <w:szCs w:val="22"/>
        </w:rPr>
        <w:t xml:space="preserve">) und an die </w:t>
      </w:r>
      <w:r w:rsidRPr="00C0186E">
        <w:rPr>
          <w:b/>
          <w:bCs/>
          <w:sz w:val="22"/>
          <w:szCs w:val="22"/>
        </w:rPr>
        <w:t xml:space="preserve">DIN 31051 „Grundlagen der Instandhaltung“ </w:t>
      </w:r>
      <w:r w:rsidRPr="00C0186E">
        <w:rPr>
          <w:sz w:val="22"/>
          <w:szCs w:val="22"/>
        </w:rPr>
        <w:t xml:space="preserve">an. </w:t>
      </w:r>
    </w:p>
    <w:p w14:paraId="516553CF" w14:textId="77777777" w:rsidR="004C6FE7" w:rsidRPr="00C0186E" w:rsidRDefault="004C6FE7" w:rsidP="004C6FE7">
      <w:pPr>
        <w:rPr>
          <w:sz w:val="22"/>
          <w:szCs w:val="22"/>
        </w:rPr>
      </w:pPr>
    </w:p>
    <w:p w14:paraId="374D139A" w14:textId="77777777" w:rsidR="004C6FE7" w:rsidRPr="00C0186E" w:rsidRDefault="004C6FE7" w:rsidP="004C6FE7">
      <w:pPr>
        <w:rPr>
          <w:sz w:val="22"/>
          <w:szCs w:val="22"/>
        </w:rPr>
      </w:pPr>
      <w:r w:rsidRPr="00C0186E">
        <w:rPr>
          <w:sz w:val="22"/>
          <w:szCs w:val="22"/>
        </w:rPr>
        <w:t>Weitere Hinweise finden sich auf der Internetseite der europäischen Arbeitsschutzagentur (</w:t>
      </w:r>
      <w:hyperlink r:id="rId10" w:history="1">
        <w:r w:rsidRPr="00C0186E">
          <w:rPr>
            <w:rStyle w:val="Hyperlink"/>
            <w:sz w:val="22"/>
            <w:szCs w:val="22"/>
          </w:rPr>
          <w:t>http://osha.europa.eu/de</w:t>
        </w:r>
      </w:hyperlink>
      <w:r w:rsidRPr="00C0186E">
        <w:rPr>
          <w:sz w:val="22"/>
          <w:szCs w:val="22"/>
        </w:rPr>
        <w:t>).</w:t>
      </w:r>
    </w:p>
    <w:p w14:paraId="22F5C7E6" w14:textId="77777777" w:rsidR="004C6FE7" w:rsidRPr="00C0186E" w:rsidRDefault="004C6FE7" w:rsidP="004C6FE7">
      <w:pPr>
        <w:rPr>
          <w:sz w:val="22"/>
          <w:szCs w:val="22"/>
        </w:rPr>
      </w:pPr>
    </w:p>
    <w:p w14:paraId="205B3BFC" w14:textId="77777777" w:rsidR="004C7BFA" w:rsidRDefault="004C7BFA" w:rsidP="004C6FE7">
      <w:pPr>
        <w:pStyle w:val="KeinLeerraum"/>
        <w:spacing w:before="60" w:after="60"/>
        <w:jc w:val="both"/>
        <w:rPr>
          <w:rFonts w:ascii="Arial" w:hAnsi="Arial" w:cs="Arial"/>
          <w:u w:val="single"/>
        </w:rPr>
      </w:pPr>
      <w:r>
        <w:rPr>
          <w:rFonts w:ascii="Arial" w:hAnsi="Arial" w:cs="Arial"/>
          <w:u w:val="single"/>
        </w:rPr>
        <w:br w:type="page"/>
      </w:r>
    </w:p>
    <w:p w14:paraId="4A028AEF" w14:textId="66F356F1" w:rsidR="004C6FE7" w:rsidRPr="004C7BFA" w:rsidRDefault="004C6FE7" w:rsidP="004C6FE7">
      <w:pPr>
        <w:pStyle w:val="KeinLeerraum"/>
        <w:spacing w:before="60" w:after="60"/>
        <w:jc w:val="both"/>
        <w:rPr>
          <w:rFonts w:ascii="Arial" w:hAnsi="Arial" w:cs="Arial"/>
          <w:b/>
          <w:bCs/>
        </w:rPr>
      </w:pPr>
      <w:r w:rsidRPr="004C7BFA">
        <w:rPr>
          <w:rFonts w:ascii="Arial" w:hAnsi="Arial" w:cs="Arial"/>
          <w:b/>
          <w:bCs/>
        </w:rPr>
        <w:lastRenderedPageBreak/>
        <w:t>Technische Regel für Betriebssicherheit - TRBS 1112 „Instandhaltung“</w:t>
      </w:r>
    </w:p>
    <w:p w14:paraId="5E98DE7F" w14:textId="765E4ABD" w:rsidR="004C6FE7" w:rsidRDefault="004C6FE7" w:rsidP="004C6FE7">
      <w:pPr>
        <w:rPr>
          <w:sz w:val="22"/>
          <w:szCs w:val="22"/>
        </w:rPr>
      </w:pPr>
      <w:r w:rsidRPr="00C0186E">
        <w:rPr>
          <w:sz w:val="22"/>
          <w:szCs w:val="22"/>
        </w:rPr>
        <w:t>Instandhaltung ist die Gesamtheit aller Maßnahmen zur Erhaltung des sicheren Zustands oder der Rückführung in diesen. Instandhaltung umfasst insbesondere Inspektion, Wartung und Instandsetzung (§ 2 Absatz 7 BetrSichV).</w:t>
      </w:r>
    </w:p>
    <w:p w14:paraId="1A661D0A" w14:textId="77777777" w:rsidR="004C6FE7" w:rsidRPr="00C0186E" w:rsidRDefault="004C6FE7" w:rsidP="004C6FE7">
      <w:pPr>
        <w:rPr>
          <w:sz w:val="22"/>
          <w:szCs w:val="22"/>
        </w:rPr>
      </w:pPr>
    </w:p>
    <w:p w14:paraId="299C88A7" w14:textId="77777777" w:rsidR="004C6FE7" w:rsidRPr="00C0186E" w:rsidRDefault="004C6FE7" w:rsidP="004C6FE7">
      <w:pPr>
        <w:rPr>
          <w:sz w:val="22"/>
          <w:szCs w:val="22"/>
        </w:rPr>
      </w:pPr>
      <w:r w:rsidRPr="00C0186E">
        <w:rPr>
          <w:sz w:val="22"/>
          <w:szCs w:val="22"/>
        </w:rPr>
        <w:t>Folgende Punkte sind als Oberbegriff in Abs. 2 der Instandhaltung untergliedert:</w:t>
      </w:r>
    </w:p>
    <w:p w14:paraId="75333253" w14:textId="77777777" w:rsidR="004C6FE7" w:rsidRPr="00C0186E" w:rsidRDefault="004C6FE7" w:rsidP="004C6FE7">
      <w:pPr>
        <w:pStyle w:val="Listenabsatz"/>
        <w:numPr>
          <w:ilvl w:val="0"/>
          <w:numId w:val="18"/>
        </w:numPr>
        <w:spacing w:before="120"/>
        <w:ind w:left="714" w:hanging="357"/>
        <w:contextualSpacing w:val="0"/>
        <w:rPr>
          <w:sz w:val="22"/>
          <w:szCs w:val="22"/>
        </w:rPr>
      </w:pPr>
      <w:r w:rsidRPr="00C0186E">
        <w:rPr>
          <w:sz w:val="22"/>
          <w:szCs w:val="22"/>
        </w:rPr>
        <w:t xml:space="preserve">Wartung </w:t>
      </w:r>
    </w:p>
    <w:p w14:paraId="481E9B2E" w14:textId="77777777" w:rsidR="004C6FE7" w:rsidRPr="00C0186E" w:rsidRDefault="004C6FE7" w:rsidP="004C6FE7">
      <w:pPr>
        <w:pStyle w:val="Listenabsatz"/>
        <w:numPr>
          <w:ilvl w:val="0"/>
          <w:numId w:val="18"/>
        </w:numPr>
        <w:spacing w:before="120"/>
        <w:ind w:left="714" w:hanging="357"/>
        <w:contextualSpacing w:val="0"/>
        <w:rPr>
          <w:sz w:val="22"/>
          <w:szCs w:val="22"/>
        </w:rPr>
      </w:pPr>
      <w:r w:rsidRPr="00C0186E">
        <w:rPr>
          <w:sz w:val="22"/>
          <w:szCs w:val="22"/>
        </w:rPr>
        <w:t>Inspektion</w:t>
      </w:r>
    </w:p>
    <w:p w14:paraId="59340575" w14:textId="77777777" w:rsidR="004C6FE7" w:rsidRPr="00C0186E" w:rsidRDefault="004C6FE7" w:rsidP="004C6FE7">
      <w:pPr>
        <w:pStyle w:val="Listenabsatz"/>
        <w:numPr>
          <w:ilvl w:val="0"/>
          <w:numId w:val="18"/>
        </w:numPr>
        <w:spacing w:before="120"/>
        <w:ind w:left="714" w:hanging="357"/>
        <w:contextualSpacing w:val="0"/>
        <w:rPr>
          <w:sz w:val="22"/>
          <w:szCs w:val="22"/>
        </w:rPr>
      </w:pPr>
      <w:r w:rsidRPr="00C0186E">
        <w:rPr>
          <w:sz w:val="22"/>
          <w:szCs w:val="22"/>
        </w:rPr>
        <w:t xml:space="preserve">Instandsetzung </w:t>
      </w:r>
    </w:p>
    <w:p w14:paraId="3BC239DD" w14:textId="77777777" w:rsidR="004C6FE7" w:rsidRPr="00C0186E" w:rsidRDefault="004C6FE7" w:rsidP="004C6FE7">
      <w:pPr>
        <w:pStyle w:val="Listenabsatz"/>
        <w:numPr>
          <w:ilvl w:val="0"/>
          <w:numId w:val="18"/>
        </w:numPr>
        <w:spacing w:before="120"/>
        <w:ind w:left="714" w:hanging="357"/>
        <w:contextualSpacing w:val="0"/>
        <w:rPr>
          <w:sz w:val="22"/>
          <w:szCs w:val="22"/>
        </w:rPr>
      </w:pPr>
      <w:r w:rsidRPr="00C0186E">
        <w:rPr>
          <w:sz w:val="22"/>
          <w:szCs w:val="22"/>
        </w:rPr>
        <w:t>Erprobung (in der DIN 31051 wird an dieser Stelle die Verbesserung genannt)</w:t>
      </w:r>
    </w:p>
    <w:p w14:paraId="25329D64" w14:textId="77777777" w:rsidR="004C6FE7" w:rsidRPr="00C0186E" w:rsidRDefault="004C6FE7" w:rsidP="004C6FE7">
      <w:pPr>
        <w:rPr>
          <w:sz w:val="22"/>
          <w:szCs w:val="22"/>
        </w:rPr>
      </w:pPr>
    </w:p>
    <w:p w14:paraId="431029CF" w14:textId="5D68991C" w:rsidR="004C7BFA" w:rsidRPr="004C7BFA" w:rsidRDefault="004C7BFA" w:rsidP="004C7BFA">
      <w:pPr>
        <w:spacing w:after="60"/>
        <w:rPr>
          <w:sz w:val="22"/>
          <w:szCs w:val="22"/>
          <w:u w:val="single"/>
        </w:rPr>
      </w:pPr>
      <w:r w:rsidRPr="004C7BFA">
        <w:rPr>
          <w:sz w:val="22"/>
          <w:szCs w:val="22"/>
          <w:u w:val="single"/>
        </w:rPr>
        <w:t>Begriffsdefinition</w:t>
      </w:r>
      <w:r w:rsidRPr="004C7BFA">
        <w:rPr>
          <w:sz w:val="22"/>
          <w:szCs w:val="22"/>
          <w:u w:val="single"/>
        </w:rPr>
        <w:t>:</w:t>
      </w:r>
    </w:p>
    <w:p w14:paraId="2431D2A5" w14:textId="77777777" w:rsidR="004C6FE7" w:rsidRPr="00C0186E" w:rsidRDefault="004C6FE7" w:rsidP="004C6FE7">
      <w:pPr>
        <w:pStyle w:val="Listenabsatz"/>
        <w:numPr>
          <w:ilvl w:val="0"/>
          <w:numId w:val="17"/>
        </w:numPr>
        <w:contextualSpacing w:val="0"/>
        <w:jc w:val="both"/>
        <w:rPr>
          <w:sz w:val="22"/>
          <w:szCs w:val="22"/>
        </w:rPr>
      </w:pPr>
      <w:r w:rsidRPr="004C6FE7">
        <w:rPr>
          <w:sz w:val="22"/>
          <w:szCs w:val="22"/>
          <w:u w:val="single"/>
        </w:rPr>
        <w:t>Wartung</w:t>
      </w:r>
      <w:r w:rsidRPr="004C6FE7">
        <w:rPr>
          <w:sz w:val="22"/>
          <w:szCs w:val="22"/>
        </w:rPr>
        <w:t>:</w:t>
      </w:r>
      <w:r w:rsidRPr="00C0186E">
        <w:rPr>
          <w:sz w:val="22"/>
          <w:szCs w:val="22"/>
        </w:rPr>
        <w:t xml:space="preserve"> Maßnahmen zur Erhaltung des Sollzustandes eines Arbeitsmittels. Hierbei kann der Sollzustand, z. B. durch Reinigung und Schmierung des Arbeitsmittels, sowie Ergänzung oder Austausch von Arbeitsstoffen aufrechterhalten werden.</w:t>
      </w:r>
    </w:p>
    <w:p w14:paraId="266ADA56" w14:textId="77777777" w:rsidR="004C6FE7" w:rsidRPr="00C0186E" w:rsidRDefault="004C6FE7" w:rsidP="004C6FE7">
      <w:pPr>
        <w:pStyle w:val="Listenabsatz"/>
        <w:numPr>
          <w:ilvl w:val="0"/>
          <w:numId w:val="17"/>
        </w:numPr>
        <w:contextualSpacing w:val="0"/>
        <w:jc w:val="both"/>
        <w:rPr>
          <w:sz w:val="22"/>
          <w:szCs w:val="22"/>
        </w:rPr>
      </w:pPr>
      <w:r w:rsidRPr="004C6FE7">
        <w:rPr>
          <w:sz w:val="22"/>
          <w:szCs w:val="22"/>
          <w:u w:val="single"/>
        </w:rPr>
        <w:t>Inspektion</w:t>
      </w:r>
      <w:r w:rsidRPr="004C6FE7">
        <w:rPr>
          <w:sz w:val="22"/>
          <w:szCs w:val="22"/>
        </w:rPr>
        <w:t xml:space="preserve">: </w:t>
      </w:r>
      <w:r w:rsidRPr="00C0186E">
        <w:rPr>
          <w:sz w:val="22"/>
          <w:szCs w:val="22"/>
        </w:rPr>
        <w:t>Maßnahmen zur Feststellung und Beurteilung des Istzustandes eines Arbeitsmittels, einschließlich der Bestimmung der Ursachen der Abnutzung oder Schädigung und der Ableitung der notwendigen Konsequenzen für eine künftige Nutzung.</w:t>
      </w:r>
    </w:p>
    <w:p w14:paraId="6C46D946" w14:textId="77777777" w:rsidR="004C6FE7" w:rsidRPr="00C0186E" w:rsidRDefault="004C6FE7" w:rsidP="004C6FE7">
      <w:pPr>
        <w:pStyle w:val="Listenabsatz"/>
        <w:numPr>
          <w:ilvl w:val="0"/>
          <w:numId w:val="17"/>
        </w:numPr>
        <w:contextualSpacing w:val="0"/>
        <w:jc w:val="both"/>
        <w:rPr>
          <w:sz w:val="22"/>
          <w:szCs w:val="22"/>
        </w:rPr>
      </w:pPr>
      <w:r w:rsidRPr="004C6FE7">
        <w:rPr>
          <w:sz w:val="22"/>
          <w:szCs w:val="22"/>
          <w:u w:val="single"/>
        </w:rPr>
        <w:t>Instandsetzung</w:t>
      </w:r>
      <w:r w:rsidRPr="004C6FE7">
        <w:rPr>
          <w:sz w:val="22"/>
          <w:szCs w:val="22"/>
        </w:rPr>
        <w:t xml:space="preserve">: </w:t>
      </w:r>
      <w:r w:rsidRPr="00C0186E">
        <w:rPr>
          <w:sz w:val="22"/>
          <w:szCs w:val="22"/>
        </w:rPr>
        <w:t>Maßnahmen zur Rückführung eines Arbeitsmittels in den Sollzustand, z. B. Austausch von abgenutzten oder defekten Teilen gegen vorgegebene Ersatzteile. Vorgegebene Ersatzteile sind insbesondere diejenigen, die den Herstellerspezifikationen entsprechen.</w:t>
      </w:r>
    </w:p>
    <w:p w14:paraId="750A4FEF" w14:textId="77777777" w:rsidR="004C6FE7" w:rsidRPr="00C0186E" w:rsidRDefault="004C6FE7" w:rsidP="004C6FE7">
      <w:pPr>
        <w:pStyle w:val="Listenabsatz"/>
        <w:numPr>
          <w:ilvl w:val="0"/>
          <w:numId w:val="17"/>
        </w:numPr>
        <w:contextualSpacing w:val="0"/>
        <w:jc w:val="both"/>
        <w:rPr>
          <w:sz w:val="22"/>
          <w:szCs w:val="22"/>
        </w:rPr>
      </w:pPr>
      <w:r w:rsidRPr="004C6FE7">
        <w:rPr>
          <w:sz w:val="22"/>
          <w:szCs w:val="22"/>
          <w:u w:val="single"/>
        </w:rPr>
        <w:t>Erprobung</w:t>
      </w:r>
      <w:r w:rsidRPr="00C0186E">
        <w:rPr>
          <w:sz w:val="22"/>
          <w:szCs w:val="22"/>
        </w:rPr>
        <w:t>:</w:t>
      </w:r>
      <w:r w:rsidRPr="004C6FE7">
        <w:rPr>
          <w:sz w:val="22"/>
          <w:szCs w:val="22"/>
        </w:rPr>
        <w:t xml:space="preserve"> </w:t>
      </w:r>
      <w:r w:rsidRPr="00C0186E">
        <w:rPr>
          <w:sz w:val="22"/>
          <w:szCs w:val="22"/>
        </w:rPr>
        <w:t xml:space="preserve">Jedes </w:t>
      </w:r>
      <w:proofErr w:type="spellStart"/>
      <w:r w:rsidRPr="00C0186E">
        <w:rPr>
          <w:sz w:val="22"/>
          <w:szCs w:val="22"/>
        </w:rPr>
        <w:t>Ingangsetzen</w:t>
      </w:r>
      <w:proofErr w:type="spellEnd"/>
      <w:r w:rsidRPr="00C0186E">
        <w:rPr>
          <w:sz w:val="22"/>
          <w:szCs w:val="22"/>
        </w:rPr>
        <w:t xml:space="preserve"> eines Arbeitsmittels nach einer Instandsetzung zum Zweck der Funktionsprüfung, der Feststellung und Überprüfung von sicherheitstechnisch relevanten Betriebsdaten (z. B. Testläufe) sowie der Vornahme von Einstellungsarbeiten an Arbeitsmitteln und deren Ausrüstungsteilen</w:t>
      </w:r>
    </w:p>
    <w:p w14:paraId="27A96742" w14:textId="77777777" w:rsidR="004C6FE7" w:rsidRPr="00C0186E" w:rsidRDefault="004C6FE7" w:rsidP="004C6FE7">
      <w:pPr>
        <w:rPr>
          <w:sz w:val="22"/>
          <w:szCs w:val="22"/>
        </w:rPr>
      </w:pPr>
    </w:p>
    <w:p w14:paraId="28EB03F4" w14:textId="771AB553" w:rsidR="004C6FE7" w:rsidRDefault="004C6FE7" w:rsidP="004C6FE7">
      <w:pPr>
        <w:rPr>
          <w:sz w:val="22"/>
          <w:szCs w:val="22"/>
        </w:rPr>
      </w:pPr>
      <w:r w:rsidRPr="004C6FE7">
        <w:rPr>
          <w:sz w:val="22"/>
          <w:szCs w:val="22"/>
        </w:rPr>
        <w:t>Voraussetzungen zur Durchführung von Instandhaltungsmaßnahmen gemäß der TRBS 1112:</w:t>
      </w:r>
    </w:p>
    <w:p w14:paraId="56AB2AFC" w14:textId="77777777" w:rsidR="004C6FE7" w:rsidRPr="004C6FE7" w:rsidRDefault="004C6FE7" w:rsidP="004C6FE7">
      <w:pPr>
        <w:rPr>
          <w:sz w:val="22"/>
          <w:szCs w:val="22"/>
        </w:rPr>
      </w:pPr>
    </w:p>
    <w:p w14:paraId="5B036B3A" w14:textId="77777777" w:rsidR="004C6FE7" w:rsidRPr="004C7BFA" w:rsidRDefault="004C6FE7" w:rsidP="004C6FE7">
      <w:pPr>
        <w:pStyle w:val="Listenabsatz"/>
        <w:numPr>
          <w:ilvl w:val="0"/>
          <w:numId w:val="19"/>
        </w:numPr>
        <w:ind w:left="567"/>
        <w:contextualSpacing w:val="0"/>
        <w:rPr>
          <w:i/>
          <w:iCs/>
          <w:sz w:val="22"/>
          <w:szCs w:val="22"/>
        </w:rPr>
      </w:pPr>
      <w:r w:rsidRPr="004C7BFA">
        <w:rPr>
          <w:i/>
          <w:iCs/>
          <w:sz w:val="22"/>
          <w:szCs w:val="22"/>
        </w:rPr>
        <w:t>Festlegung von Art, Umfang und Abfolge der Instandhaltungsmaßnahmen.</w:t>
      </w:r>
    </w:p>
    <w:p w14:paraId="2D3563C4" w14:textId="77777777" w:rsidR="004C6FE7" w:rsidRPr="004C7BFA" w:rsidRDefault="004C6FE7" w:rsidP="004C6FE7">
      <w:pPr>
        <w:pStyle w:val="Listenabsatz"/>
        <w:numPr>
          <w:ilvl w:val="0"/>
          <w:numId w:val="19"/>
        </w:numPr>
        <w:ind w:left="567"/>
        <w:contextualSpacing w:val="0"/>
        <w:rPr>
          <w:i/>
          <w:iCs/>
          <w:sz w:val="22"/>
          <w:szCs w:val="22"/>
        </w:rPr>
      </w:pPr>
      <w:r w:rsidRPr="004C7BFA">
        <w:rPr>
          <w:i/>
          <w:iCs/>
          <w:sz w:val="22"/>
          <w:szCs w:val="22"/>
        </w:rPr>
        <w:t>Die erforderlichen Schutzmaßnahmen für eine sichere Durchführung der Instandhaltungsmaßnahmen festlegen.</w:t>
      </w:r>
    </w:p>
    <w:p w14:paraId="74412BEB" w14:textId="77777777" w:rsidR="004C6FE7" w:rsidRPr="004C7BFA" w:rsidRDefault="004C6FE7" w:rsidP="004C6FE7">
      <w:pPr>
        <w:pStyle w:val="Listenabsatz"/>
        <w:numPr>
          <w:ilvl w:val="0"/>
          <w:numId w:val="19"/>
        </w:numPr>
        <w:ind w:left="567"/>
        <w:contextualSpacing w:val="0"/>
        <w:rPr>
          <w:i/>
          <w:iCs/>
          <w:sz w:val="22"/>
          <w:szCs w:val="22"/>
        </w:rPr>
      </w:pPr>
      <w:r w:rsidRPr="004C7BFA">
        <w:rPr>
          <w:i/>
          <w:iCs/>
          <w:sz w:val="22"/>
          <w:szCs w:val="22"/>
        </w:rPr>
        <w:t xml:space="preserve">Vor der Vergabe an die Fremdfirmen sind die Sicherheitsanforderungen und Anforderungen an die </w:t>
      </w:r>
      <w:r w:rsidRPr="004C7BFA">
        <w:rPr>
          <w:bCs/>
          <w:i/>
          <w:iCs/>
          <w:sz w:val="22"/>
          <w:szCs w:val="22"/>
        </w:rPr>
        <w:t>Qualifikation des Instandhaltungspersonal</w:t>
      </w:r>
      <w:r w:rsidRPr="004C7BFA">
        <w:rPr>
          <w:i/>
          <w:iCs/>
          <w:sz w:val="22"/>
          <w:szCs w:val="22"/>
        </w:rPr>
        <w:t xml:space="preserve"> festzulegen.</w:t>
      </w:r>
    </w:p>
    <w:p w14:paraId="033ECEC9" w14:textId="77777777" w:rsidR="004C6FE7" w:rsidRPr="004C7BFA" w:rsidRDefault="004C6FE7" w:rsidP="004C6FE7">
      <w:pPr>
        <w:pStyle w:val="Listenabsatz"/>
        <w:numPr>
          <w:ilvl w:val="0"/>
          <w:numId w:val="19"/>
        </w:numPr>
        <w:ind w:left="567"/>
        <w:contextualSpacing w:val="0"/>
        <w:rPr>
          <w:i/>
          <w:iCs/>
          <w:sz w:val="22"/>
          <w:szCs w:val="22"/>
        </w:rPr>
      </w:pPr>
      <w:r w:rsidRPr="004C7BFA">
        <w:rPr>
          <w:i/>
          <w:iCs/>
          <w:sz w:val="22"/>
          <w:szCs w:val="22"/>
        </w:rPr>
        <w:t>Auftretende Gefährdungen ermitteln und beurteilen.</w:t>
      </w:r>
    </w:p>
    <w:p w14:paraId="70AA6888" w14:textId="77777777" w:rsidR="004C6FE7" w:rsidRPr="00C0186E" w:rsidRDefault="004C6FE7" w:rsidP="004C6FE7">
      <w:pPr>
        <w:rPr>
          <w:sz w:val="22"/>
          <w:szCs w:val="22"/>
        </w:rPr>
      </w:pPr>
    </w:p>
    <w:p w14:paraId="54793047" w14:textId="77777777" w:rsidR="004C6FE7" w:rsidRPr="004C7BFA" w:rsidRDefault="004C6FE7" w:rsidP="004C6FE7">
      <w:pPr>
        <w:spacing w:after="60"/>
        <w:rPr>
          <w:sz w:val="22"/>
          <w:szCs w:val="22"/>
          <w:u w:val="single"/>
        </w:rPr>
      </w:pPr>
      <w:r w:rsidRPr="004C7BFA">
        <w:rPr>
          <w:sz w:val="22"/>
          <w:szCs w:val="22"/>
          <w:u w:val="single"/>
        </w:rPr>
        <w:t>Anwendungsbereich der TRBS 1112</w:t>
      </w:r>
    </w:p>
    <w:p w14:paraId="483DEBD5" w14:textId="77777777" w:rsidR="004C6FE7" w:rsidRPr="00C0186E" w:rsidRDefault="004C6FE7" w:rsidP="004C6FE7">
      <w:pPr>
        <w:pStyle w:val="Listenabsatz"/>
        <w:numPr>
          <w:ilvl w:val="0"/>
          <w:numId w:val="20"/>
        </w:numPr>
        <w:ind w:left="567"/>
        <w:contextualSpacing w:val="0"/>
        <w:rPr>
          <w:sz w:val="22"/>
          <w:szCs w:val="22"/>
        </w:rPr>
      </w:pPr>
      <w:r w:rsidRPr="00C0186E">
        <w:rPr>
          <w:sz w:val="22"/>
          <w:szCs w:val="22"/>
        </w:rPr>
        <w:t xml:space="preserve">Bei der Planung und Ausführung von Instandhaltungstätigkeiten. </w:t>
      </w:r>
    </w:p>
    <w:p w14:paraId="0A8D34A1" w14:textId="77777777" w:rsidR="004C6FE7" w:rsidRPr="00C0186E" w:rsidRDefault="004C6FE7" w:rsidP="004C6FE7">
      <w:pPr>
        <w:pStyle w:val="Listenabsatz"/>
        <w:numPr>
          <w:ilvl w:val="0"/>
          <w:numId w:val="20"/>
        </w:numPr>
        <w:ind w:left="567"/>
        <w:contextualSpacing w:val="0"/>
        <w:rPr>
          <w:sz w:val="22"/>
          <w:szCs w:val="22"/>
        </w:rPr>
      </w:pPr>
      <w:r w:rsidRPr="00C0186E">
        <w:rPr>
          <w:sz w:val="22"/>
          <w:szCs w:val="22"/>
        </w:rPr>
        <w:t>Bei der Störungssuche.</w:t>
      </w:r>
    </w:p>
    <w:p w14:paraId="6628CDB1" w14:textId="77777777" w:rsidR="004C6FE7" w:rsidRPr="00C0186E" w:rsidRDefault="004C6FE7" w:rsidP="004C6FE7">
      <w:pPr>
        <w:pStyle w:val="Listenabsatz"/>
        <w:numPr>
          <w:ilvl w:val="0"/>
          <w:numId w:val="20"/>
        </w:numPr>
        <w:ind w:left="567"/>
        <w:contextualSpacing w:val="0"/>
        <w:rPr>
          <w:sz w:val="22"/>
          <w:szCs w:val="22"/>
        </w:rPr>
      </w:pPr>
      <w:r w:rsidRPr="00C0186E">
        <w:rPr>
          <w:sz w:val="22"/>
          <w:szCs w:val="22"/>
        </w:rPr>
        <w:t xml:space="preserve">Bei der Erprobung nach Instandsetzung. </w:t>
      </w:r>
    </w:p>
    <w:p w14:paraId="4667EAE6" w14:textId="77777777" w:rsidR="004C6FE7" w:rsidRPr="00C0186E" w:rsidRDefault="004C6FE7" w:rsidP="004C6FE7">
      <w:pPr>
        <w:rPr>
          <w:sz w:val="22"/>
          <w:szCs w:val="22"/>
        </w:rPr>
      </w:pPr>
      <w:r w:rsidRPr="00C0186E">
        <w:rPr>
          <w:sz w:val="22"/>
          <w:szCs w:val="22"/>
        </w:rPr>
        <w:br w:type="page"/>
      </w:r>
    </w:p>
    <w:p w14:paraId="15B9A63B" w14:textId="77777777" w:rsidR="004C6FE7" w:rsidRPr="004C7BFA" w:rsidRDefault="004C6FE7" w:rsidP="004C6FE7">
      <w:pPr>
        <w:spacing w:after="60"/>
        <w:rPr>
          <w:b/>
          <w:bCs/>
          <w:sz w:val="22"/>
          <w:szCs w:val="22"/>
        </w:rPr>
      </w:pPr>
      <w:r w:rsidRPr="004C7BFA">
        <w:rPr>
          <w:b/>
          <w:bCs/>
          <w:sz w:val="22"/>
          <w:szCs w:val="22"/>
        </w:rPr>
        <w:lastRenderedPageBreak/>
        <w:t>Voraussetzung zur Durchführung von Instandhaltungstätigkeiten</w:t>
      </w:r>
    </w:p>
    <w:p w14:paraId="1CE1738B" w14:textId="27774AB0" w:rsidR="004C6FE7" w:rsidRPr="004C6FE7" w:rsidRDefault="004C6FE7" w:rsidP="004C6FE7">
      <w:pPr>
        <w:rPr>
          <w:sz w:val="22"/>
          <w:szCs w:val="22"/>
        </w:rPr>
      </w:pPr>
      <w:r w:rsidRPr="004C6FE7">
        <w:rPr>
          <w:sz w:val="22"/>
          <w:szCs w:val="22"/>
        </w:rPr>
        <w:t>Gemäß TRBS 1112 (Abs. 3.2) Instandhaltungsmaßnahmen dürfen nur von fachkundigen, beauftragten und unterwiesenen Beschäftigten oder von sonstigen für die Durchführung der Instandhaltungsarbeiten geeigneten Auftragnehmern mit vergleichbarer Qualifikation durchgeführt werden (§ 10 Absatz 2 Satz 2 BetrSichV).</w:t>
      </w:r>
      <w:r w:rsidR="004C7BFA">
        <w:rPr>
          <w:sz w:val="22"/>
          <w:szCs w:val="22"/>
        </w:rPr>
        <w:t xml:space="preserve"> </w:t>
      </w:r>
      <w:r w:rsidRPr="004C6FE7">
        <w:rPr>
          <w:sz w:val="22"/>
          <w:szCs w:val="22"/>
        </w:rPr>
        <w:t>Sie müssen durch ihre berufliche Ausbildung oder Fortbildung über die notwendigen Sachkenntnisse zur Durchführung des Instandhaltungsauftrages verfügen.</w:t>
      </w:r>
      <w:r w:rsidRPr="004C6FE7">
        <w:rPr>
          <w:noProof/>
          <w:sz w:val="22"/>
          <w:szCs w:val="22"/>
        </w:rPr>
        <w:t xml:space="preserve"> </w:t>
      </w:r>
    </w:p>
    <w:p w14:paraId="101A5C2A" w14:textId="77777777" w:rsidR="004C6FE7" w:rsidRPr="004C6FE7" w:rsidRDefault="004C6FE7" w:rsidP="004C6FE7">
      <w:pPr>
        <w:rPr>
          <w:sz w:val="22"/>
          <w:szCs w:val="22"/>
        </w:rPr>
      </w:pPr>
    </w:p>
    <w:p w14:paraId="5E4E615E" w14:textId="77777777" w:rsidR="004C6FE7" w:rsidRPr="00C0186E" w:rsidRDefault="004C6FE7" w:rsidP="004C6FE7">
      <w:pPr>
        <w:rPr>
          <w:sz w:val="22"/>
          <w:szCs w:val="22"/>
        </w:rPr>
      </w:pPr>
      <w:r w:rsidRPr="004C6FE7">
        <w:rPr>
          <w:sz w:val="22"/>
          <w:szCs w:val="22"/>
        </w:rPr>
        <w:t xml:space="preserve">Fremdfirmenmitarbeiter, nicht nur die Firmen als solche, </w:t>
      </w:r>
      <w:r w:rsidRPr="004C6FE7">
        <w:rPr>
          <w:sz w:val="22"/>
          <w:szCs w:val="22"/>
          <w:u w:val="single"/>
        </w:rPr>
        <w:t>müssen</w:t>
      </w:r>
      <w:r w:rsidRPr="004C6FE7">
        <w:rPr>
          <w:bCs/>
          <w:sz w:val="22"/>
          <w:szCs w:val="22"/>
        </w:rPr>
        <w:t xml:space="preserve"> </w:t>
      </w:r>
      <w:r w:rsidRPr="004C6FE7">
        <w:rPr>
          <w:sz w:val="22"/>
          <w:szCs w:val="22"/>
        </w:rPr>
        <w:t xml:space="preserve">auf die erforderliche Fachkunde </w:t>
      </w:r>
      <w:r w:rsidRPr="004C6FE7">
        <w:rPr>
          <w:bCs/>
          <w:sz w:val="22"/>
          <w:szCs w:val="22"/>
        </w:rPr>
        <w:t>vom Auftraggeber nachweislich überprüft werden</w:t>
      </w:r>
      <w:r w:rsidRPr="004C6FE7">
        <w:rPr>
          <w:sz w:val="22"/>
          <w:szCs w:val="22"/>
        </w:rPr>
        <w:t>!</w:t>
      </w:r>
    </w:p>
    <w:p w14:paraId="7FFA3022" w14:textId="77777777" w:rsidR="004C6FE7" w:rsidRPr="00C0186E" w:rsidRDefault="004C6FE7" w:rsidP="004C6FE7">
      <w:pPr>
        <w:rPr>
          <w:sz w:val="22"/>
          <w:szCs w:val="22"/>
        </w:rPr>
      </w:pPr>
    </w:p>
    <w:p w14:paraId="3C157227" w14:textId="77777777" w:rsidR="004C6FE7" w:rsidRPr="00C0186E" w:rsidRDefault="004C6FE7" w:rsidP="004C6FE7">
      <w:pPr>
        <w:rPr>
          <w:sz w:val="22"/>
          <w:szCs w:val="22"/>
        </w:rPr>
      </w:pPr>
      <w:r w:rsidRPr="00C0186E">
        <w:rPr>
          <w:sz w:val="22"/>
          <w:szCs w:val="22"/>
        </w:rPr>
        <w:t>Dies schließt das Einfordern von personengebundenen Befähigungsnachweisen und Durchführen von stichprobenhaften Kontrollen ein.</w:t>
      </w:r>
    </w:p>
    <w:p w14:paraId="1DC907EE" w14:textId="77777777" w:rsidR="004C6FE7" w:rsidRPr="00C0186E" w:rsidRDefault="004C6FE7" w:rsidP="004C6FE7">
      <w:pPr>
        <w:rPr>
          <w:sz w:val="22"/>
          <w:szCs w:val="22"/>
        </w:rPr>
      </w:pPr>
    </w:p>
    <w:p w14:paraId="4441ED0F" w14:textId="77777777" w:rsidR="004C6FE7" w:rsidRPr="00C0186E" w:rsidRDefault="004C6FE7" w:rsidP="004C6FE7">
      <w:pPr>
        <w:rPr>
          <w:sz w:val="22"/>
          <w:szCs w:val="22"/>
        </w:rPr>
      </w:pPr>
    </w:p>
    <w:p w14:paraId="303029BF" w14:textId="77777777" w:rsidR="004C6FE7" w:rsidRPr="00C0186E" w:rsidRDefault="004C6FE7" w:rsidP="004C6FE7">
      <w:pPr>
        <w:rPr>
          <w:sz w:val="22"/>
          <w:szCs w:val="22"/>
        </w:rPr>
      </w:pPr>
      <w:r w:rsidRPr="00C0186E">
        <w:rPr>
          <w:noProof/>
          <w:sz w:val="22"/>
          <w:szCs w:val="22"/>
        </w:rPr>
        <w:drawing>
          <wp:inline distT="0" distB="0" distL="0" distR="0" wp14:anchorId="37F664B4" wp14:editId="02821088">
            <wp:extent cx="5930560" cy="4030980"/>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96" r="1090" b="772"/>
                    <a:stretch/>
                  </pic:blipFill>
                  <pic:spPr bwMode="auto">
                    <a:xfrm>
                      <a:off x="0" y="0"/>
                      <a:ext cx="5930560" cy="4030980"/>
                    </a:xfrm>
                    <a:prstGeom prst="rect">
                      <a:avLst/>
                    </a:prstGeom>
                    <a:ln>
                      <a:noFill/>
                    </a:ln>
                    <a:extLst>
                      <a:ext uri="{53640926-AAD7-44D8-BBD7-CCE9431645EC}">
                        <a14:shadowObscured xmlns:a14="http://schemas.microsoft.com/office/drawing/2010/main"/>
                      </a:ext>
                    </a:extLst>
                  </pic:spPr>
                </pic:pic>
              </a:graphicData>
            </a:graphic>
          </wp:inline>
        </w:drawing>
      </w:r>
    </w:p>
    <w:p w14:paraId="42BE614C" w14:textId="17C1B847" w:rsidR="004C6FE7" w:rsidRPr="004C6FE7" w:rsidRDefault="004C6FE7" w:rsidP="004C6FE7">
      <w:pPr>
        <w:rPr>
          <w:i/>
          <w:iCs/>
          <w:sz w:val="16"/>
          <w:szCs w:val="16"/>
        </w:rPr>
      </w:pPr>
      <w:r w:rsidRPr="004C6FE7">
        <w:rPr>
          <w:i/>
          <w:iCs/>
          <w:sz w:val="16"/>
          <w:szCs w:val="16"/>
        </w:rPr>
        <w:t>Quelle: R. O. E. GmbH</w:t>
      </w:r>
    </w:p>
    <w:p w14:paraId="1CA78371" w14:textId="77777777" w:rsidR="004C6FE7" w:rsidRPr="00C0186E" w:rsidRDefault="004C6FE7" w:rsidP="004C6FE7">
      <w:pPr>
        <w:rPr>
          <w:sz w:val="22"/>
          <w:szCs w:val="22"/>
        </w:rPr>
      </w:pPr>
      <w:r w:rsidRPr="00C0186E">
        <w:rPr>
          <w:sz w:val="22"/>
          <w:szCs w:val="22"/>
        </w:rPr>
        <w:br w:type="page"/>
      </w:r>
    </w:p>
    <w:p w14:paraId="46893B0C" w14:textId="77777777" w:rsidR="004C6FE7" w:rsidRPr="004C7BFA" w:rsidRDefault="004C6FE7" w:rsidP="004C6FE7">
      <w:pPr>
        <w:pStyle w:val="KeinLeerraum"/>
        <w:spacing w:before="60" w:after="60"/>
        <w:jc w:val="both"/>
        <w:rPr>
          <w:rFonts w:ascii="Arial" w:hAnsi="Arial" w:cs="Arial"/>
          <w:b/>
          <w:bCs/>
        </w:rPr>
      </w:pPr>
      <w:r w:rsidRPr="004C7BFA">
        <w:rPr>
          <w:rFonts w:ascii="Arial" w:hAnsi="Arial" w:cs="Arial"/>
          <w:b/>
          <w:bCs/>
        </w:rPr>
        <w:lastRenderedPageBreak/>
        <w:t>DIN 31051 – Grundlagen der Instandhaltung</w:t>
      </w:r>
    </w:p>
    <w:p w14:paraId="19AB102E" w14:textId="77777777" w:rsidR="004C6FE7" w:rsidRPr="00C0186E" w:rsidRDefault="004C6FE7" w:rsidP="004C6FE7">
      <w:pPr>
        <w:rPr>
          <w:sz w:val="22"/>
          <w:szCs w:val="22"/>
        </w:rPr>
      </w:pPr>
      <w:r w:rsidRPr="00C0186E">
        <w:rPr>
          <w:sz w:val="22"/>
          <w:szCs w:val="22"/>
        </w:rPr>
        <w:t xml:space="preserve">Auch in diesem Normenwerk ist der Begriff </w:t>
      </w:r>
      <w:r w:rsidRPr="00C0186E">
        <w:rPr>
          <w:b/>
          <w:bCs/>
          <w:sz w:val="22"/>
          <w:szCs w:val="22"/>
        </w:rPr>
        <w:t xml:space="preserve">Instandhaltung auf die 4 Säulen </w:t>
      </w:r>
      <w:r w:rsidRPr="00C0186E">
        <w:rPr>
          <w:sz w:val="22"/>
          <w:szCs w:val="22"/>
        </w:rPr>
        <w:t xml:space="preserve">aus Bild 1 </w:t>
      </w:r>
      <w:r w:rsidRPr="00C0186E">
        <w:rPr>
          <w:b/>
          <w:bCs/>
          <w:sz w:val="22"/>
          <w:szCs w:val="22"/>
        </w:rPr>
        <w:t>unterteilt</w:t>
      </w:r>
      <w:r w:rsidRPr="00C0186E">
        <w:rPr>
          <w:sz w:val="22"/>
          <w:szCs w:val="22"/>
        </w:rPr>
        <w:t xml:space="preserve"> </w:t>
      </w:r>
    </w:p>
    <w:p w14:paraId="52987FDD" w14:textId="77777777" w:rsidR="004C6FE7" w:rsidRPr="00C0186E" w:rsidRDefault="004C6FE7" w:rsidP="004C6FE7">
      <w:pPr>
        <w:jc w:val="center"/>
        <w:rPr>
          <w:sz w:val="22"/>
          <w:szCs w:val="22"/>
        </w:rPr>
      </w:pPr>
      <w:r w:rsidRPr="00C0186E">
        <w:rPr>
          <w:noProof/>
          <w:sz w:val="22"/>
          <w:szCs w:val="22"/>
        </w:rPr>
        <w:drawing>
          <wp:inline distT="0" distB="0" distL="0" distR="0" wp14:anchorId="52C0DB4A" wp14:editId="4BA99454">
            <wp:extent cx="5438286" cy="1501140"/>
            <wp:effectExtent l="0" t="0" r="0" b="3810"/>
            <wp:docPr id="16" name="Grafik 1">
              <a:extLst xmlns:a="http://schemas.openxmlformats.org/drawingml/2006/main">
                <a:ext uri="{FF2B5EF4-FFF2-40B4-BE49-F238E27FC236}">
                  <a16:creationId xmlns:a16="http://schemas.microsoft.com/office/drawing/2014/main" id="{FC4215F2-ADD1-4856-8E99-0B75BB699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FC4215F2-ADD1-4856-8E99-0B75BB69915F}"/>
                        </a:ext>
                      </a:extLst>
                    </pic:cNvPr>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5549024" cy="1531707"/>
                    </a:xfrm>
                    <a:prstGeom prst="rect">
                      <a:avLst/>
                    </a:prstGeom>
                  </pic:spPr>
                </pic:pic>
              </a:graphicData>
            </a:graphic>
          </wp:inline>
        </w:drawing>
      </w:r>
    </w:p>
    <w:p w14:paraId="364FC49D" w14:textId="1D206DBD" w:rsidR="004C6FE7" w:rsidRPr="004C6FE7" w:rsidRDefault="004C6FE7" w:rsidP="004C6FE7">
      <w:pPr>
        <w:rPr>
          <w:i/>
          <w:iCs/>
          <w:sz w:val="22"/>
          <w:szCs w:val="22"/>
        </w:rPr>
      </w:pPr>
      <w:r w:rsidRPr="00C0186E">
        <w:rPr>
          <w:i/>
          <w:iCs/>
          <w:sz w:val="22"/>
          <w:szCs w:val="22"/>
        </w:rPr>
        <w:t>Quelle: DIN 31051</w:t>
      </w:r>
    </w:p>
    <w:p w14:paraId="2D36867D" w14:textId="77777777" w:rsidR="004C6FE7" w:rsidRPr="00C0186E" w:rsidRDefault="004C6FE7" w:rsidP="004C6FE7">
      <w:pPr>
        <w:rPr>
          <w:sz w:val="22"/>
          <w:szCs w:val="22"/>
        </w:rPr>
      </w:pPr>
    </w:p>
    <w:p w14:paraId="1FD23FE1" w14:textId="001EA61C" w:rsidR="004C6FE7" w:rsidRPr="00C0186E" w:rsidRDefault="004C6FE7" w:rsidP="004C6FE7">
      <w:pPr>
        <w:rPr>
          <w:b/>
          <w:sz w:val="22"/>
          <w:szCs w:val="22"/>
        </w:rPr>
      </w:pPr>
      <w:r w:rsidRPr="00C0186E">
        <w:rPr>
          <w:b/>
          <w:sz w:val="22"/>
          <w:szCs w:val="22"/>
        </w:rPr>
        <w:t>In der DIN 31051 wird der Begriff „Instandhaltung“ wie folgt beschrieben:</w:t>
      </w:r>
    </w:p>
    <w:p w14:paraId="5FE965BD" w14:textId="77777777" w:rsidR="004C6FE7" w:rsidRPr="00C0186E" w:rsidRDefault="004C6FE7" w:rsidP="004C6FE7">
      <w:pPr>
        <w:rPr>
          <w:sz w:val="22"/>
          <w:szCs w:val="22"/>
        </w:rPr>
      </w:pPr>
    </w:p>
    <w:p w14:paraId="17F0FD0C" w14:textId="77777777" w:rsidR="004C6FE7" w:rsidRPr="00C0186E" w:rsidRDefault="004C6FE7" w:rsidP="004C6FE7">
      <w:pPr>
        <w:jc w:val="both"/>
        <w:rPr>
          <w:sz w:val="22"/>
          <w:szCs w:val="22"/>
        </w:rPr>
      </w:pPr>
      <w:r w:rsidRPr="00C0186E">
        <w:rPr>
          <w:sz w:val="22"/>
          <w:szCs w:val="22"/>
        </w:rPr>
        <w:t xml:space="preserve">„Instandhaltung ist die </w:t>
      </w:r>
      <w:r w:rsidRPr="00C0186E">
        <w:rPr>
          <w:b/>
          <w:bCs/>
          <w:sz w:val="22"/>
          <w:szCs w:val="22"/>
        </w:rPr>
        <w:t xml:space="preserve">Kombination aller technischen und administrativen Maßnahmen </w:t>
      </w:r>
      <w:r w:rsidRPr="00C0186E">
        <w:rPr>
          <w:sz w:val="22"/>
          <w:szCs w:val="22"/>
        </w:rPr>
        <w:t>sowie Maßnahmen des Managements während des Lebenszyklus (4.6.5) einer Einheit (4.2.1), die dem Erhalt oder der Wiederherstellung ihres funktionsfähigen Zustands dient, sodass sie die geforderte Funktion (4.5.1) erfüllen kann.“</w:t>
      </w:r>
    </w:p>
    <w:p w14:paraId="072F0C1F" w14:textId="77777777" w:rsidR="004C6FE7" w:rsidRPr="00C0186E" w:rsidRDefault="004C6FE7" w:rsidP="004C6FE7">
      <w:pPr>
        <w:pStyle w:val="KeinLeerraum"/>
        <w:spacing w:before="60" w:after="60"/>
        <w:rPr>
          <w:rFonts w:ascii="Arial" w:hAnsi="Arial" w:cs="Arial"/>
          <w:b/>
        </w:rPr>
      </w:pPr>
    </w:p>
    <w:p w14:paraId="55D71967" w14:textId="0552CCB8" w:rsidR="004C6FE7" w:rsidRPr="004C6FE7" w:rsidRDefault="004C6FE7" w:rsidP="004C6FE7">
      <w:pPr>
        <w:pStyle w:val="KeinLeerraum"/>
        <w:spacing w:before="60" w:after="60"/>
        <w:rPr>
          <w:rFonts w:ascii="Arial" w:hAnsi="Arial" w:cs="Arial"/>
          <w:bCs/>
        </w:rPr>
      </w:pPr>
      <w:r w:rsidRPr="00C0186E">
        <w:rPr>
          <w:rFonts w:ascii="Arial" w:hAnsi="Arial" w:cs="Arial"/>
          <w:b/>
        </w:rPr>
        <w:t>Fazit</w:t>
      </w:r>
      <w:r>
        <w:rPr>
          <w:rFonts w:ascii="Arial" w:hAnsi="Arial" w:cs="Arial"/>
          <w:b/>
        </w:rPr>
        <w:t xml:space="preserve">: </w:t>
      </w:r>
      <w:r w:rsidRPr="004C6FE7">
        <w:rPr>
          <w:rFonts w:ascii="Arial" w:hAnsi="Arial" w:cs="Arial"/>
          <w:bCs/>
        </w:rPr>
        <w:t xml:space="preserve">Die Instandhaltung ist die Summe von Maßnahmen, welche zur Gewährleistung des sicheren Betriebs und der Gesundheit der Mitarbeiter getroffen und auf deren Wirksamkeit überprüft werden müssen. Die Anforderungen an eine Instandhaltung gemäß den zuvor beschriebenen Regelwerksanforderungen gehen damit weit über eine rein </w:t>
      </w:r>
      <w:r w:rsidRPr="004C6FE7">
        <w:rPr>
          <w:rFonts w:ascii="Arial" w:hAnsi="Arial" w:cs="Arial"/>
          <w:bCs/>
          <w:u w:val="single"/>
        </w:rPr>
        <w:t>ereignisorientierte</w:t>
      </w:r>
      <w:r w:rsidRPr="004C6FE7">
        <w:rPr>
          <w:rFonts w:ascii="Arial" w:hAnsi="Arial" w:cs="Arial"/>
          <w:bCs/>
        </w:rPr>
        <w:t xml:space="preserve"> </w:t>
      </w:r>
      <w:r w:rsidRPr="004C6FE7">
        <w:rPr>
          <w:rFonts w:ascii="Arial" w:hAnsi="Arial" w:cs="Arial"/>
          <w:bCs/>
          <w:u w:val="single"/>
        </w:rPr>
        <w:t>Instandsetzung</w:t>
      </w:r>
      <w:r w:rsidRPr="004C6FE7">
        <w:rPr>
          <w:rFonts w:ascii="Arial" w:hAnsi="Arial" w:cs="Arial"/>
          <w:bCs/>
        </w:rPr>
        <w:t xml:space="preserve"> durch den Arbeitgeber hinaus. </w:t>
      </w:r>
    </w:p>
    <w:p w14:paraId="1302C494" w14:textId="77777777" w:rsidR="004C6FE7" w:rsidRPr="004C6FE7" w:rsidRDefault="004C6FE7" w:rsidP="00C32A14">
      <w:pPr>
        <w:ind w:right="-1"/>
        <w:jc w:val="both"/>
        <w:rPr>
          <w:rFonts w:cs="Arial"/>
          <w:bCs/>
          <w:sz w:val="22"/>
          <w:szCs w:val="22"/>
        </w:rPr>
        <w:sectPr w:rsidR="004C6FE7" w:rsidRPr="004C6FE7" w:rsidSect="000D0A32">
          <w:headerReference w:type="default" r:id="rId13"/>
          <w:footerReference w:type="default" r:id="rId14"/>
          <w:pgSz w:w="11906" w:h="16838"/>
          <w:pgMar w:top="1418" w:right="1134" w:bottom="1134" w:left="1134" w:header="709" w:footer="443" w:gutter="0"/>
          <w:cols w:space="708"/>
          <w:docGrid w:linePitch="360"/>
        </w:sect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4C6FE7" w:rsidRPr="00AB24B8" w14:paraId="2B4F5C8F" w14:textId="77777777" w:rsidTr="00C32A14">
        <w:trPr>
          <w:trHeight w:hRule="exact" w:val="765"/>
        </w:trPr>
        <w:tc>
          <w:tcPr>
            <w:tcW w:w="2981" w:type="dxa"/>
            <w:tcBorders>
              <w:top w:val="single" w:sz="12" w:space="0" w:color="auto"/>
              <w:bottom w:val="single" w:sz="12" w:space="0" w:color="auto"/>
            </w:tcBorders>
            <w:vAlign w:val="center"/>
          </w:tcPr>
          <w:p w14:paraId="35B31913" w14:textId="38864B47" w:rsidR="004C6FE7" w:rsidRPr="00AB24B8" w:rsidRDefault="004C6FE7" w:rsidP="00C32A14">
            <w:pPr>
              <w:ind w:right="-1"/>
              <w:jc w:val="both"/>
              <w:rPr>
                <w:rFonts w:cs="Arial"/>
                <w:b/>
                <w:color w:val="000000" w:themeColor="text1"/>
                <w:sz w:val="22"/>
                <w:szCs w:val="22"/>
              </w:rPr>
            </w:pPr>
            <w:r w:rsidRPr="00AB24B8">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32D5CEF0" w14:textId="77777777" w:rsidR="004C6FE7" w:rsidRPr="00AB24B8" w:rsidRDefault="004C6FE7" w:rsidP="00C32A14">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F708948" w14:textId="77777777" w:rsidR="004C6FE7" w:rsidRPr="00AB24B8" w:rsidRDefault="004C6FE7" w:rsidP="00C32A14">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4C6FE7" w:rsidRPr="00AB24B8" w14:paraId="70FE0A9B" w14:textId="77777777" w:rsidTr="00C32A14">
        <w:trPr>
          <w:trHeight w:val="572"/>
        </w:trPr>
        <w:tc>
          <w:tcPr>
            <w:tcW w:w="2981" w:type="dxa"/>
            <w:tcBorders>
              <w:top w:val="single" w:sz="12" w:space="0" w:color="auto"/>
            </w:tcBorders>
            <w:vAlign w:val="center"/>
          </w:tcPr>
          <w:p w14:paraId="1E9EA5C7" w14:textId="77777777" w:rsidR="004C6FE7" w:rsidRPr="00AB24B8" w:rsidRDefault="004C6FE7" w:rsidP="00C32A14">
            <w:pPr>
              <w:ind w:right="-1"/>
              <w:jc w:val="both"/>
              <w:rPr>
                <w:rFonts w:cs="Arial"/>
                <w:color w:val="000000" w:themeColor="text1"/>
                <w:sz w:val="22"/>
                <w:szCs w:val="22"/>
              </w:rPr>
            </w:pPr>
          </w:p>
        </w:tc>
        <w:tc>
          <w:tcPr>
            <w:tcW w:w="2970" w:type="dxa"/>
            <w:tcBorders>
              <w:top w:val="single" w:sz="12" w:space="0" w:color="auto"/>
            </w:tcBorders>
            <w:vAlign w:val="center"/>
          </w:tcPr>
          <w:p w14:paraId="474A963D" w14:textId="77777777" w:rsidR="004C6FE7" w:rsidRPr="00AB24B8" w:rsidRDefault="004C6FE7" w:rsidP="00C32A14">
            <w:pPr>
              <w:ind w:right="-1"/>
              <w:jc w:val="both"/>
              <w:rPr>
                <w:rFonts w:cs="Arial"/>
                <w:color w:val="000000" w:themeColor="text1"/>
                <w:sz w:val="22"/>
                <w:szCs w:val="22"/>
              </w:rPr>
            </w:pPr>
          </w:p>
        </w:tc>
        <w:tc>
          <w:tcPr>
            <w:tcW w:w="3667" w:type="dxa"/>
            <w:tcBorders>
              <w:top w:val="single" w:sz="12" w:space="0" w:color="auto"/>
            </w:tcBorders>
            <w:vAlign w:val="center"/>
          </w:tcPr>
          <w:p w14:paraId="13727EED" w14:textId="77777777" w:rsidR="004C6FE7" w:rsidRPr="00AB24B8" w:rsidRDefault="004C6FE7" w:rsidP="00C32A14">
            <w:pPr>
              <w:ind w:right="-1"/>
              <w:jc w:val="both"/>
              <w:rPr>
                <w:rFonts w:cs="Arial"/>
                <w:color w:val="000000" w:themeColor="text1"/>
                <w:sz w:val="22"/>
                <w:szCs w:val="22"/>
              </w:rPr>
            </w:pPr>
          </w:p>
          <w:p w14:paraId="2A7BF8A1" w14:textId="77777777" w:rsidR="004C6FE7" w:rsidRPr="00AB24B8" w:rsidRDefault="004C6FE7" w:rsidP="00C32A14">
            <w:pPr>
              <w:ind w:right="-1"/>
              <w:jc w:val="both"/>
              <w:rPr>
                <w:rFonts w:cs="Arial"/>
                <w:color w:val="000000" w:themeColor="text1"/>
                <w:sz w:val="22"/>
                <w:szCs w:val="22"/>
              </w:rPr>
            </w:pPr>
          </w:p>
        </w:tc>
      </w:tr>
      <w:tr w:rsidR="004C6FE7" w:rsidRPr="00AB24B8" w14:paraId="3948019C" w14:textId="77777777" w:rsidTr="00C32A14">
        <w:trPr>
          <w:trHeight w:val="572"/>
        </w:trPr>
        <w:tc>
          <w:tcPr>
            <w:tcW w:w="2981" w:type="dxa"/>
            <w:vAlign w:val="center"/>
          </w:tcPr>
          <w:p w14:paraId="5CE9DF82"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13305A2B"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40FFD23A" w14:textId="77777777" w:rsidR="004C6FE7" w:rsidRPr="00AB24B8" w:rsidRDefault="004C6FE7" w:rsidP="00C32A14">
            <w:pPr>
              <w:ind w:right="-1"/>
              <w:jc w:val="both"/>
              <w:rPr>
                <w:rFonts w:cs="Arial"/>
                <w:color w:val="000000" w:themeColor="text1"/>
                <w:sz w:val="22"/>
                <w:szCs w:val="22"/>
              </w:rPr>
            </w:pPr>
          </w:p>
          <w:p w14:paraId="3130D429" w14:textId="77777777" w:rsidR="004C6FE7" w:rsidRPr="00AB24B8" w:rsidRDefault="004C6FE7" w:rsidP="00C32A14">
            <w:pPr>
              <w:ind w:right="-1"/>
              <w:jc w:val="both"/>
              <w:rPr>
                <w:rFonts w:cs="Arial"/>
                <w:color w:val="000000" w:themeColor="text1"/>
                <w:sz w:val="22"/>
                <w:szCs w:val="22"/>
              </w:rPr>
            </w:pPr>
          </w:p>
        </w:tc>
      </w:tr>
      <w:tr w:rsidR="004C6FE7" w:rsidRPr="00AB24B8" w14:paraId="20D2A175" w14:textId="77777777" w:rsidTr="00C32A14">
        <w:trPr>
          <w:trHeight w:val="557"/>
        </w:trPr>
        <w:tc>
          <w:tcPr>
            <w:tcW w:w="2981" w:type="dxa"/>
            <w:vAlign w:val="center"/>
          </w:tcPr>
          <w:p w14:paraId="1A7299E9"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39874A20"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1633763C" w14:textId="77777777" w:rsidR="004C6FE7" w:rsidRPr="00AB24B8" w:rsidRDefault="004C6FE7" w:rsidP="00C32A14">
            <w:pPr>
              <w:ind w:right="-1"/>
              <w:jc w:val="both"/>
              <w:rPr>
                <w:rFonts w:cs="Arial"/>
                <w:color w:val="000000" w:themeColor="text1"/>
                <w:sz w:val="22"/>
                <w:szCs w:val="22"/>
              </w:rPr>
            </w:pPr>
          </w:p>
          <w:p w14:paraId="4F4B8FA6" w14:textId="77777777" w:rsidR="004C6FE7" w:rsidRPr="00AB24B8" w:rsidRDefault="004C6FE7" w:rsidP="00C32A14">
            <w:pPr>
              <w:ind w:right="-1"/>
              <w:jc w:val="both"/>
              <w:rPr>
                <w:rFonts w:cs="Arial"/>
                <w:color w:val="000000" w:themeColor="text1"/>
                <w:sz w:val="22"/>
                <w:szCs w:val="22"/>
              </w:rPr>
            </w:pPr>
          </w:p>
        </w:tc>
      </w:tr>
      <w:tr w:rsidR="004C6FE7" w:rsidRPr="00AB24B8" w14:paraId="6D62A6DA" w14:textId="77777777" w:rsidTr="00C32A14">
        <w:trPr>
          <w:trHeight w:val="557"/>
        </w:trPr>
        <w:tc>
          <w:tcPr>
            <w:tcW w:w="2981" w:type="dxa"/>
            <w:vAlign w:val="center"/>
          </w:tcPr>
          <w:p w14:paraId="4B88CA4A"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59C548FB"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008DA5B2" w14:textId="77777777" w:rsidR="004C6FE7" w:rsidRPr="00AB24B8" w:rsidRDefault="004C6FE7" w:rsidP="00C32A14">
            <w:pPr>
              <w:ind w:right="-1"/>
              <w:jc w:val="both"/>
              <w:rPr>
                <w:rFonts w:cs="Arial"/>
                <w:color w:val="000000" w:themeColor="text1"/>
                <w:sz w:val="22"/>
                <w:szCs w:val="22"/>
              </w:rPr>
            </w:pPr>
          </w:p>
          <w:p w14:paraId="551A4F57" w14:textId="77777777" w:rsidR="004C6FE7" w:rsidRPr="00AB24B8" w:rsidRDefault="004C6FE7" w:rsidP="00C32A14">
            <w:pPr>
              <w:ind w:right="-1"/>
              <w:jc w:val="both"/>
              <w:rPr>
                <w:rFonts w:cs="Arial"/>
                <w:color w:val="000000" w:themeColor="text1"/>
                <w:sz w:val="22"/>
                <w:szCs w:val="22"/>
              </w:rPr>
            </w:pPr>
          </w:p>
        </w:tc>
      </w:tr>
      <w:tr w:rsidR="004C6FE7" w:rsidRPr="00AB24B8" w14:paraId="1613F2CF" w14:textId="77777777" w:rsidTr="00C32A14">
        <w:trPr>
          <w:trHeight w:val="572"/>
        </w:trPr>
        <w:tc>
          <w:tcPr>
            <w:tcW w:w="2981" w:type="dxa"/>
            <w:vAlign w:val="center"/>
          </w:tcPr>
          <w:p w14:paraId="7CA7F439"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525138CD"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10FCE153" w14:textId="77777777" w:rsidR="004C6FE7" w:rsidRPr="00AB24B8" w:rsidRDefault="004C6FE7" w:rsidP="00C32A14">
            <w:pPr>
              <w:ind w:right="-1"/>
              <w:jc w:val="both"/>
              <w:rPr>
                <w:rFonts w:cs="Arial"/>
                <w:color w:val="000000" w:themeColor="text1"/>
                <w:sz w:val="22"/>
                <w:szCs w:val="22"/>
              </w:rPr>
            </w:pPr>
          </w:p>
          <w:p w14:paraId="505CE041" w14:textId="77777777" w:rsidR="004C6FE7" w:rsidRPr="00AB24B8" w:rsidRDefault="004C6FE7" w:rsidP="00C32A14">
            <w:pPr>
              <w:ind w:right="-1"/>
              <w:jc w:val="both"/>
              <w:rPr>
                <w:rFonts w:cs="Arial"/>
                <w:color w:val="000000" w:themeColor="text1"/>
                <w:sz w:val="22"/>
                <w:szCs w:val="22"/>
              </w:rPr>
            </w:pPr>
          </w:p>
        </w:tc>
      </w:tr>
      <w:tr w:rsidR="004C6FE7" w:rsidRPr="00AB24B8" w14:paraId="13A50746" w14:textId="77777777" w:rsidTr="00C32A14">
        <w:trPr>
          <w:trHeight w:val="557"/>
        </w:trPr>
        <w:tc>
          <w:tcPr>
            <w:tcW w:w="2981" w:type="dxa"/>
            <w:vAlign w:val="center"/>
          </w:tcPr>
          <w:p w14:paraId="1656B6D5"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17B0D5BC"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7604444B" w14:textId="77777777" w:rsidR="004C6FE7" w:rsidRPr="00AB24B8" w:rsidRDefault="004C6FE7" w:rsidP="00C32A14">
            <w:pPr>
              <w:ind w:right="-1"/>
              <w:jc w:val="both"/>
              <w:rPr>
                <w:rFonts w:cs="Arial"/>
                <w:color w:val="000000" w:themeColor="text1"/>
                <w:sz w:val="22"/>
                <w:szCs w:val="22"/>
              </w:rPr>
            </w:pPr>
          </w:p>
          <w:p w14:paraId="1CBCD787" w14:textId="77777777" w:rsidR="004C6FE7" w:rsidRPr="00AB24B8" w:rsidRDefault="004C6FE7" w:rsidP="00C32A14">
            <w:pPr>
              <w:ind w:right="-1"/>
              <w:jc w:val="both"/>
              <w:rPr>
                <w:rFonts w:cs="Arial"/>
                <w:color w:val="000000" w:themeColor="text1"/>
                <w:sz w:val="22"/>
                <w:szCs w:val="22"/>
              </w:rPr>
            </w:pPr>
          </w:p>
        </w:tc>
      </w:tr>
      <w:tr w:rsidR="004C6FE7" w:rsidRPr="00AB24B8" w14:paraId="018D99F2" w14:textId="77777777" w:rsidTr="00C32A14">
        <w:trPr>
          <w:trHeight w:val="572"/>
        </w:trPr>
        <w:tc>
          <w:tcPr>
            <w:tcW w:w="2981" w:type="dxa"/>
            <w:vAlign w:val="center"/>
          </w:tcPr>
          <w:p w14:paraId="3D14C8DE"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616ACE94"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5983ED1D" w14:textId="77777777" w:rsidR="004C6FE7" w:rsidRPr="00AB24B8" w:rsidRDefault="004C6FE7" w:rsidP="00C32A14">
            <w:pPr>
              <w:ind w:right="-1"/>
              <w:jc w:val="both"/>
              <w:rPr>
                <w:rFonts w:cs="Arial"/>
                <w:color w:val="000000" w:themeColor="text1"/>
                <w:sz w:val="22"/>
                <w:szCs w:val="22"/>
              </w:rPr>
            </w:pPr>
          </w:p>
          <w:p w14:paraId="352C5A36" w14:textId="77777777" w:rsidR="004C6FE7" w:rsidRPr="00AB24B8" w:rsidRDefault="004C6FE7" w:rsidP="00C32A14">
            <w:pPr>
              <w:ind w:right="-1"/>
              <w:jc w:val="both"/>
              <w:rPr>
                <w:rFonts w:cs="Arial"/>
                <w:color w:val="000000" w:themeColor="text1"/>
                <w:sz w:val="22"/>
                <w:szCs w:val="22"/>
              </w:rPr>
            </w:pPr>
          </w:p>
        </w:tc>
      </w:tr>
      <w:tr w:rsidR="004C6FE7" w:rsidRPr="00AB24B8" w14:paraId="5489816B" w14:textId="77777777" w:rsidTr="00C32A14">
        <w:trPr>
          <w:trHeight w:val="557"/>
        </w:trPr>
        <w:tc>
          <w:tcPr>
            <w:tcW w:w="2981" w:type="dxa"/>
            <w:vAlign w:val="center"/>
          </w:tcPr>
          <w:p w14:paraId="3057819A"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2813BCA0"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183816A3" w14:textId="77777777" w:rsidR="004C6FE7" w:rsidRPr="00AB24B8" w:rsidRDefault="004C6FE7" w:rsidP="00C32A14">
            <w:pPr>
              <w:ind w:right="-1"/>
              <w:jc w:val="both"/>
              <w:rPr>
                <w:rFonts w:cs="Arial"/>
                <w:color w:val="000000" w:themeColor="text1"/>
                <w:sz w:val="22"/>
                <w:szCs w:val="22"/>
              </w:rPr>
            </w:pPr>
          </w:p>
          <w:p w14:paraId="3AC93881" w14:textId="77777777" w:rsidR="004C6FE7" w:rsidRPr="00AB24B8" w:rsidRDefault="004C6FE7" w:rsidP="00C32A14">
            <w:pPr>
              <w:ind w:right="-1"/>
              <w:jc w:val="both"/>
              <w:rPr>
                <w:rFonts w:cs="Arial"/>
                <w:color w:val="000000" w:themeColor="text1"/>
                <w:sz w:val="22"/>
                <w:szCs w:val="22"/>
              </w:rPr>
            </w:pPr>
          </w:p>
        </w:tc>
      </w:tr>
      <w:tr w:rsidR="004C6FE7" w:rsidRPr="00AB24B8" w14:paraId="7518D87F" w14:textId="77777777" w:rsidTr="00C32A14">
        <w:trPr>
          <w:trHeight w:val="572"/>
        </w:trPr>
        <w:tc>
          <w:tcPr>
            <w:tcW w:w="2981" w:type="dxa"/>
            <w:vAlign w:val="center"/>
          </w:tcPr>
          <w:p w14:paraId="3A36D238"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642B7AD8"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73149BC3" w14:textId="77777777" w:rsidR="004C6FE7" w:rsidRPr="00AB24B8" w:rsidRDefault="004C6FE7" w:rsidP="00C32A14">
            <w:pPr>
              <w:ind w:right="-1"/>
              <w:jc w:val="both"/>
              <w:rPr>
                <w:rFonts w:cs="Arial"/>
                <w:color w:val="000000" w:themeColor="text1"/>
                <w:sz w:val="22"/>
                <w:szCs w:val="22"/>
              </w:rPr>
            </w:pPr>
          </w:p>
          <w:p w14:paraId="78A88C3C" w14:textId="77777777" w:rsidR="004C6FE7" w:rsidRPr="00AB24B8" w:rsidRDefault="004C6FE7" w:rsidP="00C32A14">
            <w:pPr>
              <w:ind w:right="-1"/>
              <w:jc w:val="both"/>
              <w:rPr>
                <w:rFonts w:cs="Arial"/>
                <w:color w:val="000000" w:themeColor="text1"/>
                <w:sz w:val="22"/>
                <w:szCs w:val="22"/>
              </w:rPr>
            </w:pPr>
          </w:p>
        </w:tc>
      </w:tr>
      <w:tr w:rsidR="004C6FE7" w:rsidRPr="00AB24B8" w14:paraId="1365B473" w14:textId="77777777" w:rsidTr="00C32A14">
        <w:trPr>
          <w:trHeight w:val="557"/>
        </w:trPr>
        <w:tc>
          <w:tcPr>
            <w:tcW w:w="2981" w:type="dxa"/>
            <w:vAlign w:val="center"/>
          </w:tcPr>
          <w:p w14:paraId="55368655" w14:textId="77777777" w:rsidR="004C6FE7" w:rsidRPr="00AB24B8" w:rsidRDefault="004C6FE7" w:rsidP="00C32A14">
            <w:pPr>
              <w:ind w:right="-1"/>
              <w:jc w:val="both"/>
              <w:rPr>
                <w:rFonts w:cs="Arial"/>
                <w:color w:val="000000" w:themeColor="text1"/>
                <w:sz w:val="22"/>
                <w:szCs w:val="22"/>
              </w:rPr>
            </w:pPr>
          </w:p>
        </w:tc>
        <w:tc>
          <w:tcPr>
            <w:tcW w:w="2970" w:type="dxa"/>
            <w:vAlign w:val="center"/>
          </w:tcPr>
          <w:p w14:paraId="27CC5102" w14:textId="77777777" w:rsidR="004C6FE7" w:rsidRPr="00AB24B8" w:rsidRDefault="004C6FE7" w:rsidP="00C32A14">
            <w:pPr>
              <w:ind w:right="-1"/>
              <w:jc w:val="both"/>
              <w:rPr>
                <w:rFonts w:cs="Arial"/>
                <w:color w:val="000000" w:themeColor="text1"/>
                <w:sz w:val="22"/>
                <w:szCs w:val="22"/>
              </w:rPr>
            </w:pPr>
          </w:p>
        </w:tc>
        <w:tc>
          <w:tcPr>
            <w:tcW w:w="3667" w:type="dxa"/>
            <w:vAlign w:val="center"/>
          </w:tcPr>
          <w:p w14:paraId="644C834E" w14:textId="77777777" w:rsidR="004C6FE7" w:rsidRPr="00AB24B8" w:rsidRDefault="004C6FE7" w:rsidP="00C32A14">
            <w:pPr>
              <w:ind w:right="-1"/>
              <w:jc w:val="both"/>
              <w:rPr>
                <w:rFonts w:cs="Arial"/>
                <w:color w:val="000000" w:themeColor="text1"/>
                <w:sz w:val="22"/>
                <w:szCs w:val="22"/>
              </w:rPr>
            </w:pPr>
          </w:p>
          <w:p w14:paraId="66562F69" w14:textId="77777777" w:rsidR="004C6FE7" w:rsidRPr="00AB24B8" w:rsidRDefault="004C6FE7" w:rsidP="00C32A14">
            <w:pPr>
              <w:ind w:right="-1"/>
              <w:jc w:val="both"/>
              <w:rPr>
                <w:rFonts w:cs="Arial"/>
                <w:color w:val="000000" w:themeColor="text1"/>
                <w:sz w:val="22"/>
                <w:szCs w:val="22"/>
              </w:rPr>
            </w:pPr>
          </w:p>
        </w:tc>
      </w:tr>
      <w:tr w:rsidR="004C6FE7" w:rsidRPr="00AB24B8" w14:paraId="16F872FD" w14:textId="77777777" w:rsidTr="00C32A14">
        <w:trPr>
          <w:trHeight w:val="572"/>
        </w:trPr>
        <w:tc>
          <w:tcPr>
            <w:tcW w:w="2981" w:type="dxa"/>
            <w:tcBorders>
              <w:bottom w:val="single" w:sz="12" w:space="0" w:color="auto"/>
            </w:tcBorders>
            <w:vAlign w:val="center"/>
          </w:tcPr>
          <w:p w14:paraId="3FC8696F" w14:textId="77777777" w:rsidR="004C6FE7" w:rsidRPr="00AB24B8" w:rsidRDefault="004C6FE7" w:rsidP="00C32A14">
            <w:pPr>
              <w:ind w:right="-1"/>
              <w:jc w:val="both"/>
              <w:rPr>
                <w:rFonts w:cs="Arial"/>
                <w:color w:val="000000" w:themeColor="text1"/>
                <w:sz w:val="22"/>
                <w:szCs w:val="22"/>
              </w:rPr>
            </w:pPr>
          </w:p>
        </w:tc>
        <w:tc>
          <w:tcPr>
            <w:tcW w:w="2970" w:type="dxa"/>
            <w:tcBorders>
              <w:bottom w:val="single" w:sz="12" w:space="0" w:color="auto"/>
            </w:tcBorders>
            <w:vAlign w:val="center"/>
          </w:tcPr>
          <w:p w14:paraId="06819002" w14:textId="77777777" w:rsidR="004C6FE7" w:rsidRPr="00AB24B8" w:rsidRDefault="004C6FE7" w:rsidP="00C32A14">
            <w:pPr>
              <w:ind w:right="-1"/>
              <w:jc w:val="both"/>
              <w:rPr>
                <w:rFonts w:cs="Arial"/>
                <w:color w:val="000000" w:themeColor="text1"/>
                <w:sz w:val="22"/>
                <w:szCs w:val="22"/>
              </w:rPr>
            </w:pPr>
          </w:p>
        </w:tc>
        <w:tc>
          <w:tcPr>
            <w:tcW w:w="3667" w:type="dxa"/>
            <w:tcBorders>
              <w:bottom w:val="single" w:sz="12" w:space="0" w:color="auto"/>
            </w:tcBorders>
            <w:vAlign w:val="center"/>
          </w:tcPr>
          <w:p w14:paraId="337E578C" w14:textId="77777777" w:rsidR="004C6FE7" w:rsidRPr="00AB24B8" w:rsidRDefault="004C6FE7" w:rsidP="00C32A14">
            <w:pPr>
              <w:ind w:right="-1"/>
              <w:jc w:val="both"/>
              <w:rPr>
                <w:rFonts w:cs="Arial"/>
                <w:color w:val="000000" w:themeColor="text1"/>
                <w:sz w:val="22"/>
                <w:szCs w:val="22"/>
              </w:rPr>
            </w:pPr>
          </w:p>
          <w:p w14:paraId="10F15FE4" w14:textId="77777777" w:rsidR="004C6FE7" w:rsidRPr="00AB24B8" w:rsidRDefault="004C6FE7" w:rsidP="00C32A14">
            <w:pPr>
              <w:ind w:right="-1"/>
              <w:jc w:val="both"/>
              <w:rPr>
                <w:rFonts w:cs="Arial"/>
                <w:color w:val="000000" w:themeColor="text1"/>
                <w:sz w:val="22"/>
                <w:szCs w:val="22"/>
              </w:rPr>
            </w:pPr>
          </w:p>
        </w:tc>
      </w:tr>
    </w:tbl>
    <w:p w14:paraId="5460207C" w14:textId="77777777" w:rsidR="004C6FE7" w:rsidRPr="00AB24B8" w:rsidRDefault="004C6FE7" w:rsidP="004C6FE7">
      <w:pPr>
        <w:ind w:right="-1"/>
        <w:jc w:val="both"/>
        <w:rPr>
          <w:rFonts w:cs="Arial"/>
          <w:color w:val="000000" w:themeColor="text1"/>
          <w:sz w:val="22"/>
          <w:szCs w:val="22"/>
        </w:rPr>
      </w:pPr>
    </w:p>
    <w:p w14:paraId="06CB2751" w14:textId="77777777" w:rsidR="004C6FE7" w:rsidRPr="00AB24B8" w:rsidRDefault="004C6FE7" w:rsidP="004C6FE7">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3AB001FA" w14:textId="77777777" w:rsidR="004C6FE7" w:rsidRPr="00AB24B8" w:rsidRDefault="004C6FE7" w:rsidP="004C6FE7">
      <w:pPr>
        <w:ind w:right="-1"/>
        <w:jc w:val="both"/>
        <w:rPr>
          <w:rFonts w:cs="Arial"/>
          <w:color w:val="000000" w:themeColor="text1"/>
          <w:sz w:val="22"/>
          <w:szCs w:val="22"/>
        </w:rPr>
      </w:pPr>
    </w:p>
    <w:p w14:paraId="0D48AC77" w14:textId="77777777" w:rsidR="004C6FE7" w:rsidRDefault="004C6FE7" w:rsidP="004C6FE7">
      <w:pPr>
        <w:ind w:right="-1"/>
        <w:jc w:val="both"/>
        <w:rPr>
          <w:rFonts w:cs="Arial"/>
          <w:color w:val="000000" w:themeColor="text1"/>
          <w:sz w:val="22"/>
          <w:szCs w:val="22"/>
        </w:rPr>
      </w:pPr>
    </w:p>
    <w:p w14:paraId="380D0023" w14:textId="77777777" w:rsidR="004C6FE7" w:rsidRPr="00AB24B8" w:rsidRDefault="004C6FE7" w:rsidP="004C6FE7">
      <w:pPr>
        <w:ind w:right="-1"/>
        <w:jc w:val="both"/>
        <w:rPr>
          <w:rFonts w:cs="Arial"/>
          <w:color w:val="000000" w:themeColor="text1"/>
          <w:sz w:val="22"/>
          <w:szCs w:val="22"/>
        </w:rPr>
      </w:pPr>
      <w:r w:rsidRPr="008901B6">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p>
    <w:p w14:paraId="65CB0D50" w14:textId="77777777" w:rsidR="004C6FE7" w:rsidRPr="00AB24B8" w:rsidRDefault="004C6FE7" w:rsidP="004C6FE7">
      <w:pPr>
        <w:ind w:right="-1"/>
        <w:jc w:val="both"/>
        <w:rPr>
          <w:rFonts w:cs="Arial"/>
          <w:color w:val="000000" w:themeColor="text1"/>
          <w:sz w:val="22"/>
          <w:szCs w:val="22"/>
        </w:rPr>
      </w:pPr>
    </w:p>
    <w:p w14:paraId="6D67E25E" w14:textId="0E1DE441" w:rsidR="00B03014" w:rsidRPr="007B12AA" w:rsidRDefault="00B03014" w:rsidP="007B12AA">
      <w:pPr>
        <w:jc w:val="both"/>
        <w:rPr>
          <w:rFonts w:cs="Arial"/>
          <w:b/>
          <w:sz w:val="22"/>
          <w:szCs w:val="22"/>
        </w:rPr>
      </w:pPr>
    </w:p>
    <w:sectPr w:rsidR="00B03014" w:rsidRPr="007B12AA" w:rsidSect="000D0A32">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5DB9" w14:textId="77777777" w:rsidR="00CB4712" w:rsidRDefault="00CB4712">
      <w:r>
        <w:separator/>
      </w:r>
    </w:p>
  </w:endnote>
  <w:endnote w:type="continuationSeparator" w:id="0">
    <w:p w14:paraId="17B7D622" w14:textId="77777777" w:rsidR="00CB4712" w:rsidRDefault="00CB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7777777"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7CABD05B" w:rsidR="000D3F83" w:rsidRPr="00FA3A35" w:rsidRDefault="004C6FE7" w:rsidP="00474259">
          <w:pPr>
            <w:pStyle w:val="Fuzeile"/>
            <w:ind w:right="-83"/>
            <w:rPr>
              <w:rFonts w:cs="Arial"/>
              <w:sz w:val="16"/>
              <w:szCs w:val="16"/>
            </w:rPr>
          </w:pPr>
          <w:r>
            <w:rPr>
              <w:rFonts w:cs="Arial"/>
              <w:sz w:val="16"/>
              <w:szCs w:val="16"/>
            </w:rPr>
            <w:t>12</w:t>
          </w:r>
          <w:r w:rsidR="00AB24B8">
            <w:rPr>
              <w:rFonts w:cs="Arial"/>
              <w:sz w:val="16"/>
              <w:szCs w:val="16"/>
            </w:rPr>
            <w:t>.20</w:t>
          </w:r>
          <w:r>
            <w:rPr>
              <w:rFonts w:cs="Arial"/>
              <w:sz w:val="16"/>
              <w:szCs w:val="16"/>
            </w:rPr>
            <w:t>20</w:t>
          </w:r>
        </w:p>
      </w:tc>
      <w:tc>
        <w:tcPr>
          <w:tcW w:w="1114" w:type="dxa"/>
          <w:vAlign w:val="center"/>
        </w:tcPr>
        <w:p w14:paraId="065DCDF1" w14:textId="77777777"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77777777"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9879A" w14:textId="77777777" w:rsidR="00CB4712" w:rsidRDefault="00CB4712">
      <w:r>
        <w:separator/>
      </w:r>
    </w:p>
  </w:footnote>
  <w:footnote w:type="continuationSeparator" w:id="0">
    <w:p w14:paraId="7D0509B9" w14:textId="77777777" w:rsidR="00CB4712" w:rsidRDefault="00CB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533B0426" w:rsidR="000D3F83" w:rsidRPr="0099744C" w:rsidRDefault="000D3F83" w:rsidP="00474259">
          <w:pPr>
            <w:jc w:val="center"/>
            <w:rPr>
              <w:rFonts w:cs="Arial"/>
              <w:sz w:val="22"/>
            </w:rPr>
          </w:pPr>
          <w:r w:rsidRPr="0099744C">
            <w:rPr>
              <w:rFonts w:cs="Arial"/>
              <w:b/>
              <w:sz w:val="22"/>
            </w:rPr>
            <w:t>UW_KU_</w:t>
          </w:r>
          <w:r w:rsidR="003B2FDF">
            <w:rPr>
              <w:rFonts w:cs="Arial"/>
              <w:b/>
              <w:sz w:val="22"/>
            </w:rPr>
            <w:t>1</w:t>
          </w:r>
          <w:r w:rsidR="00734D7F">
            <w:rPr>
              <w:rFonts w:cs="Arial"/>
              <w:b/>
              <w:sz w:val="22"/>
            </w:rPr>
            <w:t>9</w:t>
          </w:r>
        </w:p>
      </w:tc>
      <w:tc>
        <w:tcPr>
          <w:tcW w:w="5026" w:type="dxa"/>
          <w:vAlign w:val="center"/>
        </w:tcPr>
        <w:p w14:paraId="5B1B48B7" w14:textId="5045E5FF" w:rsidR="000D3F83" w:rsidRPr="00BC2EF4" w:rsidRDefault="00734D7F" w:rsidP="00713E4A">
          <w:pPr>
            <w:jc w:val="center"/>
            <w:rPr>
              <w:rFonts w:cs="Arial"/>
              <w:sz w:val="28"/>
              <w:szCs w:val="28"/>
            </w:rPr>
          </w:pPr>
          <w:r w:rsidRPr="00734D7F">
            <w:rPr>
              <w:rFonts w:cs="Arial"/>
              <w:sz w:val="28"/>
              <w:szCs w:val="28"/>
            </w:rPr>
            <w:t>Instandhaltung</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A11EA8"/>
    <w:multiLevelType w:val="hybridMultilevel"/>
    <w:tmpl w:val="7DF45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5"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A2555C"/>
    <w:multiLevelType w:val="hybridMultilevel"/>
    <w:tmpl w:val="D33C62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9" w15:restartNumberingAfterBreak="0">
    <w:nsid w:val="287246D7"/>
    <w:multiLevelType w:val="hybridMultilevel"/>
    <w:tmpl w:val="F0EE9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11"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5A65C8"/>
    <w:multiLevelType w:val="hybridMultilevel"/>
    <w:tmpl w:val="D64832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D07C3"/>
    <w:multiLevelType w:val="hybridMultilevel"/>
    <w:tmpl w:val="F6DE2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7"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9"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8"/>
  </w:num>
  <w:num w:numId="2">
    <w:abstractNumId w:val="19"/>
  </w:num>
  <w:num w:numId="3">
    <w:abstractNumId w:val="8"/>
  </w:num>
  <w:num w:numId="4">
    <w:abstractNumId w:val="0"/>
  </w:num>
  <w:num w:numId="5">
    <w:abstractNumId w:val="2"/>
  </w:num>
  <w:num w:numId="6">
    <w:abstractNumId w:val="17"/>
  </w:num>
  <w:num w:numId="7">
    <w:abstractNumId w:val="1"/>
  </w:num>
  <w:num w:numId="8">
    <w:abstractNumId w:val="16"/>
  </w:num>
  <w:num w:numId="9">
    <w:abstractNumId w:val="10"/>
  </w:num>
  <w:num w:numId="10">
    <w:abstractNumId w:val="12"/>
  </w:num>
  <w:num w:numId="11">
    <w:abstractNumId w:val="5"/>
  </w:num>
  <w:num w:numId="12">
    <w:abstractNumId w:val="4"/>
  </w:num>
  <w:num w:numId="13">
    <w:abstractNumId w:val="6"/>
  </w:num>
  <w:num w:numId="14">
    <w:abstractNumId w:val="11"/>
  </w:num>
  <w:num w:numId="15">
    <w:abstractNumId w:val="14"/>
  </w:num>
  <w:num w:numId="16">
    <w:abstractNumId w:val="9"/>
  </w:num>
  <w:num w:numId="17">
    <w:abstractNumId w:val="15"/>
  </w:num>
  <w:num w:numId="18">
    <w:abstractNumId w:val="3"/>
  </w:num>
  <w:num w:numId="19">
    <w:abstractNumId w:val="13"/>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4B6A"/>
    <w:rsid w:val="00127406"/>
    <w:rsid w:val="00130BD6"/>
    <w:rsid w:val="001319BE"/>
    <w:rsid w:val="00133B78"/>
    <w:rsid w:val="00137228"/>
    <w:rsid w:val="00141349"/>
    <w:rsid w:val="00141F76"/>
    <w:rsid w:val="001441C9"/>
    <w:rsid w:val="0015462A"/>
    <w:rsid w:val="00156BFD"/>
    <w:rsid w:val="0016026E"/>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2FDF"/>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C6FE7"/>
    <w:rsid w:val="004C7BF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34D7F"/>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12A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86F78"/>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B4712"/>
    <w:rsid w:val="00CB55F1"/>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osha.europa.e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F8386-B8A6-48BB-85D3-23306C9A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2A30-AD89-4BFA-ACE5-15E92618A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D85F9-5BC1-42FB-957D-7D3B7D1F6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10827</Characters>
  <Application>Microsoft Office Word</Application>
  <DocSecurity>0</DocSecurity>
  <Lines>90</Lines>
  <Paragraphs>25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12520</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4</cp:revision>
  <cp:lastPrinted>2016-03-18T13:13:00Z</cp:lastPrinted>
  <dcterms:created xsi:type="dcterms:W3CDTF">2020-12-15T14:39:00Z</dcterms:created>
  <dcterms:modified xsi:type="dcterms:W3CDTF">2020-12-15T16:41:00Z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10807200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