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6A597" w14:textId="6FB89FA3" w:rsidR="00D4538B" w:rsidRPr="00D4538B" w:rsidRDefault="00D4538B" w:rsidP="00D4538B">
      <w:pPr>
        <w:spacing w:before="60" w:after="60"/>
        <w:jc w:val="both"/>
        <w:rPr>
          <w:sz w:val="20"/>
          <w:szCs w:val="15"/>
        </w:rPr>
      </w:pPr>
      <w:r w:rsidRPr="00D4538B">
        <w:rPr>
          <w:sz w:val="20"/>
          <w:szCs w:val="15"/>
        </w:rPr>
        <w:t>Wird in einem Gebäude eine elektrische Anlage, ein Datennetz etc. errichtet, erweitert oder saniert so handelt es sich dabei gem. VDE-Schriftenreihe Nr. 133 Kap. 2 um eine Baumaßnahme.</w:t>
      </w:r>
    </w:p>
    <w:p w14:paraId="35907B02" w14:textId="77777777" w:rsidR="00D4538B" w:rsidRDefault="00D4538B" w:rsidP="00D4538B">
      <w:pPr>
        <w:spacing w:before="60" w:after="60"/>
        <w:jc w:val="both"/>
        <w:rPr>
          <w:sz w:val="20"/>
          <w:szCs w:val="15"/>
        </w:rPr>
      </w:pPr>
    </w:p>
    <w:p w14:paraId="29881C3B" w14:textId="1701A7D6" w:rsidR="00D4538B" w:rsidRPr="00D4538B" w:rsidRDefault="00D4538B" w:rsidP="00D4538B">
      <w:pPr>
        <w:spacing w:before="60" w:after="60"/>
        <w:jc w:val="both"/>
        <w:rPr>
          <w:sz w:val="20"/>
          <w:szCs w:val="15"/>
        </w:rPr>
      </w:pPr>
      <w:r w:rsidRPr="00D4538B">
        <w:rPr>
          <w:sz w:val="20"/>
          <w:szCs w:val="15"/>
        </w:rPr>
        <w:t>Da bei elektrotechnischen Anlagen die Themen Sicherheit und Brandschutz eine zentrale Rolle spielen, werden in der Regel fachkundige Ingenieurbüros für die Planung, Ausschreibung, Vergabe, Bauleitung, Abnahme und Kostenkontrolle mit Rechnungslegung beauftragt. Die Leistung / Umsetzung der Baumaßnahme erfolgt dann durch fachkundige und leistungsfähige Firmen.</w:t>
      </w:r>
      <w:r w:rsidRPr="00D4538B">
        <w:rPr>
          <w:noProof/>
          <w:sz w:val="20"/>
          <w:szCs w:val="15"/>
        </w:rPr>
        <w:t xml:space="preserve"> </w:t>
      </w:r>
      <w:r w:rsidRPr="00D4538B">
        <w:rPr>
          <w:sz w:val="20"/>
          <w:szCs w:val="15"/>
        </w:rPr>
        <w:t xml:space="preserve">Zum erfolgreichen Gelingen einer solchen Baumaßnahme müssen die wesentlichen vertraglichen Regelungen zwischen den Beteiligten (Bauherr, Planer, ausführende Gewerke, etc.) getroffen werden. Dabei handelt es sich in vielen Fällen um </w:t>
      </w:r>
      <w:r w:rsidRPr="00D4538B">
        <w:rPr>
          <w:b/>
          <w:sz w:val="20"/>
          <w:szCs w:val="15"/>
        </w:rPr>
        <w:t>Werkverträge</w:t>
      </w:r>
      <w:r w:rsidRPr="00D4538B">
        <w:rPr>
          <w:sz w:val="20"/>
          <w:szCs w:val="15"/>
        </w:rPr>
        <w:t>, zu denen der Gesetzgeber im BGB entsprechende Regelungen trifft.</w:t>
      </w:r>
    </w:p>
    <w:p w14:paraId="65AFDE65" w14:textId="76F0456E" w:rsidR="00D4538B" w:rsidRPr="00D4538B" w:rsidRDefault="00D4538B" w:rsidP="00D4538B">
      <w:pPr>
        <w:pStyle w:val="KeinLeerraum"/>
        <w:spacing w:before="240" w:after="60"/>
        <w:rPr>
          <w:rFonts w:ascii="Arial" w:hAnsi="Arial" w:cs="Arial"/>
          <w:b/>
          <w:sz w:val="20"/>
          <w:szCs w:val="20"/>
        </w:rPr>
      </w:pPr>
      <w:r w:rsidRPr="00D4538B">
        <w:rPr>
          <w:rFonts w:ascii="Arial" w:hAnsi="Arial" w:cs="Arial"/>
          <w:noProof/>
          <w:sz w:val="20"/>
          <w:szCs w:val="20"/>
        </w:rPr>
        <w:drawing>
          <wp:anchor distT="0" distB="0" distL="114300" distR="114300" simplePos="0" relativeHeight="251658240" behindDoc="1" locked="0" layoutInCell="1" allowOverlap="1" wp14:anchorId="3A15A11B" wp14:editId="733775F0">
            <wp:simplePos x="0" y="0"/>
            <wp:positionH relativeFrom="column">
              <wp:posOffset>4143375</wp:posOffset>
            </wp:positionH>
            <wp:positionV relativeFrom="paragraph">
              <wp:posOffset>288290</wp:posOffset>
            </wp:positionV>
            <wp:extent cx="1962150" cy="1352550"/>
            <wp:effectExtent l="0" t="0" r="6350" b="6350"/>
            <wp:wrapTight wrapText="bothSides">
              <wp:wrapPolygon edited="0">
                <wp:start x="0" y="0"/>
                <wp:lineTo x="0" y="21499"/>
                <wp:lineTo x="21530" y="21499"/>
                <wp:lineTo x="2153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_DA.jpg"/>
                    <pic:cNvPicPr/>
                  </pic:nvPicPr>
                  <pic:blipFill>
                    <a:blip r:embed="rId8"/>
                    <a:stretch>
                      <a:fillRect/>
                    </a:stretch>
                  </pic:blipFill>
                  <pic:spPr>
                    <a:xfrm>
                      <a:off x="0" y="0"/>
                      <a:ext cx="1962150" cy="1352550"/>
                    </a:xfrm>
                    <a:prstGeom prst="rect">
                      <a:avLst/>
                    </a:prstGeom>
                  </pic:spPr>
                </pic:pic>
              </a:graphicData>
            </a:graphic>
            <wp14:sizeRelH relativeFrom="page">
              <wp14:pctWidth>0</wp14:pctWidth>
            </wp14:sizeRelH>
            <wp14:sizeRelV relativeFrom="page">
              <wp14:pctHeight>0</wp14:pctHeight>
            </wp14:sizeRelV>
          </wp:anchor>
        </w:drawing>
      </w:r>
      <w:r w:rsidRPr="00D4538B">
        <w:rPr>
          <w:rFonts w:ascii="Arial" w:hAnsi="Arial" w:cs="Arial"/>
          <w:b/>
          <w:sz w:val="20"/>
          <w:szCs w:val="20"/>
        </w:rPr>
        <w:t>Prüf- und Abnahmeprotokolle: Was bedeutet die Unterschrift?</w:t>
      </w:r>
    </w:p>
    <w:p w14:paraId="26F3B62A" w14:textId="3FADCDBF" w:rsidR="00D4538B" w:rsidRPr="00D4538B" w:rsidRDefault="00D4538B" w:rsidP="00D4538B">
      <w:pPr>
        <w:pStyle w:val="KeinLeerraum"/>
        <w:spacing w:before="60" w:after="60"/>
        <w:rPr>
          <w:rFonts w:ascii="Arial" w:hAnsi="Arial" w:cs="Arial"/>
          <w:sz w:val="20"/>
          <w:szCs w:val="20"/>
        </w:rPr>
      </w:pPr>
      <w:r w:rsidRPr="00D4538B">
        <w:rPr>
          <w:rFonts w:ascii="Arial" w:hAnsi="Arial" w:cs="Arial"/>
          <w:sz w:val="20"/>
          <w:szCs w:val="20"/>
        </w:rPr>
        <w:t>Ein gegengezeichnetes Protokoll stellt eine Urkunde in zivil- und strafrechtlicher Hinsicht dar!</w:t>
      </w:r>
    </w:p>
    <w:p w14:paraId="6EA02B31" w14:textId="3FB50752" w:rsidR="00D4538B" w:rsidRPr="00D4538B" w:rsidRDefault="00D4538B" w:rsidP="00D4538B">
      <w:pPr>
        <w:pStyle w:val="KeinLeerraum"/>
        <w:spacing w:before="240" w:after="120"/>
        <w:rPr>
          <w:rFonts w:ascii="Arial" w:hAnsi="Arial" w:cs="Arial"/>
          <w:b/>
          <w:sz w:val="20"/>
          <w:szCs w:val="20"/>
        </w:rPr>
      </w:pPr>
      <w:r w:rsidRPr="00D4538B">
        <w:rPr>
          <w:rFonts w:ascii="Arial" w:hAnsi="Arial" w:cs="Arial"/>
          <w:b/>
          <w:sz w:val="20"/>
          <w:szCs w:val="20"/>
        </w:rPr>
        <w:t>Abnahme</w:t>
      </w:r>
    </w:p>
    <w:p w14:paraId="11A5F103" w14:textId="7AA49554" w:rsidR="00D4538B" w:rsidRPr="00D4538B" w:rsidRDefault="00D4538B" w:rsidP="00D4538B">
      <w:pPr>
        <w:spacing w:before="60" w:after="120"/>
        <w:rPr>
          <w:noProof/>
          <w:sz w:val="20"/>
          <w:szCs w:val="15"/>
        </w:rPr>
      </w:pPr>
      <w:r>
        <w:rPr>
          <w:noProof/>
        </w:rPr>
        <mc:AlternateContent>
          <mc:Choice Requires="wps">
            <w:drawing>
              <wp:anchor distT="0" distB="0" distL="114300" distR="114300" simplePos="0" relativeHeight="251660288" behindDoc="1" locked="0" layoutInCell="1" allowOverlap="1" wp14:anchorId="20F5D5E1" wp14:editId="518941F1">
                <wp:simplePos x="0" y="0"/>
                <wp:positionH relativeFrom="column">
                  <wp:posOffset>4141470</wp:posOffset>
                </wp:positionH>
                <wp:positionV relativeFrom="paragraph">
                  <wp:posOffset>734695</wp:posOffset>
                </wp:positionV>
                <wp:extent cx="1962150" cy="158115"/>
                <wp:effectExtent l="0" t="0" r="6350" b="0"/>
                <wp:wrapTight wrapText="bothSides">
                  <wp:wrapPolygon edited="0">
                    <wp:start x="0" y="0"/>
                    <wp:lineTo x="0" y="19084"/>
                    <wp:lineTo x="21530" y="19084"/>
                    <wp:lineTo x="2153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962150" cy="158115"/>
                        </a:xfrm>
                        <a:prstGeom prst="rect">
                          <a:avLst/>
                        </a:prstGeom>
                        <a:solidFill>
                          <a:prstClr val="white"/>
                        </a:solidFill>
                        <a:ln>
                          <a:noFill/>
                        </a:ln>
                      </wps:spPr>
                      <wps:txbx>
                        <w:txbxContent>
                          <w:p w14:paraId="7A879B0E" w14:textId="52DEEA30" w:rsidR="00D4538B" w:rsidRPr="00D4538B" w:rsidRDefault="00D4538B" w:rsidP="00D4538B">
                            <w:pPr>
                              <w:pStyle w:val="Beschriftung"/>
                              <w:rPr>
                                <w:rFonts w:eastAsia="Calibri" w:cs="Arial"/>
                                <w:noProof/>
                                <w:sz w:val="16"/>
                                <w:szCs w:val="16"/>
                                <w:lang w:eastAsia="en-US"/>
                              </w:rPr>
                            </w:pPr>
                            <w:r w:rsidRPr="00D4538B">
                              <w:rPr>
                                <w:sz w:val="15"/>
                                <w:szCs w:val="15"/>
                              </w:rPr>
                              <w:t xml:space="preserve">Quelle </w:t>
                            </w:r>
                            <w:r w:rsidRPr="00D4538B">
                              <w:rPr>
                                <w:sz w:val="15"/>
                                <w:szCs w:val="15"/>
                              </w:rPr>
                              <w:fldChar w:fldCharType="begin"/>
                            </w:r>
                            <w:r w:rsidRPr="00D4538B">
                              <w:rPr>
                                <w:sz w:val="15"/>
                                <w:szCs w:val="15"/>
                              </w:rPr>
                              <w:instrText xml:space="preserve"> SEQ Quelle \* ARABIC </w:instrText>
                            </w:r>
                            <w:r w:rsidRPr="00D4538B">
                              <w:rPr>
                                <w:sz w:val="15"/>
                                <w:szCs w:val="15"/>
                              </w:rPr>
                              <w:fldChar w:fldCharType="separate"/>
                            </w:r>
                            <w:r w:rsidRPr="00D4538B">
                              <w:rPr>
                                <w:noProof/>
                                <w:sz w:val="15"/>
                                <w:szCs w:val="15"/>
                              </w:rPr>
                              <w:t>1</w:t>
                            </w:r>
                            <w:r w:rsidRPr="00D4538B">
                              <w:rPr>
                                <w:sz w:val="15"/>
                                <w:szCs w:val="15"/>
                              </w:rPr>
                              <w:fldChar w:fldCharType="end"/>
                            </w:r>
                            <w:r w:rsidRPr="00D4538B">
                              <w:rPr>
                                <w:sz w:val="15"/>
                                <w:szCs w:val="15"/>
                              </w:rPr>
                              <w:t xml:space="preserve"> - R.O.E.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5D5E1" id="_x0000_t202" coordsize="21600,21600" o:spt="202" path="m,l,21600r21600,l21600,xe">
                <v:stroke joinstyle="miter"/>
                <v:path gradientshapeok="t" o:connecttype="rect"/>
              </v:shapetype>
              <v:shape id="Textfeld 1" o:spid="_x0000_s1026" type="#_x0000_t202" style="position:absolute;margin-left:326.1pt;margin-top:57.85pt;width:154.5pt;height:12.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" stroked="f">
                <v:textbox inset="0,0,0,0">
                  <w:txbxContent>
                    <w:p w14:paraId="7A879B0E" w14:textId="52DEEA30" w:rsidR="00D4538B" w:rsidRPr="00D4538B" w:rsidRDefault="00D4538B" w:rsidP="00D4538B">
                      <w:pPr>
                        <w:pStyle w:val="Beschriftung"/>
                        <w:rPr>
                          <w:rFonts w:eastAsia="Calibri" w:cs="Arial"/>
                          <w:noProof/>
                          <w:sz w:val="16"/>
                          <w:szCs w:val="16"/>
                          <w:lang w:eastAsia="en-US"/>
                        </w:rPr>
                      </w:pPr>
                      <w:r w:rsidRPr="00D4538B">
                        <w:rPr>
                          <w:sz w:val="15"/>
                          <w:szCs w:val="15"/>
                        </w:rPr>
                        <w:t xml:space="preserve">Quelle </w:t>
                      </w:r>
                      <w:r w:rsidRPr="00D4538B">
                        <w:rPr>
                          <w:sz w:val="15"/>
                          <w:szCs w:val="15"/>
                        </w:rPr>
                        <w:fldChar w:fldCharType="begin"/>
                      </w:r>
                      <w:r w:rsidRPr="00D4538B">
                        <w:rPr>
                          <w:sz w:val="15"/>
                          <w:szCs w:val="15"/>
                        </w:rPr>
                        <w:instrText xml:space="preserve"> SEQ Quelle \* ARABIC </w:instrText>
                      </w:r>
                      <w:r w:rsidRPr="00D4538B">
                        <w:rPr>
                          <w:sz w:val="15"/>
                          <w:szCs w:val="15"/>
                        </w:rPr>
                        <w:fldChar w:fldCharType="separate"/>
                      </w:r>
                      <w:r w:rsidRPr="00D4538B">
                        <w:rPr>
                          <w:noProof/>
                          <w:sz w:val="15"/>
                          <w:szCs w:val="15"/>
                        </w:rPr>
                        <w:t>1</w:t>
                      </w:r>
                      <w:r w:rsidRPr="00D4538B">
                        <w:rPr>
                          <w:sz w:val="15"/>
                          <w:szCs w:val="15"/>
                        </w:rPr>
                        <w:fldChar w:fldCharType="end"/>
                      </w:r>
                      <w:r w:rsidRPr="00D4538B">
                        <w:rPr>
                          <w:sz w:val="15"/>
                          <w:szCs w:val="15"/>
                        </w:rPr>
                        <w:t xml:space="preserve"> - R.O.E. GmbH</w:t>
                      </w:r>
                    </w:p>
                  </w:txbxContent>
                </v:textbox>
                <w10:wrap type="tight"/>
              </v:shape>
            </w:pict>
          </mc:Fallback>
        </mc:AlternateContent>
      </w:r>
      <w:r w:rsidRPr="00D4538B">
        <w:rPr>
          <w:rFonts w:cs="Arial"/>
          <w:sz w:val="20"/>
        </w:rPr>
        <w:t>Mit der Abnahme kommt es zur Beweislastumkehr, d. h. liegt die Beweislast für die Erfüllung der vertraglich geschuldeten Leistung vor der Abnahme bei der ausführenden Firma, so trägt mit Abnahme der Auftraggeber die Beweislast für Mängel. Mit Abnahme ist auch die Verjährungsfrist für Mängelansprüche gemäß § 634a BGB verknüpft.</w:t>
      </w:r>
      <w:r w:rsidRPr="00D4538B">
        <w:rPr>
          <w:rFonts w:cs="Arial"/>
          <w:sz w:val="20"/>
        </w:rPr>
        <w:br/>
      </w:r>
    </w:p>
    <w:tbl>
      <w:tblPr>
        <w:tblStyle w:val="Tabellenraster"/>
        <w:tblW w:w="9638" w:type="dxa"/>
        <w:tblInd w:w="-5" w:type="dxa"/>
        <w:tblLook w:val="04A0" w:firstRow="1" w:lastRow="0" w:firstColumn="1" w:lastColumn="0" w:noHBand="0" w:noVBand="1"/>
      </w:tblPr>
      <w:tblGrid>
        <w:gridCol w:w="9638"/>
      </w:tblGrid>
      <w:tr w:rsidR="00D4538B" w:rsidRPr="00D4538B" w14:paraId="337575CC" w14:textId="77777777" w:rsidTr="003901B3">
        <w:tc>
          <w:tcPr>
            <w:tcW w:w="9638" w:type="dxa"/>
            <w:shd w:val="clear" w:color="auto" w:fill="FFFF00"/>
          </w:tcPr>
          <w:p w14:paraId="261BBD75" w14:textId="77777777" w:rsidR="00D4538B" w:rsidRPr="00D4538B" w:rsidRDefault="00D4538B" w:rsidP="003901B3">
            <w:pPr>
              <w:spacing w:before="60" w:after="60"/>
              <w:rPr>
                <w:color w:val="FF0000"/>
                <w:sz w:val="20"/>
                <w:szCs w:val="15"/>
              </w:rPr>
            </w:pPr>
            <w:r w:rsidRPr="00D4538B">
              <w:rPr>
                <w:color w:val="FF0000"/>
                <w:sz w:val="20"/>
                <w:szCs w:val="15"/>
              </w:rPr>
              <w:t>WICHTIG: Durch die Abnahme erklärt der Auftraggeber, dass er mit dem Werk einverstanden ist!</w:t>
            </w:r>
          </w:p>
          <w:p w14:paraId="11400248" w14:textId="77777777" w:rsidR="00D4538B" w:rsidRPr="00D4538B" w:rsidRDefault="00D4538B" w:rsidP="003901B3">
            <w:pPr>
              <w:spacing w:before="60" w:after="60"/>
              <w:rPr>
                <w:sz w:val="20"/>
                <w:szCs w:val="15"/>
              </w:rPr>
            </w:pPr>
            <w:r w:rsidRPr="00D4538B">
              <w:rPr>
                <w:sz w:val="20"/>
                <w:szCs w:val="15"/>
              </w:rPr>
              <w:t>Die Rechtsfolgen der Abnahme sind:</w:t>
            </w:r>
          </w:p>
          <w:p w14:paraId="5FA4304A" w14:textId="77777777" w:rsidR="00D4538B" w:rsidRPr="00D4538B" w:rsidRDefault="00D4538B" w:rsidP="00D4538B">
            <w:pPr>
              <w:pStyle w:val="Listenabsatz"/>
              <w:numPr>
                <w:ilvl w:val="0"/>
                <w:numId w:val="48"/>
              </w:numPr>
              <w:spacing w:before="60" w:after="60"/>
              <w:rPr>
                <w:sz w:val="20"/>
                <w:szCs w:val="15"/>
              </w:rPr>
            </w:pPr>
            <w:r w:rsidRPr="00D4538B">
              <w:rPr>
                <w:sz w:val="20"/>
                <w:szCs w:val="15"/>
              </w:rPr>
              <w:t>§ 641 BGB</w:t>
            </w:r>
            <w:r w:rsidRPr="00D4538B">
              <w:rPr>
                <w:sz w:val="20"/>
                <w:szCs w:val="15"/>
              </w:rPr>
              <w:tab/>
            </w:r>
            <w:r w:rsidRPr="00D4538B">
              <w:rPr>
                <w:sz w:val="20"/>
                <w:szCs w:val="15"/>
              </w:rPr>
              <w:sym w:font="Wingdings" w:char="F0E0"/>
            </w:r>
            <w:r w:rsidRPr="00D4538B">
              <w:rPr>
                <w:sz w:val="20"/>
                <w:szCs w:val="15"/>
              </w:rPr>
              <w:t xml:space="preserve"> </w:t>
            </w:r>
            <w:r w:rsidRPr="00D4538B">
              <w:rPr>
                <w:b/>
                <w:sz w:val="20"/>
                <w:szCs w:val="15"/>
              </w:rPr>
              <w:t>Fälligkeit der Vergütung</w:t>
            </w:r>
            <w:r w:rsidRPr="00D4538B">
              <w:rPr>
                <w:sz w:val="20"/>
                <w:szCs w:val="15"/>
              </w:rPr>
              <w:t>,</w:t>
            </w:r>
          </w:p>
          <w:p w14:paraId="38DD6033" w14:textId="77777777" w:rsidR="00D4538B" w:rsidRPr="00D4538B" w:rsidRDefault="00D4538B" w:rsidP="00D4538B">
            <w:pPr>
              <w:pStyle w:val="Listenabsatz"/>
              <w:numPr>
                <w:ilvl w:val="0"/>
                <w:numId w:val="48"/>
              </w:numPr>
              <w:spacing w:before="60" w:after="60"/>
              <w:rPr>
                <w:sz w:val="20"/>
                <w:szCs w:val="15"/>
              </w:rPr>
            </w:pPr>
            <w:r w:rsidRPr="00D4538B">
              <w:rPr>
                <w:sz w:val="20"/>
                <w:szCs w:val="15"/>
              </w:rPr>
              <w:t>§ 644 BGB</w:t>
            </w:r>
            <w:r w:rsidRPr="00D4538B">
              <w:rPr>
                <w:sz w:val="20"/>
                <w:szCs w:val="15"/>
              </w:rPr>
              <w:tab/>
            </w:r>
            <w:r w:rsidRPr="00D4538B">
              <w:rPr>
                <w:sz w:val="20"/>
                <w:szCs w:val="15"/>
              </w:rPr>
              <w:sym w:font="Wingdings" w:char="F0E0"/>
            </w:r>
            <w:r w:rsidRPr="00D4538B">
              <w:rPr>
                <w:sz w:val="20"/>
                <w:szCs w:val="15"/>
              </w:rPr>
              <w:t xml:space="preserve"> </w:t>
            </w:r>
            <w:r w:rsidRPr="00D4538B">
              <w:rPr>
                <w:b/>
                <w:bCs/>
                <w:sz w:val="20"/>
                <w:szCs w:val="15"/>
              </w:rPr>
              <w:t>Gefahrenübergang,</w:t>
            </w:r>
          </w:p>
          <w:p w14:paraId="1FC04BC9" w14:textId="77777777" w:rsidR="00D4538B" w:rsidRPr="00D4538B" w:rsidRDefault="00D4538B" w:rsidP="00D4538B">
            <w:pPr>
              <w:pStyle w:val="Listenabsatz"/>
              <w:numPr>
                <w:ilvl w:val="0"/>
                <w:numId w:val="48"/>
              </w:numPr>
              <w:spacing w:before="60" w:after="60"/>
              <w:rPr>
                <w:sz w:val="20"/>
                <w:szCs w:val="15"/>
              </w:rPr>
            </w:pPr>
            <w:r w:rsidRPr="00D4538B">
              <w:rPr>
                <w:sz w:val="20"/>
                <w:szCs w:val="15"/>
              </w:rPr>
              <w:t>§ 634a BGB</w:t>
            </w:r>
            <w:r w:rsidRPr="00D4538B">
              <w:rPr>
                <w:sz w:val="20"/>
                <w:szCs w:val="15"/>
              </w:rPr>
              <w:tab/>
            </w:r>
            <w:r w:rsidRPr="00D4538B">
              <w:rPr>
                <w:sz w:val="20"/>
                <w:szCs w:val="15"/>
              </w:rPr>
              <w:sym w:font="Wingdings" w:char="F0E0"/>
            </w:r>
            <w:r w:rsidRPr="00D4538B">
              <w:rPr>
                <w:sz w:val="20"/>
                <w:szCs w:val="15"/>
              </w:rPr>
              <w:t xml:space="preserve"> </w:t>
            </w:r>
            <w:r w:rsidRPr="00D4538B">
              <w:rPr>
                <w:b/>
                <w:bCs/>
                <w:sz w:val="20"/>
                <w:szCs w:val="15"/>
              </w:rPr>
              <w:t>Beginn der Verjährungsfrist für Mängelansprüche,</w:t>
            </w:r>
          </w:p>
          <w:p w14:paraId="2F282DE5" w14:textId="77777777" w:rsidR="00D4538B" w:rsidRPr="00D4538B" w:rsidRDefault="00D4538B" w:rsidP="00D4538B">
            <w:pPr>
              <w:pStyle w:val="Listenabsatz"/>
              <w:numPr>
                <w:ilvl w:val="0"/>
                <w:numId w:val="48"/>
              </w:numPr>
              <w:spacing w:before="60" w:after="60"/>
              <w:rPr>
                <w:sz w:val="20"/>
                <w:szCs w:val="15"/>
              </w:rPr>
            </w:pPr>
            <w:r w:rsidRPr="00D4538B">
              <w:rPr>
                <w:sz w:val="20"/>
                <w:szCs w:val="15"/>
              </w:rPr>
              <w:t>§ 284 ZPO</w:t>
            </w:r>
            <w:r w:rsidRPr="00D4538B">
              <w:rPr>
                <w:sz w:val="20"/>
                <w:szCs w:val="15"/>
              </w:rPr>
              <w:tab/>
            </w:r>
            <w:r w:rsidRPr="00D4538B">
              <w:rPr>
                <w:sz w:val="20"/>
                <w:szCs w:val="15"/>
              </w:rPr>
              <w:sym w:font="Wingdings" w:char="F0E0"/>
            </w:r>
            <w:r w:rsidRPr="00D4538B">
              <w:rPr>
                <w:sz w:val="20"/>
                <w:szCs w:val="15"/>
              </w:rPr>
              <w:t xml:space="preserve"> </w:t>
            </w:r>
            <w:r w:rsidRPr="00D4538B">
              <w:rPr>
                <w:b/>
                <w:bCs/>
                <w:sz w:val="20"/>
                <w:szCs w:val="15"/>
              </w:rPr>
              <w:t>Beweislastumkehr zu Lasten des Auftraggebers.</w:t>
            </w:r>
          </w:p>
        </w:tc>
      </w:tr>
    </w:tbl>
    <w:p w14:paraId="3C34D127" w14:textId="77777777" w:rsidR="00D4538B" w:rsidRPr="00D4538B" w:rsidRDefault="00D4538B" w:rsidP="00D4538B">
      <w:pPr>
        <w:spacing w:before="120" w:after="60"/>
        <w:rPr>
          <w:sz w:val="20"/>
          <w:szCs w:val="15"/>
        </w:rPr>
      </w:pPr>
      <w:r w:rsidRPr="00D4538B">
        <w:rPr>
          <w:sz w:val="20"/>
          <w:szCs w:val="15"/>
        </w:rPr>
        <w:t xml:space="preserve">Im Rahmen der Abnahme sind auch die erforderlichen </w:t>
      </w:r>
      <w:r w:rsidRPr="00D4538B">
        <w:rPr>
          <w:b/>
          <w:sz w:val="20"/>
          <w:szCs w:val="15"/>
        </w:rPr>
        <w:t>Dokumente</w:t>
      </w:r>
      <w:r w:rsidRPr="00D4538B">
        <w:rPr>
          <w:sz w:val="20"/>
          <w:szCs w:val="15"/>
        </w:rPr>
        <w:t xml:space="preserve"> für die erbrachten bauwerklichen Leistungen und deren sichere Inbetriebnahme an den Auftraggeber zu übergeben.</w:t>
      </w:r>
    </w:p>
    <w:tbl>
      <w:tblPr>
        <w:tblStyle w:val="Tabellenraster"/>
        <w:tblW w:w="9638" w:type="dxa"/>
        <w:tblLook w:val="04A0" w:firstRow="1" w:lastRow="0" w:firstColumn="1" w:lastColumn="0" w:noHBand="0" w:noVBand="1"/>
      </w:tblPr>
      <w:tblGrid>
        <w:gridCol w:w="3531"/>
        <w:gridCol w:w="6107"/>
      </w:tblGrid>
      <w:tr w:rsidR="00D4538B" w:rsidRPr="00D4538B" w14:paraId="721ACA54" w14:textId="77777777" w:rsidTr="003901B3">
        <w:tc>
          <w:tcPr>
            <w:tcW w:w="3531" w:type="dxa"/>
            <w:tcBorders>
              <w:top w:val="nil"/>
              <w:left w:val="nil"/>
              <w:bottom w:val="nil"/>
              <w:right w:val="nil"/>
            </w:tcBorders>
            <w:vAlign w:val="center"/>
          </w:tcPr>
          <w:p w14:paraId="514887EE" w14:textId="77777777" w:rsidR="00D4538B" w:rsidRPr="00D4538B" w:rsidRDefault="00D4538B" w:rsidP="003901B3">
            <w:pPr>
              <w:spacing w:before="60" w:after="60"/>
              <w:rPr>
                <w:sz w:val="20"/>
                <w:szCs w:val="15"/>
              </w:rPr>
            </w:pPr>
            <w:r w:rsidRPr="00D4538B">
              <w:rPr>
                <w:sz w:val="20"/>
                <w:szCs w:val="15"/>
              </w:rPr>
              <w:t>Dazu zählen insbesondere:</w:t>
            </w:r>
          </w:p>
          <w:p w14:paraId="6693893B" w14:textId="77777777" w:rsidR="00D4538B" w:rsidRPr="00D4538B" w:rsidRDefault="00D4538B" w:rsidP="00D4538B">
            <w:pPr>
              <w:pStyle w:val="Listenabsatz"/>
              <w:numPr>
                <w:ilvl w:val="0"/>
                <w:numId w:val="49"/>
              </w:numPr>
              <w:spacing w:before="60" w:after="60"/>
              <w:rPr>
                <w:sz w:val="20"/>
                <w:szCs w:val="15"/>
              </w:rPr>
            </w:pPr>
            <w:r w:rsidRPr="00D4538B">
              <w:rPr>
                <w:sz w:val="20"/>
                <w:szCs w:val="15"/>
              </w:rPr>
              <w:t>Betriebsanleitungen,</w:t>
            </w:r>
          </w:p>
          <w:p w14:paraId="4504791F" w14:textId="77777777" w:rsidR="00D4538B" w:rsidRPr="00D4538B" w:rsidRDefault="00D4538B" w:rsidP="00D4538B">
            <w:pPr>
              <w:pStyle w:val="Listenabsatz"/>
              <w:numPr>
                <w:ilvl w:val="0"/>
                <w:numId w:val="49"/>
              </w:numPr>
              <w:spacing w:before="60" w:after="60"/>
              <w:rPr>
                <w:sz w:val="20"/>
                <w:szCs w:val="15"/>
              </w:rPr>
            </w:pPr>
            <w:r w:rsidRPr="00D4538B">
              <w:rPr>
                <w:sz w:val="20"/>
                <w:szCs w:val="15"/>
              </w:rPr>
              <w:t>Wartungsvorschriften,</w:t>
            </w:r>
          </w:p>
          <w:p w14:paraId="57A76830" w14:textId="77777777" w:rsidR="00D4538B" w:rsidRPr="00D4538B" w:rsidRDefault="00D4538B" w:rsidP="00D4538B">
            <w:pPr>
              <w:pStyle w:val="Listenabsatz"/>
              <w:numPr>
                <w:ilvl w:val="0"/>
                <w:numId w:val="49"/>
              </w:numPr>
              <w:spacing w:before="60" w:after="60"/>
              <w:rPr>
                <w:sz w:val="20"/>
                <w:szCs w:val="15"/>
              </w:rPr>
            </w:pPr>
            <w:r w:rsidRPr="00D4538B">
              <w:rPr>
                <w:sz w:val="20"/>
                <w:szCs w:val="15"/>
              </w:rPr>
              <w:t>Bestandspläne,</w:t>
            </w:r>
          </w:p>
          <w:p w14:paraId="4C54CFAE" w14:textId="77777777" w:rsidR="00D4538B" w:rsidRPr="00D4538B" w:rsidRDefault="00D4538B" w:rsidP="00D4538B">
            <w:pPr>
              <w:pStyle w:val="Listenabsatz"/>
              <w:numPr>
                <w:ilvl w:val="0"/>
                <w:numId w:val="49"/>
              </w:numPr>
              <w:spacing w:before="60" w:after="60"/>
              <w:rPr>
                <w:sz w:val="20"/>
                <w:szCs w:val="15"/>
              </w:rPr>
            </w:pPr>
            <w:r w:rsidRPr="00D4538B">
              <w:rPr>
                <w:sz w:val="20"/>
                <w:szCs w:val="15"/>
              </w:rPr>
              <w:t>Prüfbücher,</w:t>
            </w:r>
          </w:p>
          <w:p w14:paraId="6CB022AC" w14:textId="77777777" w:rsidR="00D4538B" w:rsidRPr="00D4538B" w:rsidRDefault="00D4538B" w:rsidP="00D4538B">
            <w:pPr>
              <w:pStyle w:val="Listenabsatz"/>
              <w:numPr>
                <w:ilvl w:val="0"/>
                <w:numId w:val="49"/>
              </w:numPr>
              <w:spacing w:before="60" w:after="60"/>
              <w:rPr>
                <w:sz w:val="20"/>
                <w:szCs w:val="15"/>
              </w:rPr>
            </w:pPr>
            <w:r w:rsidRPr="00D4538B">
              <w:rPr>
                <w:sz w:val="20"/>
                <w:szCs w:val="15"/>
              </w:rPr>
              <w:t>Prüfprotokolle und vergleichbare Unterlagen.</w:t>
            </w:r>
          </w:p>
        </w:tc>
        <w:tc>
          <w:tcPr>
            <w:tcW w:w="6107" w:type="dxa"/>
            <w:tcBorders>
              <w:top w:val="nil"/>
              <w:left w:val="nil"/>
              <w:bottom w:val="nil"/>
              <w:right w:val="nil"/>
            </w:tcBorders>
            <w:vAlign w:val="center"/>
          </w:tcPr>
          <w:p w14:paraId="3C2EFFDE" w14:textId="018911B9" w:rsidR="00D4538B" w:rsidRPr="00D4538B" w:rsidRDefault="00D4538B" w:rsidP="003901B3">
            <w:pPr>
              <w:spacing w:before="60" w:after="60"/>
              <w:jc w:val="right"/>
              <w:rPr>
                <w:sz w:val="20"/>
                <w:szCs w:val="15"/>
              </w:rPr>
            </w:pPr>
          </w:p>
        </w:tc>
      </w:tr>
      <w:tr w:rsidR="00D4538B" w:rsidRPr="00D4538B" w14:paraId="4F67901E" w14:textId="77777777" w:rsidTr="003901B3">
        <w:trPr>
          <w:trHeight w:val="822"/>
        </w:trPr>
        <w:tc>
          <w:tcPr>
            <w:tcW w:w="9638" w:type="dxa"/>
            <w:gridSpan w:val="2"/>
            <w:tcBorders>
              <w:top w:val="nil"/>
              <w:left w:val="nil"/>
              <w:bottom w:val="nil"/>
              <w:right w:val="nil"/>
            </w:tcBorders>
            <w:vAlign w:val="center"/>
          </w:tcPr>
          <w:p w14:paraId="08D0DAD3" w14:textId="77777777" w:rsidR="00D4538B" w:rsidRPr="00D4538B" w:rsidRDefault="00D4538B" w:rsidP="003901B3">
            <w:pPr>
              <w:spacing w:after="60"/>
              <w:rPr>
                <w:noProof/>
                <w:sz w:val="20"/>
                <w:szCs w:val="15"/>
              </w:rPr>
            </w:pPr>
            <w:r w:rsidRPr="00D4538B">
              <w:rPr>
                <w:sz w:val="20"/>
                <w:szCs w:val="15"/>
              </w:rPr>
              <w:t>Diese sind für den Betreiber äußerst wichtig, teilweise sogar unverzichtbar, wenn es sich z. B. um sicherheitsrelevante Unterlagen handelt!</w:t>
            </w:r>
          </w:p>
        </w:tc>
      </w:tr>
      <w:tr w:rsidR="00D4538B" w:rsidRPr="00D4538B" w14:paraId="4048D64A" w14:textId="77777777" w:rsidTr="003901B3">
        <w:trPr>
          <w:trHeight w:val="822"/>
        </w:trPr>
        <w:tc>
          <w:tcPr>
            <w:tcW w:w="9638" w:type="dxa"/>
            <w:gridSpan w:val="2"/>
            <w:tcBorders>
              <w:top w:val="nil"/>
              <w:left w:val="nil"/>
              <w:bottom w:val="nil"/>
              <w:right w:val="nil"/>
            </w:tcBorders>
            <w:vAlign w:val="center"/>
          </w:tcPr>
          <w:p w14:paraId="5AF1C702" w14:textId="77777777" w:rsidR="00D4538B" w:rsidRPr="00D4538B" w:rsidRDefault="00D4538B" w:rsidP="003901B3">
            <w:pPr>
              <w:spacing w:before="60" w:after="60"/>
              <w:rPr>
                <w:sz w:val="20"/>
                <w:szCs w:val="15"/>
              </w:rPr>
            </w:pPr>
            <w:r w:rsidRPr="00D4538B">
              <w:rPr>
                <w:sz w:val="20"/>
                <w:szCs w:val="15"/>
              </w:rPr>
              <w:t xml:space="preserve">Speziell die weiter vorne genannte </w:t>
            </w:r>
            <w:r w:rsidRPr="00D4538B">
              <w:rPr>
                <w:b/>
                <w:bCs/>
                <w:sz w:val="20"/>
                <w:szCs w:val="15"/>
              </w:rPr>
              <w:t>Beweislastumkehr zu Lasten des Auftraggebers</w:t>
            </w:r>
            <w:r w:rsidRPr="00D4538B">
              <w:rPr>
                <w:sz w:val="20"/>
                <w:szCs w:val="15"/>
              </w:rPr>
              <w:t xml:space="preserve"> nach der Abnahme ist von großer haftungsrechtlicher Bedeutung für den Auftraggeber!</w:t>
            </w:r>
          </w:p>
          <w:p w14:paraId="47DCA4D7" w14:textId="77777777" w:rsidR="00D4538B" w:rsidRPr="00D4538B" w:rsidRDefault="00D4538B" w:rsidP="003901B3">
            <w:pPr>
              <w:spacing w:before="60" w:after="60"/>
              <w:rPr>
                <w:sz w:val="20"/>
                <w:szCs w:val="15"/>
              </w:rPr>
            </w:pPr>
          </w:p>
          <w:p w14:paraId="5310A2F8" w14:textId="750FA945" w:rsidR="00D4538B" w:rsidRPr="00D4538B" w:rsidRDefault="00D4538B" w:rsidP="003901B3">
            <w:pPr>
              <w:spacing w:before="60" w:after="60"/>
              <w:rPr>
                <w:sz w:val="20"/>
                <w:szCs w:val="15"/>
              </w:rPr>
            </w:pPr>
            <w:r w:rsidRPr="00D4538B">
              <w:rPr>
                <w:sz w:val="20"/>
                <w:szCs w:val="15"/>
              </w:rPr>
              <w:lastRenderedPageBreak/>
              <w:t xml:space="preserve">Mit der Abnahme lässt der Auftraggeber gegen sich gelten, dass das erstellte Werk funktionstauglich und betriebssicher ist. Wer dieses </w:t>
            </w:r>
            <w:r w:rsidRPr="00D4538B">
              <w:rPr>
                <w:b/>
                <w:sz w:val="20"/>
                <w:szCs w:val="15"/>
              </w:rPr>
              <w:t xml:space="preserve">ohne die Sicherheit einer durchgeführten Prüfung und ohne die Beweiskraft einer dementsprechenden Dokumentation „ins Blaue hinein" behauptet, ist aus Sicht der Rechtsprechung </w:t>
            </w:r>
            <w:r w:rsidRPr="00D4538B">
              <w:rPr>
                <w:b/>
                <w:sz w:val="20"/>
                <w:szCs w:val="15"/>
                <w:u w:val="single"/>
              </w:rPr>
              <w:t>nicht</w:t>
            </w:r>
            <w:r w:rsidRPr="00D4538B">
              <w:rPr>
                <w:b/>
                <w:sz w:val="20"/>
                <w:szCs w:val="15"/>
              </w:rPr>
              <w:t xml:space="preserve"> schutzwürdig</w:t>
            </w:r>
            <w:r w:rsidRPr="00D4538B">
              <w:rPr>
                <w:sz w:val="20"/>
                <w:szCs w:val="15"/>
              </w:rPr>
              <w:t xml:space="preserve">, sondern </w:t>
            </w:r>
            <w:r w:rsidRPr="00D4538B">
              <w:rPr>
                <w:b/>
                <w:sz w:val="20"/>
                <w:szCs w:val="15"/>
              </w:rPr>
              <w:t>wird</w:t>
            </w:r>
            <w:r w:rsidRPr="00D4538B">
              <w:rPr>
                <w:sz w:val="20"/>
                <w:szCs w:val="15"/>
              </w:rPr>
              <w:t xml:space="preserve"> wegen der mangelnden Sorgfalt haftungsrechtlich für die Schadenfälle </w:t>
            </w:r>
            <w:r w:rsidRPr="00D4538B">
              <w:rPr>
                <w:b/>
                <w:sz w:val="20"/>
                <w:szCs w:val="15"/>
              </w:rPr>
              <w:t>verantwortlich gemacht</w:t>
            </w:r>
            <w:r w:rsidRPr="00D4538B">
              <w:rPr>
                <w:sz w:val="20"/>
                <w:szCs w:val="15"/>
              </w:rPr>
              <w:t>, deren Eintritt im Rahmen einer ordnungsgemäßen Prüfung des Werkes vor dessen Abnahme vermeidbar gewesen wäre.</w:t>
            </w:r>
          </w:p>
        </w:tc>
      </w:tr>
    </w:tbl>
    <w:p w14:paraId="1286068E" w14:textId="77777777" w:rsidR="00D4538B" w:rsidRPr="00D4538B" w:rsidRDefault="00D4538B" w:rsidP="00D4538B">
      <w:pPr>
        <w:rPr>
          <w:sz w:val="20"/>
          <w:szCs w:val="15"/>
        </w:rPr>
      </w:pPr>
    </w:p>
    <w:p w14:paraId="5036A7C5" w14:textId="77777777" w:rsidR="00D4538B" w:rsidRPr="00D4538B" w:rsidRDefault="00D4538B" w:rsidP="00D4538B">
      <w:pPr>
        <w:pStyle w:val="KeinLeerraum"/>
        <w:spacing w:before="60" w:after="120"/>
        <w:ind w:left="142"/>
        <w:rPr>
          <w:rFonts w:ascii="Arial" w:hAnsi="Arial" w:cs="Arial"/>
          <w:sz w:val="20"/>
          <w:szCs w:val="20"/>
        </w:rPr>
      </w:pPr>
      <w:r w:rsidRPr="00D4538B">
        <w:rPr>
          <w:rFonts w:ascii="Arial" w:hAnsi="Arial" w:cs="Arial"/>
          <w:color w:val="FF0000"/>
          <w:sz w:val="20"/>
          <w:szCs w:val="20"/>
        </w:rPr>
        <w:t>Es werden Prüfprotokolle nach den allgemein anerkannten Regeln der Technik benötigt und keine sogenannten Sorglos-Stempel!</w:t>
      </w:r>
    </w:p>
    <w:p w14:paraId="1C58F182" w14:textId="329D7796" w:rsidR="00A766F8" w:rsidRPr="00D4538B" w:rsidRDefault="00A766F8" w:rsidP="00D4538B">
      <w:pPr>
        <w:autoSpaceDE w:val="0"/>
        <w:autoSpaceDN w:val="0"/>
        <w:adjustRightInd w:val="0"/>
        <w:rPr>
          <w:rFonts w:cs="Arial"/>
          <w:sz w:val="13"/>
          <w:szCs w:val="13"/>
        </w:rPr>
      </w:pPr>
    </w:p>
    <w:sectPr w:rsidR="00A766F8" w:rsidRPr="00D4538B" w:rsidSect="00D75291">
      <w:headerReference w:type="default" r:id="rId9"/>
      <w:footerReference w:type="default" r:id="rId10"/>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B066" w14:textId="77777777" w:rsidR="00842950" w:rsidRDefault="00842950">
      <w:r>
        <w:separator/>
      </w:r>
    </w:p>
  </w:endnote>
  <w:endnote w:type="continuationSeparator" w:id="0">
    <w:p w14:paraId="0982F01E" w14:textId="77777777" w:rsidR="00842950" w:rsidRDefault="0084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ヒラギノ角ゴ Pro W3">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4607B4D4" w:rsidR="004F0DC2" w:rsidRPr="004C1C05" w:rsidRDefault="004B1CBC" w:rsidP="004F0DC2">
          <w:pPr>
            <w:pStyle w:val="Fuzeile"/>
            <w:ind w:right="-83"/>
            <w:rPr>
              <w:sz w:val="16"/>
              <w:szCs w:val="16"/>
            </w:rPr>
          </w:pPr>
          <w:r>
            <w:rPr>
              <w:sz w:val="16"/>
              <w:szCs w:val="16"/>
            </w:rPr>
            <w:t>09</w:t>
          </w:r>
          <w:r w:rsidR="007A3D26">
            <w:rPr>
              <w:sz w:val="16"/>
              <w:szCs w:val="16"/>
            </w:rPr>
            <w:t>.20</w:t>
          </w:r>
          <w:r w:rsidR="004C2F85">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1D2E" w14:textId="77777777" w:rsidR="00842950" w:rsidRDefault="00842950">
      <w:r>
        <w:separator/>
      </w:r>
    </w:p>
  </w:footnote>
  <w:footnote w:type="continuationSeparator" w:id="0">
    <w:p w14:paraId="0AF3A0C2" w14:textId="77777777" w:rsidR="00842950" w:rsidRDefault="0084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2F750B">
      <w:trPr>
        <w:trHeight w:val="832"/>
      </w:trPr>
      <w:tc>
        <w:tcPr>
          <w:tcW w:w="2349" w:type="dxa"/>
          <w:vAlign w:val="center"/>
        </w:tcPr>
        <w:p w14:paraId="157C7CEE" w14:textId="7CAF72FA" w:rsidR="004F0DC2" w:rsidRPr="00E21DC0" w:rsidRDefault="004F0DC2" w:rsidP="004F0DC2">
          <w:pPr>
            <w:jc w:val="center"/>
          </w:pPr>
          <w:r w:rsidRPr="00E21DC0">
            <w:rPr>
              <w:b/>
            </w:rPr>
            <w:t>UW_ET_</w:t>
          </w:r>
          <w:r w:rsidR="00F358D4">
            <w:rPr>
              <w:b/>
            </w:rPr>
            <w:t>61</w:t>
          </w:r>
        </w:p>
      </w:tc>
      <w:tc>
        <w:tcPr>
          <w:tcW w:w="5306" w:type="dxa"/>
          <w:vAlign w:val="center"/>
        </w:tcPr>
        <w:p w14:paraId="592B72C1" w14:textId="77777777" w:rsidR="006557B1" w:rsidRDefault="00D4538B" w:rsidP="006557B1">
          <w:pPr>
            <w:jc w:val="center"/>
            <w:rPr>
              <w:sz w:val="28"/>
              <w:szCs w:val="28"/>
            </w:rPr>
          </w:pPr>
          <w:r>
            <w:rPr>
              <w:sz w:val="28"/>
              <w:szCs w:val="28"/>
            </w:rPr>
            <w:t xml:space="preserve">Bedeutung der Unterschrift auf </w:t>
          </w:r>
        </w:p>
        <w:p w14:paraId="63D167E9" w14:textId="5B86B06F" w:rsidR="004F0DC2" w:rsidRPr="00B2005A" w:rsidRDefault="00D4538B" w:rsidP="006557B1">
          <w:pPr>
            <w:jc w:val="center"/>
            <w:rPr>
              <w:sz w:val="28"/>
              <w:szCs w:val="28"/>
            </w:rPr>
          </w:pPr>
          <w:r>
            <w:rPr>
              <w:sz w:val="28"/>
              <w:szCs w:val="28"/>
            </w:rPr>
            <w:t>Prüf- und Abnahmeprotokollen</w:t>
          </w:r>
        </w:p>
      </w:tc>
      <w:tc>
        <w:tcPr>
          <w:tcW w:w="195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29145B"/>
    <w:multiLevelType w:val="hybridMultilevel"/>
    <w:tmpl w:val="4776E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8"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2"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3"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41C2F04"/>
    <w:multiLevelType w:val="hybridMultilevel"/>
    <w:tmpl w:val="D6ECB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5"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D23292"/>
    <w:multiLevelType w:val="hybridMultilevel"/>
    <w:tmpl w:val="BAB42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9"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5"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4"/>
  </w:num>
  <w:num w:numId="3">
    <w:abstractNumId w:val="33"/>
  </w:num>
  <w:num w:numId="4">
    <w:abstractNumId w:val="15"/>
  </w:num>
  <w:num w:numId="5">
    <w:abstractNumId w:val="38"/>
  </w:num>
  <w:num w:numId="6">
    <w:abstractNumId w:val="40"/>
  </w:num>
  <w:num w:numId="7">
    <w:abstractNumId w:val="6"/>
  </w:num>
  <w:num w:numId="8">
    <w:abstractNumId w:val="31"/>
  </w:num>
  <w:num w:numId="9">
    <w:abstractNumId w:val="9"/>
  </w:num>
  <w:num w:numId="10">
    <w:abstractNumId w:val="43"/>
  </w:num>
  <w:num w:numId="11">
    <w:abstractNumId w:val="30"/>
  </w:num>
  <w:num w:numId="12">
    <w:abstractNumId w:val="48"/>
  </w:num>
  <w:num w:numId="13">
    <w:abstractNumId w:val="4"/>
  </w:num>
  <w:num w:numId="14">
    <w:abstractNumId w:val="35"/>
  </w:num>
  <w:num w:numId="15">
    <w:abstractNumId w:val="19"/>
  </w:num>
  <w:num w:numId="16">
    <w:abstractNumId w:val="13"/>
  </w:num>
  <w:num w:numId="17">
    <w:abstractNumId w:val="14"/>
  </w:num>
  <w:num w:numId="18">
    <w:abstractNumId w:val="8"/>
  </w:num>
  <w:num w:numId="19">
    <w:abstractNumId w:val="12"/>
  </w:num>
  <w:num w:numId="20">
    <w:abstractNumId w:val="44"/>
  </w:num>
  <w:num w:numId="21">
    <w:abstractNumId w:val="16"/>
  </w:num>
  <w:num w:numId="22">
    <w:abstractNumId w:val="17"/>
  </w:num>
  <w:num w:numId="23">
    <w:abstractNumId w:val="42"/>
  </w:num>
  <w:num w:numId="24">
    <w:abstractNumId w:val="18"/>
  </w:num>
  <w:num w:numId="25">
    <w:abstractNumId w:val="41"/>
  </w:num>
  <w:num w:numId="26">
    <w:abstractNumId w:val="22"/>
  </w:num>
  <w:num w:numId="27">
    <w:abstractNumId w:val="27"/>
  </w:num>
  <w:num w:numId="28">
    <w:abstractNumId w:val="1"/>
  </w:num>
  <w:num w:numId="29">
    <w:abstractNumId w:val="5"/>
  </w:num>
  <w:num w:numId="30">
    <w:abstractNumId w:val="46"/>
  </w:num>
  <w:num w:numId="31">
    <w:abstractNumId w:val="21"/>
  </w:num>
  <w:num w:numId="32">
    <w:abstractNumId w:val="34"/>
  </w:num>
  <w:num w:numId="33">
    <w:abstractNumId w:val="28"/>
  </w:num>
  <w:num w:numId="34">
    <w:abstractNumId w:val="10"/>
  </w:num>
  <w:num w:numId="35">
    <w:abstractNumId w:val="37"/>
  </w:num>
  <w:num w:numId="36">
    <w:abstractNumId w:val="7"/>
  </w:num>
  <w:num w:numId="37">
    <w:abstractNumId w:val="29"/>
  </w:num>
  <w:num w:numId="38">
    <w:abstractNumId w:val="39"/>
  </w:num>
  <w:num w:numId="39">
    <w:abstractNumId w:val="26"/>
  </w:num>
  <w:num w:numId="40">
    <w:abstractNumId w:val="20"/>
  </w:num>
  <w:num w:numId="41">
    <w:abstractNumId w:val="47"/>
  </w:num>
  <w:num w:numId="42">
    <w:abstractNumId w:val="45"/>
  </w:num>
  <w:num w:numId="43">
    <w:abstractNumId w:val="2"/>
  </w:num>
  <w:num w:numId="44">
    <w:abstractNumId w:val="23"/>
  </w:num>
  <w:num w:numId="45">
    <w:abstractNumId w:val="0"/>
  </w:num>
  <w:num w:numId="46">
    <w:abstractNumId w:val="32"/>
  </w:num>
  <w:num w:numId="47">
    <w:abstractNumId w:val="36"/>
  </w:num>
  <w:num w:numId="48">
    <w:abstractNumId w:val="2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0A92"/>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2769"/>
    <w:rsid w:val="004A3198"/>
    <w:rsid w:val="004A5918"/>
    <w:rsid w:val="004A6B04"/>
    <w:rsid w:val="004A6BDA"/>
    <w:rsid w:val="004B0FB2"/>
    <w:rsid w:val="004B1CBC"/>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57B1"/>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2950"/>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38B"/>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29EB"/>
    <w:rsid w:val="00ED66B8"/>
    <w:rsid w:val="00EF0331"/>
    <w:rsid w:val="00EF5642"/>
    <w:rsid w:val="00F0188B"/>
    <w:rsid w:val="00F02348"/>
    <w:rsid w:val="00F03FB3"/>
    <w:rsid w:val="00F06AA4"/>
    <w:rsid w:val="00F07228"/>
    <w:rsid w:val="00F10BFB"/>
    <w:rsid w:val="00F127FD"/>
    <w:rsid w:val="00F1431A"/>
    <w:rsid w:val="00F23E0E"/>
    <w:rsid w:val="00F272F5"/>
    <w:rsid w:val="00F30F46"/>
    <w:rsid w:val="00F31511"/>
    <w:rsid w:val="00F32C4E"/>
    <w:rsid w:val="00F33F3F"/>
    <w:rsid w:val="00F35089"/>
    <w:rsid w:val="00F358D4"/>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66E4"/>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388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7</cp:revision>
  <cp:lastPrinted>2018-10-16T05:29:00Z</cp:lastPrinted>
  <dcterms:created xsi:type="dcterms:W3CDTF">2020-06-08T12:46:00Z</dcterms:created>
  <dcterms:modified xsi:type="dcterms:W3CDTF">2020-10-01T07:41:00Z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