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BB211" w14:textId="6A8CB0BE" w:rsidR="00A57B00" w:rsidRPr="00A57B00" w:rsidRDefault="00A80F70" w:rsidP="00A57B00">
      <w:pPr>
        <w:jc w:val="both"/>
        <w:rPr>
          <w:bCs/>
          <w:sz w:val="22"/>
          <w:szCs w:val="22"/>
        </w:rPr>
      </w:pPr>
      <w:r>
        <w:rPr>
          <w:bCs/>
          <w:sz w:val="22"/>
          <w:szCs w:val="22"/>
        </w:rPr>
        <w:t>In den letzten Jahren wurde d</w:t>
      </w:r>
      <w:r w:rsidR="00A57B00" w:rsidRPr="00A57B00">
        <w:rPr>
          <w:bCs/>
          <w:sz w:val="22"/>
          <w:szCs w:val="22"/>
        </w:rPr>
        <w:t xml:space="preserve">ie Produktnorm für Netzteile grundlegend weiterentwickelt und ist nun nahezu weltweit harmonisiert. Dies kann man ganz deutlich sehen, wenn neue </w:t>
      </w:r>
      <w:proofErr w:type="spellStart"/>
      <w:r w:rsidR="00A57B00" w:rsidRPr="00A57B00">
        <w:rPr>
          <w:bCs/>
          <w:sz w:val="22"/>
          <w:szCs w:val="22"/>
        </w:rPr>
        <w:t>Steckernetzteile</w:t>
      </w:r>
      <w:proofErr w:type="spellEnd"/>
      <w:r w:rsidR="00A57B00" w:rsidRPr="00A57B00">
        <w:rPr>
          <w:bCs/>
          <w:sz w:val="22"/>
          <w:szCs w:val="22"/>
        </w:rPr>
        <w:t xml:space="preserve"> mit verschiedenen Netzstecker-Aufsätzen geliefert werden. Für alle gilt die IEC 62368-1, in Europa die DIN EN 62368-1, die nur in Formalien von der IEC abweicht. Nun besteht das Problem, das die IEC 62368-1 die Elektrosicherheit neu beschreibt und dabei auch altbekannte Grundregeln der VDE außer Kraft setzt.</w:t>
      </w:r>
    </w:p>
    <w:p w14:paraId="542B2E82" w14:textId="77777777" w:rsidR="00A57B00" w:rsidRPr="00A57B00" w:rsidRDefault="00A57B00" w:rsidP="00A57B00">
      <w:pPr>
        <w:jc w:val="both"/>
        <w:rPr>
          <w:bCs/>
          <w:sz w:val="22"/>
          <w:szCs w:val="22"/>
        </w:rPr>
      </w:pPr>
    </w:p>
    <w:p w14:paraId="17A426A4" w14:textId="77777777" w:rsidR="00A57B00" w:rsidRPr="00A57B00" w:rsidRDefault="00A57B00" w:rsidP="00A57B00">
      <w:pPr>
        <w:jc w:val="both"/>
        <w:rPr>
          <w:b/>
          <w:sz w:val="22"/>
          <w:szCs w:val="22"/>
        </w:rPr>
      </w:pPr>
      <w:r w:rsidRPr="00A57B00">
        <w:rPr>
          <w:b/>
          <w:sz w:val="22"/>
          <w:szCs w:val="22"/>
        </w:rPr>
        <w:t>Prinzip der elektrischen Gefährdung</w:t>
      </w:r>
    </w:p>
    <w:p w14:paraId="0F6B2D42" w14:textId="77777777" w:rsidR="00A57B00" w:rsidRPr="00A57B00" w:rsidRDefault="00A57B00" w:rsidP="00A57B00">
      <w:pPr>
        <w:jc w:val="both"/>
        <w:rPr>
          <w:bCs/>
          <w:sz w:val="22"/>
          <w:szCs w:val="22"/>
        </w:rPr>
      </w:pPr>
      <w:r w:rsidRPr="00A57B00">
        <w:rPr>
          <w:bCs/>
          <w:sz w:val="22"/>
          <w:szCs w:val="22"/>
        </w:rPr>
        <w:t>Bisher kannte jede Elektrofachkraft die Begriffe SELV, PELV und FELV, mit denen verschiedene Kleinspannungen und deren Schutzmaßnahmen beschrieben werden. Diese Begriffe werden bei Netzteilen nicht mehr benutzt. Die elektrischen Energien auf der Primär- und Sekundärseite (und im Inneren) werden nun in Klassen (ES1 bis ES3) unterteilt.</w:t>
      </w:r>
    </w:p>
    <w:p w14:paraId="1DB401FD" w14:textId="3E91ADC9" w:rsidR="00A57B00" w:rsidRPr="00A57B00" w:rsidRDefault="00A57B00" w:rsidP="005B64F3">
      <w:pPr>
        <w:pStyle w:val="Listenabsatz"/>
        <w:numPr>
          <w:ilvl w:val="0"/>
          <w:numId w:val="2"/>
        </w:numPr>
        <w:contextualSpacing/>
        <w:jc w:val="both"/>
        <w:rPr>
          <w:bCs/>
          <w:sz w:val="22"/>
          <w:szCs w:val="22"/>
        </w:rPr>
      </w:pPr>
      <w:r w:rsidRPr="00A57B00">
        <w:rPr>
          <w:bCs/>
          <w:noProof/>
          <w:sz w:val="22"/>
          <w:szCs w:val="22"/>
        </w:rPr>
        <w:drawing>
          <wp:anchor distT="0" distB="0" distL="114300" distR="114300" simplePos="0" relativeHeight="251659264" behindDoc="1" locked="0" layoutInCell="1" allowOverlap="1" wp14:anchorId="01F38D63" wp14:editId="1BC1EA71">
            <wp:simplePos x="0" y="0"/>
            <wp:positionH relativeFrom="margin">
              <wp:align>right</wp:align>
            </wp:positionH>
            <wp:positionV relativeFrom="paragraph">
              <wp:posOffset>6350</wp:posOffset>
            </wp:positionV>
            <wp:extent cx="1811655" cy="677545"/>
            <wp:effectExtent l="0" t="0" r="0" b="8255"/>
            <wp:wrapTight wrapText="bothSides">
              <wp:wrapPolygon edited="0">
                <wp:start x="0" y="0"/>
                <wp:lineTo x="0" y="21256"/>
                <wp:lineTo x="21350" y="21256"/>
                <wp:lineTo x="21350" y="0"/>
                <wp:lineTo x="0" y="0"/>
              </wp:wrapPolygon>
            </wp:wrapTight>
            <wp:docPr id="13" name="Grafik 5" descr="Ein Bild, das Zeichnung enthält.&#10;&#10;Automatisch generierte Beschreibung">
              <a:extLst xmlns:a="http://schemas.openxmlformats.org/drawingml/2006/main">
                <a:ext uri="{FF2B5EF4-FFF2-40B4-BE49-F238E27FC236}">
                  <a16:creationId xmlns:a16="http://schemas.microsoft.com/office/drawing/2014/main" id="{5FD495D8-2B1F-44DA-B485-7967EAD89B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5FD495D8-2B1F-44DA-B485-7967EAD89B50}"/>
                        </a:ext>
                      </a:extLst>
                    </pic:cNvPr>
                    <pic:cNvPicPr>
                      <a:picLocks noChangeAspect="1"/>
                    </pic:cNvPicPr>
                  </pic:nvPicPr>
                  <pic:blipFill>
                    <a:blip r:embed="rId11"/>
                    <a:stretch>
                      <a:fillRect/>
                    </a:stretch>
                  </pic:blipFill>
                  <pic:spPr>
                    <a:xfrm>
                      <a:off x="0" y="0"/>
                      <a:ext cx="1811655" cy="677545"/>
                    </a:xfrm>
                    <a:prstGeom prst="rect">
                      <a:avLst/>
                    </a:prstGeom>
                  </pic:spPr>
                </pic:pic>
              </a:graphicData>
            </a:graphic>
            <wp14:sizeRelH relativeFrom="margin">
              <wp14:pctWidth>0</wp14:pctWidth>
            </wp14:sizeRelH>
            <wp14:sizeRelV relativeFrom="margin">
              <wp14:pctHeight>0</wp14:pctHeight>
            </wp14:sizeRelV>
          </wp:anchor>
        </w:drawing>
      </w:r>
      <w:r w:rsidRPr="00A57B00">
        <w:rPr>
          <w:bCs/>
          <w:sz w:val="22"/>
          <w:szCs w:val="22"/>
        </w:rPr>
        <w:t>ES1</w:t>
      </w:r>
      <w:r w:rsidRPr="00A57B00">
        <w:rPr>
          <w:bCs/>
          <w:sz w:val="22"/>
          <w:szCs w:val="22"/>
        </w:rPr>
        <w:tab/>
        <w:t>nicht spürbar</w:t>
      </w:r>
    </w:p>
    <w:p w14:paraId="1DBD058D" w14:textId="77777777" w:rsidR="00A57B00" w:rsidRPr="00A57B00" w:rsidRDefault="00A57B00" w:rsidP="005B64F3">
      <w:pPr>
        <w:pStyle w:val="Listenabsatz"/>
        <w:numPr>
          <w:ilvl w:val="0"/>
          <w:numId w:val="2"/>
        </w:numPr>
        <w:contextualSpacing/>
        <w:jc w:val="both"/>
        <w:rPr>
          <w:bCs/>
          <w:sz w:val="22"/>
          <w:szCs w:val="22"/>
        </w:rPr>
      </w:pPr>
      <w:r w:rsidRPr="00A57B00">
        <w:rPr>
          <w:bCs/>
          <w:sz w:val="22"/>
          <w:szCs w:val="22"/>
        </w:rPr>
        <w:t>ES2</w:t>
      </w:r>
      <w:r w:rsidRPr="00A57B00">
        <w:rPr>
          <w:bCs/>
          <w:sz w:val="22"/>
          <w:szCs w:val="22"/>
        </w:rPr>
        <w:tab/>
        <w:t>spürbar, jedoch nicht gefährlich</w:t>
      </w:r>
    </w:p>
    <w:p w14:paraId="778AC65D" w14:textId="77777777" w:rsidR="00A57B00" w:rsidRPr="00A57B00" w:rsidRDefault="00A57B00" w:rsidP="005B64F3">
      <w:pPr>
        <w:pStyle w:val="Listenabsatz"/>
        <w:numPr>
          <w:ilvl w:val="0"/>
          <w:numId w:val="2"/>
        </w:numPr>
        <w:contextualSpacing/>
        <w:jc w:val="both"/>
        <w:rPr>
          <w:bCs/>
          <w:sz w:val="22"/>
          <w:szCs w:val="22"/>
        </w:rPr>
      </w:pPr>
      <w:r w:rsidRPr="00A57B00">
        <w:rPr>
          <w:bCs/>
          <w:sz w:val="22"/>
          <w:szCs w:val="22"/>
        </w:rPr>
        <w:t>ES3</w:t>
      </w:r>
      <w:r w:rsidRPr="00A57B00">
        <w:rPr>
          <w:bCs/>
          <w:sz w:val="22"/>
          <w:szCs w:val="22"/>
        </w:rPr>
        <w:tab/>
        <w:t>gefährlich</w:t>
      </w:r>
    </w:p>
    <w:p w14:paraId="0CC56FBC" w14:textId="77777777" w:rsidR="00A57B00" w:rsidRPr="00A57B00" w:rsidRDefault="00A57B00" w:rsidP="00A57B00">
      <w:pPr>
        <w:jc w:val="both"/>
        <w:rPr>
          <w:bCs/>
          <w:sz w:val="22"/>
          <w:szCs w:val="22"/>
        </w:rPr>
      </w:pPr>
    </w:p>
    <w:p w14:paraId="21E8DD51" w14:textId="48EB8E4E" w:rsidR="00A57B00" w:rsidRPr="00A57B00" w:rsidRDefault="00A80F70" w:rsidP="00A57B00">
      <w:pPr>
        <w:jc w:val="both"/>
        <w:rPr>
          <w:bCs/>
          <w:sz w:val="22"/>
          <w:szCs w:val="22"/>
        </w:rPr>
      </w:pPr>
      <w:r w:rsidRPr="00A57B00">
        <w:rPr>
          <w:bCs/>
          <w:noProof/>
          <w:sz w:val="22"/>
          <w:szCs w:val="22"/>
        </w:rPr>
        <w:drawing>
          <wp:anchor distT="0" distB="0" distL="114300" distR="114300" simplePos="0" relativeHeight="251661312" behindDoc="1" locked="0" layoutInCell="1" allowOverlap="1" wp14:anchorId="47F7B66C" wp14:editId="34FEA649">
            <wp:simplePos x="0" y="0"/>
            <wp:positionH relativeFrom="column">
              <wp:posOffset>2534285</wp:posOffset>
            </wp:positionH>
            <wp:positionV relativeFrom="paragraph">
              <wp:posOffset>904004</wp:posOffset>
            </wp:positionV>
            <wp:extent cx="3415665" cy="734060"/>
            <wp:effectExtent l="0" t="0" r="0" b="8890"/>
            <wp:wrapTight wrapText="bothSides">
              <wp:wrapPolygon edited="0">
                <wp:start x="0" y="0"/>
                <wp:lineTo x="0" y="21301"/>
                <wp:lineTo x="21443" y="21301"/>
                <wp:lineTo x="21443" y="0"/>
                <wp:lineTo x="0" y="0"/>
              </wp:wrapPolygon>
            </wp:wrapTight>
            <wp:docPr id="18" name="Grafik 7">
              <a:extLst xmlns:a="http://schemas.openxmlformats.org/drawingml/2006/main">
                <a:ext uri="{FF2B5EF4-FFF2-40B4-BE49-F238E27FC236}">
                  <a16:creationId xmlns:a16="http://schemas.microsoft.com/office/drawing/2014/main" id="{AC836171-9B54-4640-A58D-5C319ABA0B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AC836171-9B54-4640-A58D-5C319ABA0B30}"/>
                        </a:ext>
                      </a:extLst>
                    </pic:cNvPr>
                    <pic:cNvPicPr>
                      <a:picLocks noChangeAspect="1"/>
                    </pic:cNvPicPr>
                  </pic:nvPicPr>
                  <pic:blipFill>
                    <a:blip r:embed="rId12"/>
                    <a:stretch>
                      <a:fillRect/>
                    </a:stretch>
                  </pic:blipFill>
                  <pic:spPr>
                    <a:xfrm>
                      <a:off x="0" y="0"/>
                      <a:ext cx="3415665" cy="734060"/>
                    </a:xfrm>
                    <a:prstGeom prst="rect">
                      <a:avLst/>
                    </a:prstGeom>
                  </pic:spPr>
                </pic:pic>
              </a:graphicData>
            </a:graphic>
            <wp14:sizeRelH relativeFrom="margin">
              <wp14:pctWidth>0</wp14:pctWidth>
            </wp14:sizeRelH>
            <wp14:sizeRelV relativeFrom="margin">
              <wp14:pctHeight>0</wp14:pctHeight>
            </wp14:sizeRelV>
          </wp:anchor>
        </w:drawing>
      </w:r>
      <w:r w:rsidR="00A57B00" w:rsidRPr="00A57B00">
        <w:rPr>
          <w:bCs/>
          <w:noProof/>
          <w:sz w:val="22"/>
          <w:szCs w:val="22"/>
        </w:rPr>
        <w:drawing>
          <wp:anchor distT="0" distB="0" distL="114300" distR="114300" simplePos="0" relativeHeight="251660288" behindDoc="1" locked="0" layoutInCell="1" allowOverlap="1" wp14:anchorId="12E17096" wp14:editId="17FD58FD">
            <wp:simplePos x="0" y="0"/>
            <wp:positionH relativeFrom="column">
              <wp:posOffset>3461385</wp:posOffset>
            </wp:positionH>
            <wp:positionV relativeFrom="paragraph">
              <wp:posOffset>122555</wp:posOffset>
            </wp:positionV>
            <wp:extent cx="2488565" cy="720725"/>
            <wp:effectExtent l="0" t="0" r="6985" b="3175"/>
            <wp:wrapTight wrapText="bothSides">
              <wp:wrapPolygon edited="0">
                <wp:start x="0" y="0"/>
                <wp:lineTo x="0" y="21124"/>
                <wp:lineTo x="21495" y="21124"/>
                <wp:lineTo x="21495" y="0"/>
                <wp:lineTo x="0" y="0"/>
              </wp:wrapPolygon>
            </wp:wrapTight>
            <wp:docPr id="17" name="Grafik 6" descr="Ein Bild, das Spiegel, Uhr enthält.&#10;&#10;Automatisch generierte Beschreibung">
              <a:extLst xmlns:a="http://schemas.openxmlformats.org/drawingml/2006/main">
                <a:ext uri="{FF2B5EF4-FFF2-40B4-BE49-F238E27FC236}">
                  <a16:creationId xmlns:a16="http://schemas.microsoft.com/office/drawing/2014/main" id="{D80BA996-CE2F-4D07-988A-10408E639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a:extLst>
                        <a:ext uri="{FF2B5EF4-FFF2-40B4-BE49-F238E27FC236}">
                          <a16:creationId xmlns:a16="http://schemas.microsoft.com/office/drawing/2014/main" id="{D80BA996-CE2F-4D07-988A-10408E639B59}"/>
                        </a:ext>
                      </a:extLst>
                    </pic:cNvPr>
                    <pic:cNvPicPr>
                      <a:picLocks noChangeAspect="1"/>
                    </pic:cNvPicPr>
                  </pic:nvPicPr>
                  <pic:blipFill>
                    <a:blip r:embed="rId13"/>
                    <a:stretch>
                      <a:fillRect/>
                    </a:stretch>
                  </pic:blipFill>
                  <pic:spPr>
                    <a:xfrm>
                      <a:off x="0" y="0"/>
                      <a:ext cx="2488565" cy="720725"/>
                    </a:xfrm>
                    <a:prstGeom prst="rect">
                      <a:avLst/>
                    </a:prstGeom>
                  </pic:spPr>
                </pic:pic>
              </a:graphicData>
            </a:graphic>
            <wp14:sizeRelH relativeFrom="margin">
              <wp14:pctWidth>0</wp14:pctWidth>
            </wp14:sizeRelH>
            <wp14:sizeRelV relativeFrom="margin">
              <wp14:pctHeight>0</wp14:pctHeight>
            </wp14:sizeRelV>
          </wp:anchor>
        </w:drawing>
      </w:r>
      <w:r w:rsidR="00A57B00" w:rsidRPr="00A57B00">
        <w:rPr>
          <w:bCs/>
          <w:sz w:val="22"/>
          <w:szCs w:val="22"/>
        </w:rPr>
        <w:t xml:space="preserve">Die Grenzwerte setzen sich aus Spannung und Strom zusammen und werden in </w:t>
      </w:r>
      <w:proofErr w:type="spellStart"/>
      <w:r w:rsidR="00A57B00" w:rsidRPr="00A57B00">
        <w:rPr>
          <w:bCs/>
          <w:sz w:val="22"/>
          <w:szCs w:val="22"/>
        </w:rPr>
        <w:t>Stromart</w:t>
      </w:r>
      <w:proofErr w:type="spellEnd"/>
      <w:r w:rsidR="00A57B00" w:rsidRPr="00A57B00">
        <w:rPr>
          <w:bCs/>
          <w:sz w:val="22"/>
          <w:szCs w:val="22"/>
        </w:rPr>
        <w:t xml:space="preserve"> (DC, AC und UC) und ihrer Frequenz unterschieden. Auch die anderen Faktoren der elektrischen Gefährdung, also Einwirkzeit und Ladungsenergie können bei der Bewertung miteinbezogen werden.</w:t>
      </w:r>
    </w:p>
    <w:p w14:paraId="2528C6B3" w14:textId="0736A8CF" w:rsidR="00A57B00" w:rsidRPr="00A57B00" w:rsidRDefault="00A57B00" w:rsidP="00A57B00">
      <w:pPr>
        <w:jc w:val="both"/>
        <w:rPr>
          <w:bCs/>
          <w:sz w:val="22"/>
          <w:szCs w:val="22"/>
        </w:rPr>
      </w:pPr>
    </w:p>
    <w:p w14:paraId="58ED1AE3" w14:textId="172A32CD" w:rsidR="00A57B00" w:rsidRPr="00A57B00" w:rsidRDefault="00A57B00" w:rsidP="00A57B00">
      <w:pPr>
        <w:jc w:val="both"/>
        <w:rPr>
          <w:bCs/>
          <w:sz w:val="22"/>
          <w:szCs w:val="22"/>
        </w:rPr>
      </w:pPr>
      <w:r w:rsidRPr="00A57B00">
        <w:rPr>
          <w:bCs/>
          <w:noProof/>
          <w:sz w:val="22"/>
          <w:szCs w:val="22"/>
        </w:rPr>
        <w:drawing>
          <wp:anchor distT="0" distB="0" distL="114300" distR="114300" simplePos="0" relativeHeight="251662336" behindDoc="1" locked="0" layoutInCell="1" allowOverlap="1" wp14:anchorId="00DCD5D7" wp14:editId="44AEA652">
            <wp:simplePos x="0" y="0"/>
            <wp:positionH relativeFrom="margin">
              <wp:posOffset>2564765</wp:posOffset>
            </wp:positionH>
            <wp:positionV relativeFrom="paragraph">
              <wp:posOffset>554796</wp:posOffset>
            </wp:positionV>
            <wp:extent cx="3380740" cy="652145"/>
            <wp:effectExtent l="0" t="0" r="0" b="0"/>
            <wp:wrapTight wrapText="bothSides">
              <wp:wrapPolygon edited="0">
                <wp:start x="0" y="0"/>
                <wp:lineTo x="0" y="20822"/>
                <wp:lineTo x="21421" y="20822"/>
                <wp:lineTo x="21421" y="0"/>
                <wp:lineTo x="0" y="0"/>
              </wp:wrapPolygon>
            </wp:wrapTight>
            <wp:docPr id="19" name="Grafik 4">
              <a:extLst xmlns:a="http://schemas.openxmlformats.org/drawingml/2006/main">
                <a:ext uri="{FF2B5EF4-FFF2-40B4-BE49-F238E27FC236}">
                  <a16:creationId xmlns:a16="http://schemas.microsoft.com/office/drawing/2014/main" id="{595B5043-C235-45CC-87A3-7AE1747BCB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595B5043-C235-45CC-87A3-7AE1747BCB74}"/>
                        </a:ext>
                      </a:extLst>
                    </pic:cNvPr>
                    <pic:cNvPicPr>
                      <a:picLocks noChangeAspect="1"/>
                    </pic:cNvPicPr>
                  </pic:nvPicPr>
                  <pic:blipFill>
                    <a:blip r:embed="rId14"/>
                    <a:stretch>
                      <a:fillRect/>
                    </a:stretch>
                  </pic:blipFill>
                  <pic:spPr>
                    <a:xfrm>
                      <a:off x="0" y="0"/>
                      <a:ext cx="3380740" cy="652145"/>
                    </a:xfrm>
                    <a:prstGeom prst="rect">
                      <a:avLst/>
                    </a:prstGeom>
                  </pic:spPr>
                </pic:pic>
              </a:graphicData>
            </a:graphic>
            <wp14:sizeRelH relativeFrom="margin">
              <wp14:pctWidth>0</wp14:pctWidth>
            </wp14:sizeRelH>
            <wp14:sizeRelV relativeFrom="margin">
              <wp14:pctHeight>0</wp14:pctHeight>
            </wp14:sizeRelV>
          </wp:anchor>
        </w:drawing>
      </w:r>
      <w:r w:rsidRPr="00A57B00">
        <w:rPr>
          <w:bCs/>
          <w:sz w:val="22"/>
          <w:szCs w:val="22"/>
        </w:rPr>
        <w:t xml:space="preserve">Die Einordnung, ob ES1 oder ES2 aus einem Netzteil kommt, kann nur der Hersteller treffen. Auch muss er auf Grundlage der ES-Klasse verschiedene Schutzvorrichtungen einbringen (Basis-, zusätzliche, hinweisende oder vorbeugende Schutzvorrichtungen). </w:t>
      </w:r>
    </w:p>
    <w:p w14:paraId="346032A8" w14:textId="77777777" w:rsidR="00A57B00" w:rsidRPr="00A57B00" w:rsidRDefault="00A57B00" w:rsidP="00A57B00">
      <w:pPr>
        <w:jc w:val="both"/>
        <w:rPr>
          <w:bCs/>
          <w:sz w:val="22"/>
          <w:szCs w:val="22"/>
        </w:rPr>
      </w:pPr>
    </w:p>
    <w:p w14:paraId="7D7F25E4" w14:textId="5DCB47DD" w:rsidR="00A57B00" w:rsidRPr="00A57B00" w:rsidRDefault="00A57B00" w:rsidP="00A57B00">
      <w:pPr>
        <w:jc w:val="both"/>
        <w:rPr>
          <w:bCs/>
          <w:sz w:val="22"/>
          <w:szCs w:val="22"/>
        </w:rPr>
      </w:pPr>
      <w:r w:rsidRPr="00A57B00">
        <w:rPr>
          <w:bCs/>
          <w:sz w:val="22"/>
          <w:szCs w:val="22"/>
        </w:rPr>
        <w:t xml:space="preserve">Dies kann z. B. die Verwendung von fingersicheren Klemmen sein, aber auch Stecker, bei denen die Kontaktflächen nicht gleichzeitig berührbar sind oder nur ganz kleine Berührflächen vorhanden sind. Zulässig ist es auch, wenn die Spannung erst nach dem Kontaktieren über ein Datenprotokoll ausgehandelt wird, wie etwa beim USB-PD (Power </w:t>
      </w:r>
      <w:proofErr w:type="spellStart"/>
      <w:r w:rsidRPr="00A57B00">
        <w:rPr>
          <w:bCs/>
          <w:sz w:val="22"/>
          <w:szCs w:val="22"/>
        </w:rPr>
        <w:t>Delivery</w:t>
      </w:r>
      <w:proofErr w:type="spellEnd"/>
      <w:r w:rsidRPr="00A57B00">
        <w:rPr>
          <w:bCs/>
          <w:sz w:val="22"/>
          <w:szCs w:val="22"/>
        </w:rPr>
        <w:t>).</w:t>
      </w:r>
    </w:p>
    <w:p w14:paraId="0F52279D" w14:textId="5A90C020" w:rsidR="00A57B00" w:rsidRDefault="00A57B00" w:rsidP="00A57B00">
      <w:pPr>
        <w:jc w:val="both"/>
        <w:rPr>
          <w:bCs/>
          <w:sz w:val="22"/>
          <w:szCs w:val="22"/>
        </w:rPr>
      </w:pPr>
      <w:r w:rsidRPr="00A57B00">
        <w:rPr>
          <w:noProof/>
          <w:sz w:val="22"/>
          <w:szCs w:val="22"/>
        </w:rPr>
        <w:drawing>
          <wp:anchor distT="0" distB="0" distL="114300" distR="114300" simplePos="0" relativeHeight="251663360" behindDoc="1" locked="0" layoutInCell="1" allowOverlap="1" wp14:anchorId="6FDAF089" wp14:editId="1A226091">
            <wp:simplePos x="0" y="0"/>
            <wp:positionH relativeFrom="margin">
              <wp:posOffset>4857115</wp:posOffset>
            </wp:positionH>
            <wp:positionV relativeFrom="paragraph">
              <wp:posOffset>68727</wp:posOffset>
            </wp:positionV>
            <wp:extent cx="1183640" cy="867410"/>
            <wp:effectExtent l="0" t="0" r="0" b="0"/>
            <wp:wrapTight wrapText="bothSides">
              <wp:wrapPolygon edited="0">
                <wp:start x="0" y="0"/>
                <wp:lineTo x="0" y="21189"/>
                <wp:lineTo x="21322" y="21189"/>
                <wp:lineTo x="21322" y="0"/>
                <wp:lineTo x="0" y="0"/>
              </wp:wrapPolygon>
            </wp:wrapTight>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hqprint">
                      <a:extLst>
                        <a:ext uri="{28A0092B-C50C-407E-A947-70E740481C1C}">
                          <a14:useLocalDpi xmlns:a14="http://schemas.microsoft.com/office/drawing/2010/main"/>
                        </a:ext>
                      </a:extLst>
                    </a:blip>
                    <a:srcRect/>
                    <a:stretch/>
                  </pic:blipFill>
                  <pic:spPr bwMode="auto">
                    <a:xfrm>
                      <a:off x="0" y="0"/>
                      <a:ext cx="1183640" cy="867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D92313" w14:textId="7FEA4A2D" w:rsidR="00A57B00" w:rsidRPr="00A57B00" w:rsidRDefault="00A57B00" w:rsidP="00A57B00">
      <w:pPr>
        <w:jc w:val="both"/>
        <w:rPr>
          <w:bCs/>
          <w:sz w:val="22"/>
          <w:szCs w:val="22"/>
        </w:rPr>
      </w:pPr>
      <w:r w:rsidRPr="00A57B00">
        <w:rPr>
          <w:b/>
          <w:sz w:val="22"/>
          <w:szCs w:val="22"/>
        </w:rPr>
        <w:t>Die „sichere Konstruktion“</w:t>
      </w:r>
    </w:p>
    <w:p w14:paraId="42236CBD" w14:textId="7B394287" w:rsidR="00A57B00" w:rsidRPr="00A57B00" w:rsidRDefault="00A57B00" w:rsidP="00A57B00">
      <w:pPr>
        <w:jc w:val="both"/>
        <w:rPr>
          <w:bCs/>
          <w:sz w:val="22"/>
          <w:szCs w:val="22"/>
        </w:rPr>
      </w:pPr>
      <w:r w:rsidRPr="00A57B00">
        <w:rPr>
          <w:noProof/>
          <w:sz w:val="22"/>
          <w:szCs w:val="22"/>
        </w:rPr>
        <mc:AlternateContent>
          <mc:Choice Requires="wps">
            <w:drawing>
              <wp:anchor distT="0" distB="0" distL="114300" distR="114300" simplePos="0" relativeHeight="251664384" behindDoc="0" locked="0" layoutInCell="1" allowOverlap="1" wp14:anchorId="776692DB" wp14:editId="02646F4C">
                <wp:simplePos x="0" y="0"/>
                <wp:positionH relativeFrom="margin">
                  <wp:posOffset>4860925</wp:posOffset>
                </wp:positionH>
                <wp:positionV relativeFrom="margin">
                  <wp:posOffset>6675773</wp:posOffset>
                </wp:positionV>
                <wp:extent cx="1185496" cy="1008185"/>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1185496" cy="1008185"/>
                        </a:xfrm>
                        <a:prstGeom prst="rect">
                          <a:avLst/>
                        </a:prstGeom>
                        <a:solidFill>
                          <a:prstClr val="white"/>
                        </a:solidFill>
                        <a:ln>
                          <a:noFill/>
                        </a:ln>
                      </wps:spPr>
                      <wps:txbx>
                        <w:txbxContent>
                          <w:p w14:paraId="6E38E97B" w14:textId="0E4EC833" w:rsidR="00A57B00" w:rsidRPr="002B7FDE" w:rsidRDefault="00A57B00" w:rsidP="00A57B00">
                            <w:pPr>
                              <w:pStyle w:val="Beschriftung"/>
                              <w:rPr>
                                <w:sz w:val="16"/>
                                <w:szCs w:val="16"/>
                              </w:rPr>
                            </w:pPr>
                            <w:r w:rsidRPr="002B7FDE">
                              <w:rPr>
                                <w:sz w:val="16"/>
                                <w:szCs w:val="16"/>
                              </w:rPr>
                              <w:t>Quelle:</w:t>
                            </w:r>
                            <w:r>
                              <w:rPr>
                                <w:sz w:val="16"/>
                                <w:szCs w:val="16"/>
                              </w:rPr>
                              <w:t xml:space="preserve"> IEC 60417 Nr.  6190, </w:t>
                            </w:r>
                            <w:r w:rsidRPr="00A57B00">
                              <w:rPr>
                                <w:sz w:val="16"/>
                                <w:szCs w:val="16"/>
                              </w:rPr>
                              <w:t>Bildzeichen „Schaltnetzteil“. Dies wird auf Schaltnetzteilen nach IEC 62368 angebracht. Eine galvanische Trennung kann hier nicht nachgewiesen werden.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692DB" id="_x0000_t202" coordsize="21600,21600" o:spt="202" path="m,l,21600r21600,l21600,xe">
                <v:stroke joinstyle="miter"/>
                <v:path gradientshapeok="t" o:connecttype="rect"/>
              </v:shapetype>
              <v:shape id="Textfeld 4" o:spid="_x0000_s1026" type="#_x0000_t202" style="position:absolute;left:0;text-align:left;margin-left:382.75pt;margin-top:525.65pt;width:93.35pt;height:79.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" stroked="f">
                <v:textbox inset="0,0,0,0">
                  <w:txbxContent>
                    <w:p w14:paraId="6E38E97B" w14:textId="0E4EC833" w:rsidR="00A57B00" w:rsidRPr="002B7FDE" w:rsidRDefault="00A57B00" w:rsidP="00A57B00">
                      <w:pPr>
                        <w:pStyle w:val="Beschriftung"/>
                        <w:rPr>
                          <w:sz w:val="16"/>
                          <w:szCs w:val="16"/>
                        </w:rPr>
                      </w:pPr>
                      <w:r w:rsidRPr="002B7FDE">
                        <w:rPr>
                          <w:sz w:val="16"/>
                          <w:szCs w:val="16"/>
                        </w:rPr>
                        <w:t>Quelle:</w:t>
                      </w:r>
                      <w:r>
                        <w:rPr>
                          <w:sz w:val="16"/>
                          <w:szCs w:val="16"/>
                        </w:rPr>
                        <w:t xml:space="preserve"> IEC 60417 Nr.  6190, </w:t>
                      </w:r>
                      <w:r w:rsidRPr="00A57B00">
                        <w:rPr>
                          <w:sz w:val="16"/>
                          <w:szCs w:val="16"/>
                        </w:rPr>
                        <w:t>Bildzeichen „Schaltnetzteil“. Dies wird auf Schaltnetzteilen nach IEC 62368 angebracht. Eine galvanische Trennung kann hier nicht nachgewiesen werden.</w:t>
                      </w:r>
                    </w:p>
                  </w:txbxContent>
                </v:textbox>
                <w10:wrap type="square" anchorx="margin" anchory="margin"/>
              </v:shape>
            </w:pict>
          </mc:Fallback>
        </mc:AlternateContent>
      </w:r>
      <w:r w:rsidRPr="00A57B00">
        <w:rPr>
          <w:bCs/>
          <w:sz w:val="22"/>
          <w:szCs w:val="22"/>
        </w:rPr>
        <w:t xml:space="preserve">Auch die Begriffe „Schutztrennung“ und „sichere Trennung“ werden in dieser Norm nicht mehr genannt. Stattdessen gibt es nun die sichere Konstruktion. Eine klassische galvanische Trennung, so wie man sie bei gewickelten Transformatoren kennt, gibt es bei Schaltnetzteilen nicht mehr. Stattdessen wird die Trennung zwischen Versorgungsstromkreis und Kleinspannungsausgang eines Netzteils durch eine sichere Konstruktion realisiert. Innerhalb einer sicheren Konstruktion können nur Bauteile verwendet werden, die besondere Anforderungen hinsichtlich der Wahrscheinlichkeit des Versagens und der Sicherheit bei Versagen erfüllen. </w:t>
      </w:r>
    </w:p>
    <w:p w14:paraId="374E40F2" w14:textId="77777777" w:rsidR="00A80F70" w:rsidRDefault="00A80F70" w:rsidP="00A57B00">
      <w:pPr>
        <w:jc w:val="both"/>
        <w:rPr>
          <w:b/>
          <w:sz w:val="22"/>
          <w:szCs w:val="22"/>
        </w:rPr>
      </w:pPr>
      <w:r>
        <w:rPr>
          <w:b/>
          <w:sz w:val="22"/>
          <w:szCs w:val="22"/>
        </w:rPr>
        <w:br w:type="page"/>
      </w:r>
    </w:p>
    <w:p w14:paraId="5F01446C" w14:textId="5D704685" w:rsidR="00A57B00" w:rsidRPr="00A57B00" w:rsidRDefault="00A57B00" w:rsidP="00A57B00">
      <w:pPr>
        <w:jc w:val="both"/>
        <w:rPr>
          <w:b/>
          <w:sz w:val="22"/>
          <w:szCs w:val="22"/>
        </w:rPr>
      </w:pPr>
      <w:r w:rsidRPr="00A57B00">
        <w:rPr>
          <w:b/>
          <w:sz w:val="22"/>
          <w:szCs w:val="22"/>
        </w:rPr>
        <w:lastRenderedPageBreak/>
        <w:t>Erdung der Ausgangsspannung</w:t>
      </w:r>
    </w:p>
    <w:p w14:paraId="4EAABB93" w14:textId="45D83B1F" w:rsidR="00A57B00" w:rsidRPr="00A57B00" w:rsidRDefault="00A57B00" w:rsidP="00A57B00">
      <w:pPr>
        <w:jc w:val="both"/>
        <w:rPr>
          <w:bCs/>
          <w:sz w:val="22"/>
          <w:szCs w:val="22"/>
        </w:rPr>
      </w:pPr>
      <w:r w:rsidRPr="00A57B00">
        <w:rPr>
          <w:bCs/>
          <w:sz w:val="22"/>
          <w:szCs w:val="22"/>
        </w:rPr>
        <w:t>Da die Begriffe SELV und PELV nicht mehr angewendet werden, muss auch die Erdung der Ausgangsspannung von Netzteilen neu geregelt werden. Es können nun alle möglichen Varianten einer Erdung der Ausgangsspannung angewendet werden:</w:t>
      </w:r>
    </w:p>
    <w:p w14:paraId="06EAD62A" w14:textId="77777777" w:rsidR="00A57B00" w:rsidRPr="00A57B00" w:rsidRDefault="00A57B00" w:rsidP="00A80F70">
      <w:pPr>
        <w:pStyle w:val="Liste1-Pkt"/>
        <w:spacing w:line="240" w:lineRule="auto"/>
        <w:ind w:left="426" w:hanging="357"/>
        <w:rPr>
          <w:szCs w:val="22"/>
        </w:rPr>
      </w:pPr>
      <w:r w:rsidRPr="00A57B00">
        <w:rPr>
          <w:szCs w:val="22"/>
        </w:rPr>
        <w:t>Starre Erdung eines Pols der Ausgangsspannung oder</w:t>
      </w:r>
    </w:p>
    <w:p w14:paraId="7A26C1FA" w14:textId="77777777" w:rsidR="00A57B00" w:rsidRPr="00A57B00" w:rsidRDefault="00A57B00" w:rsidP="00A80F70">
      <w:pPr>
        <w:pStyle w:val="Liste1-Pkt"/>
        <w:spacing w:line="240" w:lineRule="auto"/>
        <w:ind w:left="426" w:hanging="357"/>
        <w:rPr>
          <w:szCs w:val="22"/>
        </w:rPr>
      </w:pPr>
      <w:r w:rsidRPr="00A57B00">
        <w:rPr>
          <w:szCs w:val="22"/>
        </w:rPr>
        <w:t>Starre Erdung des Mittelpunktes der Ausgangsspannung</w:t>
      </w:r>
    </w:p>
    <w:p w14:paraId="3BEC80EB" w14:textId="77777777" w:rsidR="00A57B00" w:rsidRPr="00A57B00" w:rsidRDefault="00A57B00" w:rsidP="00A80F70">
      <w:pPr>
        <w:pStyle w:val="Liste1-Pkt"/>
        <w:spacing w:line="240" w:lineRule="auto"/>
        <w:ind w:left="426" w:hanging="357"/>
        <w:rPr>
          <w:szCs w:val="22"/>
        </w:rPr>
      </w:pPr>
      <w:r w:rsidRPr="00A57B00">
        <w:rPr>
          <w:szCs w:val="22"/>
        </w:rPr>
        <w:t>Erdung eines Pols oder des Mittelpunktes der Ausgangsspannung über Bauteile (z. B. RC-Glieder)</w:t>
      </w:r>
    </w:p>
    <w:p w14:paraId="7B1A7CD4" w14:textId="77777777" w:rsidR="00A57B00" w:rsidRPr="00A57B00" w:rsidRDefault="00A57B00" w:rsidP="00A80F70">
      <w:pPr>
        <w:pStyle w:val="Liste1-Pkt"/>
        <w:spacing w:line="240" w:lineRule="auto"/>
        <w:ind w:left="426" w:hanging="357"/>
        <w:rPr>
          <w:szCs w:val="22"/>
        </w:rPr>
      </w:pPr>
      <w:r w:rsidRPr="00A57B00">
        <w:rPr>
          <w:szCs w:val="22"/>
        </w:rPr>
        <w:t>Erdung der Ausgangsspannung über EMV-Beschaltungen</w:t>
      </w:r>
    </w:p>
    <w:p w14:paraId="4233B977" w14:textId="77777777" w:rsidR="00A57B00" w:rsidRPr="00A57B00" w:rsidRDefault="00A57B00" w:rsidP="00A80F70">
      <w:pPr>
        <w:pStyle w:val="Liste1-Pkt"/>
        <w:spacing w:line="240" w:lineRule="auto"/>
        <w:ind w:left="426" w:hanging="357"/>
        <w:rPr>
          <w:szCs w:val="22"/>
        </w:rPr>
      </w:pPr>
      <w:r w:rsidRPr="00A57B00">
        <w:rPr>
          <w:szCs w:val="22"/>
        </w:rPr>
        <w:t>Bereitstellung einer Funktionserde auf der Ausgangsseite (kein Schutzleiter!)</w:t>
      </w:r>
    </w:p>
    <w:p w14:paraId="3596CA3F" w14:textId="76C0100F" w:rsidR="00A57B00" w:rsidRPr="00A57B00" w:rsidRDefault="00A57B00" w:rsidP="00A57B00">
      <w:pPr>
        <w:jc w:val="both"/>
        <w:rPr>
          <w:bCs/>
          <w:sz w:val="22"/>
          <w:szCs w:val="22"/>
        </w:rPr>
      </w:pPr>
      <w:r w:rsidRPr="00A57B00">
        <w:rPr>
          <w:bCs/>
          <w:sz w:val="22"/>
          <w:szCs w:val="22"/>
        </w:rPr>
        <w:t xml:space="preserve">Es ist nicht auf dem Netzteil erkennbar, ob und wie ein </w:t>
      </w:r>
      <w:proofErr w:type="spellStart"/>
      <w:r w:rsidRPr="00A57B00">
        <w:rPr>
          <w:bCs/>
          <w:sz w:val="22"/>
          <w:szCs w:val="22"/>
        </w:rPr>
        <w:t>Erdbezug</w:t>
      </w:r>
      <w:proofErr w:type="spellEnd"/>
      <w:r w:rsidRPr="00A57B00">
        <w:rPr>
          <w:bCs/>
          <w:sz w:val="22"/>
          <w:szCs w:val="22"/>
        </w:rPr>
        <w:t xml:space="preserve"> der Ausgangsspannung hergestellt wird. Bei SK I-Netzteilen muss immer mit einem </w:t>
      </w:r>
      <w:proofErr w:type="spellStart"/>
      <w:r w:rsidRPr="00A57B00">
        <w:rPr>
          <w:bCs/>
          <w:sz w:val="22"/>
          <w:szCs w:val="22"/>
        </w:rPr>
        <w:t>Erdbezug</w:t>
      </w:r>
      <w:proofErr w:type="spellEnd"/>
      <w:r w:rsidRPr="00A57B00">
        <w:rPr>
          <w:bCs/>
          <w:sz w:val="22"/>
          <w:szCs w:val="22"/>
        </w:rPr>
        <w:t xml:space="preserve"> gerechnet werden!</w:t>
      </w:r>
    </w:p>
    <w:p w14:paraId="32826840" w14:textId="77777777" w:rsidR="00A57B00" w:rsidRDefault="00A57B00" w:rsidP="00A57B00">
      <w:pPr>
        <w:jc w:val="both"/>
        <w:rPr>
          <w:b/>
          <w:sz w:val="22"/>
          <w:szCs w:val="22"/>
        </w:rPr>
      </w:pPr>
    </w:p>
    <w:p w14:paraId="5A3D95D9" w14:textId="501E5B94" w:rsidR="00A57B00" w:rsidRPr="00A57B00" w:rsidRDefault="00A57B00" w:rsidP="00A57B00">
      <w:pPr>
        <w:jc w:val="both"/>
        <w:rPr>
          <w:bCs/>
          <w:sz w:val="22"/>
          <w:szCs w:val="22"/>
        </w:rPr>
      </w:pPr>
      <w:r>
        <w:rPr>
          <w:b/>
          <w:sz w:val="22"/>
          <w:szCs w:val="22"/>
        </w:rPr>
        <w:t>Hinweis</w:t>
      </w:r>
      <w:r w:rsidRPr="00A57B00">
        <w:rPr>
          <w:b/>
          <w:sz w:val="22"/>
          <w:szCs w:val="22"/>
        </w:rPr>
        <w:t xml:space="preserve">: </w:t>
      </w:r>
      <w:r w:rsidRPr="00A57B00">
        <w:rPr>
          <w:bCs/>
          <w:sz w:val="22"/>
          <w:szCs w:val="22"/>
        </w:rPr>
        <w:t xml:space="preserve">Ein </w:t>
      </w:r>
      <w:proofErr w:type="spellStart"/>
      <w:r w:rsidRPr="00A57B00">
        <w:rPr>
          <w:bCs/>
          <w:sz w:val="22"/>
          <w:szCs w:val="22"/>
        </w:rPr>
        <w:t>Erdbezug</w:t>
      </w:r>
      <w:proofErr w:type="spellEnd"/>
      <w:r w:rsidRPr="00A57B00">
        <w:rPr>
          <w:bCs/>
          <w:sz w:val="22"/>
          <w:szCs w:val="22"/>
        </w:rPr>
        <w:t xml:space="preserve"> der Ausgangsspannung ist bei Kleinspannungen (AC &lt; 50 V, DC &lt; 120 V) immer eine Funktionserdung und hat niemals eine Schutzfunktion. Einen Schutzleiter kann es auf der Sekundärseite nicht geben, es ist immer ein Funktionserdungsleiter!</w:t>
      </w:r>
      <w:r>
        <w:rPr>
          <w:bCs/>
          <w:sz w:val="22"/>
          <w:szCs w:val="22"/>
        </w:rPr>
        <w:t xml:space="preserve"> </w:t>
      </w:r>
      <w:r w:rsidRPr="00A57B00">
        <w:rPr>
          <w:bCs/>
          <w:sz w:val="22"/>
          <w:szCs w:val="22"/>
        </w:rPr>
        <w:t>Eine Erdung auf der Sekundärseite darf also nicht geprüft werden. Mit der 10-A-Messung kann sogar das Netzteil zerstört werden!</w:t>
      </w:r>
    </w:p>
    <w:p w14:paraId="07AA9B40" w14:textId="77777777" w:rsidR="00A57B00" w:rsidRPr="00A57B00" w:rsidRDefault="00A57B00" w:rsidP="00A57B00">
      <w:pPr>
        <w:jc w:val="both"/>
        <w:rPr>
          <w:bCs/>
          <w:sz w:val="22"/>
          <w:szCs w:val="22"/>
        </w:rPr>
      </w:pPr>
    </w:p>
    <w:p w14:paraId="37128B91" w14:textId="77777777" w:rsidR="00A57B00" w:rsidRPr="00A57B00" w:rsidRDefault="00A57B00" w:rsidP="00A57B00">
      <w:pPr>
        <w:jc w:val="both"/>
        <w:rPr>
          <w:b/>
          <w:sz w:val="22"/>
          <w:szCs w:val="22"/>
        </w:rPr>
      </w:pPr>
      <w:r w:rsidRPr="00A57B00">
        <w:rPr>
          <w:b/>
          <w:sz w:val="22"/>
          <w:szCs w:val="22"/>
        </w:rPr>
        <w:t>Isolationsprüfung an Netzteilen</w:t>
      </w:r>
    </w:p>
    <w:p w14:paraId="5D80FEAF" w14:textId="37AC2A89" w:rsidR="00A57B00" w:rsidRPr="00A57B00" w:rsidRDefault="00A57B00" w:rsidP="00A57B00">
      <w:pPr>
        <w:jc w:val="both"/>
        <w:rPr>
          <w:bCs/>
          <w:sz w:val="22"/>
          <w:szCs w:val="22"/>
        </w:rPr>
      </w:pPr>
      <w:r w:rsidRPr="00A57B00">
        <w:rPr>
          <w:bCs/>
          <w:sz w:val="22"/>
          <w:szCs w:val="22"/>
        </w:rPr>
        <w:t xml:space="preserve">Die IEC 62368 sieht für Netzteile bei der Typ- und Stückprüfung umfangreiche Isolationsmessungen vor, die nicht nur mit 500 V DC durchgeführt werden, sondern teilweise um ein Vielfaches höher liegen. Die Isolationsmessung nach VDE 0702 kann also bedenkenlos durchgeführt werden. Einzig beim Abtasten der Sekundärseite kann es aufgrund einer starren Erdverbindung durchaus zu einem schlechten Isolationswert kommen. </w:t>
      </w:r>
    </w:p>
    <w:p w14:paraId="38B76494" w14:textId="77777777" w:rsidR="00A57B00" w:rsidRPr="00A57B00" w:rsidRDefault="00A57B00" w:rsidP="00A57B00">
      <w:pPr>
        <w:jc w:val="both"/>
        <w:rPr>
          <w:bCs/>
          <w:sz w:val="22"/>
          <w:szCs w:val="22"/>
        </w:rPr>
      </w:pPr>
    </w:p>
    <w:p w14:paraId="6E9A55E8" w14:textId="5B1D5D85" w:rsidR="00A57B00" w:rsidRPr="00A57B00" w:rsidRDefault="00A57B00" w:rsidP="00A57B00">
      <w:pPr>
        <w:jc w:val="both"/>
        <w:rPr>
          <w:b/>
          <w:sz w:val="22"/>
          <w:szCs w:val="22"/>
        </w:rPr>
      </w:pPr>
      <w:r w:rsidRPr="00A57B00">
        <w:rPr>
          <w:noProof/>
          <w:sz w:val="22"/>
          <w:szCs w:val="22"/>
        </w:rPr>
        <w:drawing>
          <wp:anchor distT="0" distB="0" distL="114300" distR="114300" simplePos="0" relativeHeight="251665408" behindDoc="1" locked="0" layoutInCell="1" allowOverlap="1" wp14:anchorId="2CB7D5BA" wp14:editId="21AE160C">
            <wp:simplePos x="0" y="0"/>
            <wp:positionH relativeFrom="column">
              <wp:posOffset>3495333</wp:posOffset>
            </wp:positionH>
            <wp:positionV relativeFrom="paragraph">
              <wp:posOffset>61155</wp:posOffset>
            </wp:positionV>
            <wp:extent cx="2574290" cy="1195070"/>
            <wp:effectExtent l="0" t="0" r="3810" b="0"/>
            <wp:wrapTight wrapText="bothSides">
              <wp:wrapPolygon edited="0">
                <wp:start x="0" y="0"/>
                <wp:lineTo x="0" y="21348"/>
                <wp:lineTo x="21525" y="21348"/>
                <wp:lineTo x="21525" y="0"/>
                <wp:lineTo x="0" y="0"/>
              </wp:wrapPolygon>
            </wp:wrapTight>
            <wp:docPr id="1" name="Grafik 1" descr="Ein Bild, das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4290" cy="1195070"/>
                    </a:xfrm>
                    <a:prstGeom prst="rect">
                      <a:avLst/>
                    </a:prstGeom>
                  </pic:spPr>
                </pic:pic>
              </a:graphicData>
            </a:graphic>
            <wp14:sizeRelH relativeFrom="margin">
              <wp14:pctWidth>0</wp14:pctWidth>
            </wp14:sizeRelH>
            <wp14:sizeRelV relativeFrom="margin">
              <wp14:pctHeight>0</wp14:pctHeight>
            </wp14:sizeRelV>
          </wp:anchor>
        </w:drawing>
      </w:r>
      <w:r w:rsidRPr="00A57B00">
        <w:rPr>
          <w:b/>
          <w:sz w:val="22"/>
          <w:szCs w:val="22"/>
        </w:rPr>
        <w:t>Berührungsstrommessung an Netzteilen</w:t>
      </w:r>
    </w:p>
    <w:p w14:paraId="04E6C7AE" w14:textId="45635437" w:rsidR="00A57B00" w:rsidRDefault="00A57B00" w:rsidP="00A57B00">
      <w:pPr>
        <w:jc w:val="both"/>
        <w:rPr>
          <w:bCs/>
          <w:sz w:val="22"/>
          <w:szCs w:val="22"/>
        </w:rPr>
      </w:pPr>
      <w:r w:rsidRPr="00A57B00">
        <w:rPr>
          <w:noProof/>
          <w:sz w:val="22"/>
          <w:szCs w:val="22"/>
        </w:rPr>
        <w:drawing>
          <wp:anchor distT="0" distB="0" distL="114300" distR="114300" simplePos="0" relativeHeight="251667456" behindDoc="1" locked="0" layoutInCell="1" allowOverlap="1" wp14:anchorId="4A939492" wp14:editId="12CCF18A">
            <wp:simplePos x="0" y="0"/>
            <wp:positionH relativeFrom="margin">
              <wp:posOffset>3839845</wp:posOffset>
            </wp:positionH>
            <wp:positionV relativeFrom="paragraph">
              <wp:posOffset>1595755</wp:posOffset>
            </wp:positionV>
            <wp:extent cx="2169160" cy="1705610"/>
            <wp:effectExtent l="0" t="0" r="2540" b="0"/>
            <wp:wrapTight wrapText="bothSides">
              <wp:wrapPolygon edited="0">
                <wp:start x="0" y="0"/>
                <wp:lineTo x="0" y="21391"/>
                <wp:lineTo x="21499" y="21391"/>
                <wp:lineTo x="21499" y="0"/>
                <wp:lineTo x="0" y="0"/>
              </wp:wrapPolygon>
            </wp:wrapTight>
            <wp:docPr id="21" name="Grafik 21" descr="Ein Bild, das grün, groß, Tisch, L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hqprint">
                      <a:extLst>
                        <a:ext uri="{28A0092B-C50C-407E-A947-70E740481C1C}">
                          <a14:useLocalDpi xmlns:a14="http://schemas.microsoft.com/office/drawing/2010/main"/>
                        </a:ext>
                      </a:extLst>
                    </a:blip>
                    <a:stretch>
                      <a:fillRect/>
                    </a:stretch>
                  </pic:blipFill>
                  <pic:spPr>
                    <a:xfrm>
                      <a:off x="0" y="0"/>
                      <a:ext cx="2169160" cy="1705610"/>
                    </a:xfrm>
                    <a:prstGeom prst="rect">
                      <a:avLst/>
                    </a:prstGeom>
                  </pic:spPr>
                </pic:pic>
              </a:graphicData>
            </a:graphic>
          </wp:anchor>
        </w:drawing>
      </w:r>
      <w:r w:rsidRPr="00A57B00">
        <w:rPr>
          <w:noProof/>
          <w:sz w:val="22"/>
          <w:szCs w:val="22"/>
        </w:rPr>
        <mc:AlternateContent>
          <mc:Choice Requires="wps">
            <w:drawing>
              <wp:anchor distT="0" distB="0" distL="114300" distR="114300" simplePos="0" relativeHeight="251666432" behindDoc="1" locked="0" layoutInCell="1" allowOverlap="1" wp14:anchorId="4203B631" wp14:editId="7C147C22">
                <wp:simplePos x="0" y="0"/>
                <wp:positionH relativeFrom="margin">
                  <wp:posOffset>3497238</wp:posOffset>
                </wp:positionH>
                <wp:positionV relativeFrom="paragraph">
                  <wp:posOffset>1242695</wp:posOffset>
                </wp:positionV>
                <wp:extent cx="2892425" cy="167005"/>
                <wp:effectExtent l="0" t="0" r="3175" b="4445"/>
                <wp:wrapTight wrapText="bothSides">
                  <wp:wrapPolygon edited="0">
                    <wp:start x="0" y="0"/>
                    <wp:lineTo x="0" y="19711"/>
                    <wp:lineTo x="21481" y="19711"/>
                    <wp:lineTo x="21481" y="0"/>
                    <wp:lineTo x="0" y="0"/>
                  </wp:wrapPolygon>
                </wp:wrapTight>
                <wp:docPr id="20" name="Textfeld 20"/>
                <wp:cNvGraphicFramePr/>
                <a:graphic xmlns:a="http://schemas.openxmlformats.org/drawingml/2006/main">
                  <a:graphicData uri="http://schemas.microsoft.com/office/word/2010/wordprocessingShape">
                    <wps:wsp>
                      <wps:cNvSpPr txBox="1"/>
                      <wps:spPr>
                        <a:xfrm>
                          <a:off x="0" y="0"/>
                          <a:ext cx="2892425" cy="167005"/>
                        </a:xfrm>
                        <a:prstGeom prst="rect">
                          <a:avLst/>
                        </a:prstGeom>
                        <a:solidFill>
                          <a:prstClr val="white"/>
                        </a:solidFill>
                        <a:ln>
                          <a:noFill/>
                        </a:ln>
                      </wps:spPr>
                      <wps:txbx>
                        <w:txbxContent>
                          <w:p w14:paraId="1862165C" w14:textId="77777777" w:rsidR="00A57B00" w:rsidRPr="002B7FDE" w:rsidRDefault="00A57B00" w:rsidP="00A57B00">
                            <w:pPr>
                              <w:pStyle w:val="Beschriftung"/>
                              <w:rPr>
                                <w:sz w:val="16"/>
                                <w:szCs w:val="16"/>
                              </w:rPr>
                            </w:pPr>
                            <w:r w:rsidRPr="002B7FDE">
                              <w:rPr>
                                <w:sz w:val="16"/>
                                <w:szCs w:val="16"/>
                              </w:rPr>
                              <w:t>Quelle:</w:t>
                            </w:r>
                            <w:r>
                              <w:rPr>
                                <w:sz w:val="16"/>
                                <w:szCs w:val="16"/>
                              </w:rPr>
                              <w:t xml:space="preserve"> M. </w:t>
                            </w:r>
                            <w:proofErr w:type="spellStart"/>
                            <w:r>
                              <w:rPr>
                                <w:sz w:val="16"/>
                                <w:szCs w:val="16"/>
                              </w:rPr>
                              <w:t>Lochthofen</w:t>
                            </w:r>
                            <w:proofErr w:type="spellEnd"/>
                            <w:r>
                              <w:rPr>
                                <w:sz w:val="16"/>
                                <w:szCs w:val="16"/>
                              </w:rPr>
                              <w:t>, Elektropraktiker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B631" id="Textfeld 20" o:spid="_x0000_s1027" type="#_x0000_t202" style="position:absolute;left:0;text-align:left;margin-left:275.35pt;margin-top:97.85pt;width:227.75pt;height:13.1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" stroked="f">
                <v:textbox inset="0,0,0,0">
                  <w:txbxContent>
                    <w:p w14:paraId="1862165C" w14:textId="77777777" w:rsidR="00A57B00" w:rsidRPr="002B7FDE" w:rsidRDefault="00A57B00" w:rsidP="00A57B00">
                      <w:pPr>
                        <w:pStyle w:val="Beschriftung"/>
                        <w:rPr>
                          <w:sz w:val="16"/>
                          <w:szCs w:val="16"/>
                        </w:rPr>
                      </w:pPr>
                      <w:r w:rsidRPr="002B7FDE">
                        <w:rPr>
                          <w:sz w:val="16"/>
                          <w:szCs w:val="16"/>
                        </w:rPr>
                        <w:t>Quelle:</w:t>
                      </w:r>
                      <w:r>
                        <w:rPr>
                          <w:sz w:val="16"/>
                          <w:szCs w:val="16"/>
                        </w:rPr>
                        <w:t xml:space="preserve"> M. </w:t>
                      </w:r>
                      <w:proofErr w:type="spellStart"/>
                      <w:r>
                        <w:rPr>
                          <w:sz w:val="16"/>
                          <w:szCs w:val="16"/>
                        </w:rPr>
                        <w:t>Lochthofen</w:t>
                      </w:r>
                      <w:proofErr w:type="spellEnd"/>
                      <w:r>
                        <w:rPr>
                          <w:sz w:val="16"/>
                          <w:szCs w:val="16"/>
                        </w:rPr>
                        <w:t>, Elektropraktiker</w:t>
                      </w:r>
                    </w:p>
                  </w:txbxContent>
                </v:textbox>
                <w10:wrap type="tight" anchorx="margin"/>
              </v:shape>
            </w:pict>
          </mc:Fallback>
        </mc:AlternateContent>
      </w:r>
      <w:r w:rsidRPr="00A57B00">
        <w:rPr>
          <w:bCs/>
          <w:sz w:val="22"/>
          <w:szCs w:val="22"/>
        </w:rPr>
        <w:t xml:space="preserve">Oft sind die Schnittstellen der Sekundärseite (Klemmen, Stecker, …) nicht fingersicher ausgeführt, müssen also genau genommen bei der Berührungsstrommessung abgetastet werden. Wenn die Ausgangsspannung nun einen </w:t>
      </w:r>
      <w:proofErr w:type="spellStart"/>
      <w:r w:rsidRPr="00A57B00">
        <w:rPr>
          <w:bCs/>
          <w:sz w:val="22"/>
          <w:szCs w:val="22"/>
        </w:rPr>
        <w:t>Erdbezug</w:t>
      </w:r>
      <w:proofErr w:type="spellEnd"/>
      <w:r w:rsidRPr="00A57B00">
        <w:rPr>
          <w:bCs/>
          <w:sz w:val="22"/>
          <w:szCs w:val="22"/>
        </w:rPr>
        <w:t xml:space="preserve"> aufweist, kommt es zu einer falschen Messwertanzeige. Das Prüfgerät zeigt physikalisch richtig einen Strom an – dieser überschreitet den Grenzwert um ein Vielfaches, bedeutet für den Menschen jedoch aufgrund der niedrigen Spannung keine Gefährdung.</w:t>
      </w:r>
    </w:p>
    <w:p w14:paraId="2162A277" w14:textId="77777777" w:rsidR="00A57B00" w:rsidRDefault="00A57B00" w:rsidP="00A57B00">
      <w:pPr>
        <w:jc w:val="both"/>
        <w:rPr>
          <w:b/>
          <w:sz w:val="22"/>
          <w:szCs w:val="22"/>
        </w:rPr>
      </w:pPr>
    </w:p>
    <w:p w14:paraId="60E10DF5" w14:textId="777011AA" w:rsidR="00A57B00" w:rsidRPr="00A57B00" w:rsidRDefault="00A57B00" w:rsidP="00A57B00">
      <w:pPr>
        <w:jc w:val="both"/>
        <w:rPr>
          <w:bCs/>
          <w:sz w:val="22"/>
          <w:szCs w:val="22"/>
        </w:rPr>
      </w:pPr>
      <w:r w:rsidRPr="00A57B00">
        <w:rPr>
          <w:b/>
          <w:sz w:val="22"/>
          <w:szCs w:val="22"/>
        </w:rPr>
        <w:t>Messung der Ausgangsspannung</w:t>
      </w:r>
    </w:p>
    <w:p w14:paraId="1C58F182" w14:textId="62E8A794" w:rsidR="00A766F8" w:rsidRPr="00A57B00" w:rsidRDefault="00A57B00" w:rsidP="00A57B00">
      <w:pPr>
        <w:jc w:val="both"/>
        <w:rPr>
          <w:noProof/>
          <w:sz w:val="22"/>
          <w:szCs w:val="22"/>
        </w:rPr>
      </w:pPr>
      <w:r w:rsidRPr="00A57B00">
        <w:rPr>
          <w:noProof/>
          <w:sz w:val="22"/>
          <w:szCs w:val="22"/>
        </w:rPr>
        <mc:AlternateContent>
          <mc:Choice Requires="wps">
            <w:drawing>
              <wp:anchor distT="0" distB="0" distL="114300" distR="114300" simplePos="0" relativeHeight="251668480" behindDoc="1" locked="0" layoutInCell="1" allowOverlap="1" wp14:anchorId="0F7F4D67" wp14:editId="0803BF42">
                <wp:simplePos x="0" y="0"/>
                <wp:positionH relativeFrom="page">
                  <wp:posOffset>4735830</wp:posOffset>
                </wp:positionH>
                <wp:positionV relativeFrom="paragraph">
                  <wp:posOffset>796925</wp:posOffset>
                </wp:positionV>
                <wp:extent cx="2167255" cy="621030"/>
                <wp:effectExtent l="0" t="0" r="4445" b="1270"/>
                <wp:wrapTight wrapText="bothSides">
                  <wp:wrapPolygon edited="0">
                    <wp:start x="0" y="0"/>
                    <wp:lineTo x="0" y="21202"/>
                    <wp:lineTo x="21518" y="21202"/>
                    <wp:lineTo x="21518" y="0"/>
                    <wp:lineTo x="0" y="0"/>
                  </wp:wrapPolygon>
                </wp:wrapTight>
                <wp:docPr id="22" name="Textfeld 22"/>
                <wp:cNvGraphicFramePr/>
                <a:graphic xmlns:a="http://schemas.openxmlformats.org/drawingml/2006/main">
                  <a:graphicData uri="http://schemas.microsoft.com/office/word/2010/wordprocessingShape">
                    <wps:wsp>
                      <wps:cNvSpPr txBox="1"/>
                      <wps:spPr>
                        <a:xfrm>
                          <a:off x="0" y="0"/>
                          <a:ext cx="2167255" cy="621030"/>
                        </a:xfrm>
                        <a:prstGeom prst="rect">
                          <a:avLst/>
                        </a:prstGeom>
                        <a:solidFill>
                          <a:prstClr val="white"/>
                        </a:solidFill>
                        <a:ln>
                          <a:noFill/>
                        </a:ln>
                      </wps:spPr>
                      <wps:txbx>
                        <w:txbxContent>
                          <w:p w14:paraId="060098DF" w14:textId="4EAA884E" w:rsidR="00A57B00" w:rsidRPr="002B7FDE" w:rsidRDefault="00A57B00" w:rsidP="00A57B00">
                            <w:pPr>
                              <w:pStyle w:val="Beschriftung"/>
                              <w:rPr>
                                <w:sz w:val="16"/>
                                <w:szCs w:val="16"/>
                              </w:rPr>
                            </w:pPr>
                            <w:r w:rsidRPr="002B7FDE">
                              <w:rPr>
                                <w:sz w:val="16"/>
                                <w:szCs w:val="16"/>
                              </w:rPr>
                              <w:t>Quelle:</w:t>
                            </w:r>
                            <w:r>
                              <w:rPr>
                                <w:sz w:val="16"/>
                                <w:szCs w:val="16"/>
                              </w:rPr>
                              <w:t xml:space="preserve"> R. O. </w:t>
                            </w:r>
                            <w:proofErr w:type="gramStart"/>
                            <w:r>
                              <w:rPr>
                                <w:sz w:val="16"/>
                                <w:szCs w:val="16"/>
                              </w:rPr>
                              <w:t>E .</w:t>
                            </w:r>
                            <w:proofErr w:type="gramEnd"/>
                            <w:r>
                              <w:rPr>
                                <w:sz w:val="16"/>
                                <w:szCs w:val="16"/>
                              </w:rPr>
                              <w:t xml:space="preserve"> GmbH, </w:t>
                            </w:r>
                            <w:r w:rsidRPr="00A57B00">
                              <w:rPr>
                                <w:sz w:val="16"/>
                                <w:szCs w:val="16"/>
                              </w:rPr>
                              <w:t>Spannungsmessung an einem Netzteil. Man sieht anstelle eines 50 Hz-Signals eine Hüllkurve. Eine Spannungsmessung mit einem Multimeter führt hier zu beliebigen Anzeigen zwischen 1 V und 40 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F4D67" id="Textfeld 22" o:spid="_x0000_s1028" type="#_x0000_t202" style="position:absolute;left:0;text-align:left;margin-left:372.9pt;margin-top:62.75pt;width:170.65pt;height:48.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" stroked="f">
                <v:textbox inset="0,0,0,0">
                  <w:txbxContent>
                    <w:p w14:paraId="060098DF" w14:textId="4EAA884E" w:rsidR="00A57B00" w:rsidRPr="002B7FDE" w:rsidRDefault="00A57B00" w:rsidP="00A57B00">
                      <w:pPr>
                        <w:pStyle w:val="Beschriftung"/>
                        <w:rPr>
                          <w:sz w:val="16"/>
                          <w:szCs w:val="16"/>
                        </w:rPr>
                      </w:pPr>
                      <w:r w:rsidRPr="002B7FDE">
                        <w:rPr>
                          <w:sz w:val="16"/>
                          <w:szCs w:val="16"/>
                        </w:rPr>
                        <w:t>Quelle:</w:t>
                      </w:r>
                      <w:r>
                        <w:rPr>
                          <w:sz w:val="16"/>
                          <w:szCs w:val="16"/>
                        </w:rPr>
                        <w:t xml:space="preserve"> </w:t>
                      </w:r>
                      <w:r>
                        <w:rPr>
                          <w:sz w:val="16"/>
                          <w:szCs w:val="16"/>
                        </w:rPr>
                        <w:t xml:space="preserve">R. O. </w:t>
                      </w:r>
                      <w:proofErr w:type="gramStart"/>
                      <w:r>
                        <w:rPr>
                          <w:sz w:val="16"/>
                          <w:szCs w:val="16"/>
                        </w:rPr>
                        <w:t>E .</w:t>
                      </w:r>
                      <w:proofErr w:type="gramEnd"/>
                      <w:r>
                        <w:rPr>
                          <w:sz w:val="16"/>
                          <w:szCs w:val="16"/>
                        </w:rPr>
                        <w:t xml:space="preserve"> GmbH, </w:t>
                      </w:r>
                      <w:r w:rsidRPr="00A57B00">
                        <w:rPr>
                          <w:sz w:val="16"/>
                          <w:szCs w:val="16"/>
                        </w:rPr>
                        <w:t>Spannungsmessung an einem Netzteil. Man sieht anstelle eines 50 Hz-Signals eine Hüllkurve. Eine Spannungsmessung mit einem Multimeter führt hier zu beliebigen Anzeigen zwischen 1 V und 40 V.</w:t>
                      </w:r>
                    </w:p>
                  </w:txbxContent>
                </v:textbox>
                <w10:wrap type="tight" anchorx="page"/>
              </v:shape>
            </w:pict>
          </mc:Fallback>
        </mc:AlternateContent>
      </w:r>
      <w:r w:rsidRPr="00A57B00">
        <w:rPr>
          <w:bCs/>
          <w:sz w:val="22"/>
          <w:szCs w:val="22"/>
        </w:rPr>
        <w:t>Noch nie war eine genaue Messung der Ausgangsspannung gefordert. Es heißt immer, dass die Einhaltung der Grenzwerte für SELV/PELV-Systeme geprüft werden muss. Leider ist die Ausgangsspannung eines Schaltnetzteils nicht immer so, dass sie mit einem einfachen Multimeter sicher bewertet werden kann. Einfacher ist es, stattdessen einen Funktionstest mit dem Netzteil durchzuführen.</w:t>
      </w:r>
      <w:r w:rsidRPr="00A57B00">
        <w:rPr>
          <w:noProof/>
          <w:sz w:val="22"/>
          <w:szCs w:val="22"/>
        </w:rPr>
        <w:t xml:space="preserve"> </w:t>
      </w:r>
    </w:p>
    <w:sectPr w:rsidR="00A766F8" w:rsidRPr="00A57B00" w:rsidSect="00D75291">
      <w:headerReference w:type="default" r:id="rId18"/>
      <w:footerReference w:type="default" r:id="rId19"/>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61EC6" w14:textId="77777777" w:rsidR="008A6B12" w:rsidRDefault="008A6B12">
      <w:r>
        <w:separator/>
      </w:r>
    </w:p>
  </w:endnote>
  <w:endnote w:type="continuationSeparator" w:id="0">
    <w:p w14:paraId="7DD37372" w14:textId="77777777" w:rsidR="008A6B12" w:rsidRDefault="008A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panose1 w:val="020B0300000000000000"/>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1280E" w14:textId="77777777"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77777777" w:rsidR="004F0DC2" w:rsidRPr="004C1C05" w:rsidRDefault="004F0DC2" w:rsidP="004F0DC2">
          <w:pPr>
            <w:pStyle w:val="Fuzeile"/>
            <w:ind w:right="-83"/>
            <w:rPr>
              <w:sz w:val="16"/>
              <w:szCs w:val="16"/>
            </w:rPr>
          </w:pPr>
          <w:r w:rsidRPr="004C1C05">
            <w:rPr>
              <w:sz w:val="16"/>
              <w:szCs w:val="16"/>
            </w:rPr>
            <w:t>0</w:t>
          </w:r>
        </w:p>
      </w:tc>
      <w:tc>
        <w:tcPr>
          <w:tcW w:w="1114" w:type="dxa"/>
          <w:vAlign w:val="center"/>
        </w:tcPr>
        <w:p w14:paraId="6AD19F8F" w14:textId="14495DAB" w:rsidR="004F0DC2" w:rsidRPr="004C1C05" w:rsidRDefault="00A80F70" w:rsidP="004F0DC2">
          <w:pPr>
            <w:pStyle w:val="Fuzeile"/>
            <w:ind w:right="-83"/>
            <w:rPr>
              <w:sz w:val="16"/>
              <w:szCs w:val="16"/>
            </w:rPr>
          </w:pPr>
          <w:r>
            <w:rPr>
              <w:sz w:val="16"/>
              <w:szCs w:val="16"/>
            </w:rPr>
            <w:t>1</w:t>
          </w:r>
        </w:p>
      </w:tc>
      <w:tc>
        <w:tcPr>
          <w:tcW w:w="1114" w:type="dxa"/>
          <w:vAlign w:val="center"/>
        </w:tcPr>
        <w:p w14:paraId="06E32EC2" w14:textId="77777777"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F0DC2" w:rsidRPr="004C1C05" w14:paraId="2A3C2017" w14:textId="77777777" w:rsidTr="001B5CEE">
      <w:tc>
        <w:tcPr>
          <w:tcW w:w="1814" w:type="dxa"/>
          <w:vAlign w:val="center"/>
        </w:tcPr>
        <w:p w14:paraId="7303C304" w14:textId="77777777" w:rsidR="004F0DC2" w:rsidRPr="004C1C05" w:rsidRDefault="004F0DC2" w:rsidP="004F0DC2">
          <w:pPr>
            <w:pStyle w:val="Fuzeile"/>
            <w:ind w:right="-83"/>
            <w:rPr>
              <w:sz w:val="16"/>
              <w:szCs w:val="16"/>
            </w:rPr>
          </w:pPr>
          <w:r w:rsidRPr="004C1C05">
            <w:rPr>
              <w:sz w:val="16"/>
              <w:szCs w:val="16"/>
            </w:rPr>
            <w:t>Datum:</w:t>
          </w:r>
        </w:p>
      </w:tc>
      <w:tc>
        <w:tcPr>
          <w:tcW w:w="1113" w:type="dxa"/>
          <w:vAlign w:val="center"/>
        </w:tcPr>
        <w:p w14:paraId="725D6138" w14:textId="2F993097" w:rsidR="004F0DC2" w:rsidRPr="004C1C05" w:rsidRDefault="007A3D26" w:rsidP="004F0DC2">
          <w:pPr>
            <w:pStyle w:val="Fuzeile"/>
            <w:ind w:right="-83"/>
            <w:rPr>
              <w:sz w:val="16"/>
              <w:szCs w:val="16"/>
            </w:rPr>
          </w:pPr>
          <w:r>
            <w:rPr>
              <w:sz w:val="16"/>
              <w:szCs w:val="16"/>
            </w:rPr>
            <w:t>0</w:t>
          </w:r>
          <w:r w:rsidR="00EB6547">
            <w:rPr>
              <w:sz w:val="16"/>
              <w:szCs w:val="16"/>
            </w:rPr>
            <w:t>7</w:t>
          </w:r>
          <w:r>
            <w:rPr>
              <w:sz w:val="16"/>
              <w:szCs w:val="16"/>
            </w:rPr>
            <w:t>.20</w:t>
          </w:r>
          <w:r w:rsidR="004C2F85">
            <w:rPr>
              <w:sz w:val="16"/>
              <w:szCs w:val="16"/>
            </w:rPr>
            <w:t>20</w:t>
          </w:r>
        </w:p>
      </w:tc>
      <w:tc>
        <w:tcPr>
          <w:tcW w:w="1114" w:type="dxa"/>
          <w:vAlign w:val="center"/>
        </w:tcPr>
        <w:p w14:paraId="0367896C" w14:textId="19430F02" w:rsidR="004F0DC2" w:rsidRPr="004C1C05" w:rsidRDefault="00A80F70" w:rsidP="004F0DC2">
          <w:pPr>
            <w:pStyle w:val="Fuzeile"/>
            <w:ind w:right="-83"/>
            <w:rPr>
              <w:sz w:val="16"/>
              <w:szCs w:val="16"/>
            </w:rPr>
          </w:pPr>
          <w:r>
            <w:rPr>
              <w:sz w:val="16"/>
              <w:szCs w:val="16"/>
            </w:rPr>
            <w:t>05.2021</w:t>
          </w:r>
        </w:p>
      </w:tc>
      <w:tc>
        <w:tcPr>
          <w:tcW w:w="1114" w:type="dxa"/>
          <w:vAlign w:val="center"/>
        </w:tcPr>
        <w:p w14:paraId="360FB340" w14:textId="77777777" w:rsidR="004F0DC2" w:rsidRPr="004C1C05" w:rsidRDefault="004F0DC2" w:rsidP="004F0DC2">
          <w:pPr>
            <w:pStyle w:val="Fuzeile"/>
            <w:ind w:right="-83"/>
            <w:rPr>
              <w:sz w:val="16"/>
              <w:szCs w:val="16"/>
            </w:rPr>
          </w:pPr>
        </w:p>
      </w:tc>
      <w:tc>
        <w:tcPr>
          <w:tcW w:w="1114" w:type="dxa"/>
          <w:vAlign w:val="center"/>
        </w:tcPr>
        <w:p w14:paraId="135C6EE0" w14:textId="77777777" w:rsidR="004F0DC2" w:rsidRPr="004C1C05" w:rsidRDefault="004F0DC2" w:rsidP="004F0DC2">
          <w:pPr>
            <w:pStyle w:val="Fuzeile"/>
            <w:ind w:right="-83"/>
            <w:rPr>
              <w:sz w:val="16"/>
              <w:szCs w:val="16"/>
            </w:rPr>
          </w:pPr>
        </w:p>
      </w:tc>
      <w:tc>
        <w:tcPr>
          <w:tcW w:w="1114" w:type="dxa"/>
          <w:vAlign w:val="center"/>
        </w:tcPr>
        <w:p w14:paraId="5C164BEF" w14:textId="77777777" w:rsidR="004F0DC2" w:rsidRPr="004C1C05" w:rsidRDefault="004F0DC2" w:rsidP="004F0DC2">
          <w:pPr>
            <w:pStyle w:val="Fuzeile"/>
            <w:ind w:right="-83"/>
            <w:rPr>
              <w:sz w:val="16"/>
              <w:szCs w:val="16"/>
            </w:rPr>
          </w:pPr>
        </w:p>
      </w:tc>
      <w:tc>
        <w:tcPr>
          <w:tcW w:w="1114" w:type="dxa"/>
          <w:vAlign w:val="center"/>
        </w:tcPr>
        <w:p w14:paraId="5E6BF161" w14:textId="77777777" w:rsidR="004F0DC2" w:rsidRPr="004C1C05" w:rsidRDefault="004F0DC2" w:rsidP="004F0DC2">
          <w:pPr>
            <w:pStyle w:val="Fuzeile"/>
            <w:ind w:right="-83"/>
            <w:rPr>
              <w:sz w:val="16"/>
              <w:szCs w:val="16"/>
            </w:rPr>
          </w:pPr>
          <w:r w:rsidRPr="004C1C05">
            <w:rPr>
              <w:sz w:val="16"/>
              <w:szCs w:val="16"/>
            </w:rPr>
            <w:t>Gültig ab:</w:t>
          </w:r>
        </w:p>
      </w:tc>
      <w:tc>
        <w:tcPr>
          <w:tcW w:w="1114" w:type="dxa"/>
          <w:vAlign w:val="center"/>
        </w:tcPr>
        <w:p w14:paraId="6E18031B" w14:textId="77777777" w:rsidR="004F0DC2" w:rsidRPr="004C1C05" w:rsidRDefault="004F0DC2" w:rsidP="004F0DC2">
          <w:pPr>
            <w:pStyle w:val="Fuzeile"/>
            <w:ind w:right="-83"/>
            <w:rPr>
              <w:sz w:val="16"/>
              <w:szCs w:val="16"/>
            </w:rPr>
          </w:pPr>
        </w:p>
      </w:tc>
    </w:tr>
    <w:tr w:rsidR="004F0DC2" w:rsidRPr="004C1C05" w14:paraId="7D7C1E9E" w14:textId="77777777" w:rsidTr="001B5CEE">
      <w:tc>
        <w:tcPr>
          <w:tcW w:w="1814" w:type="dxa"/>
          <w:vAlign w:val="center"/>
        </w:tcPr>
        <w:p w14:paraId="5FA7E0CE" w14:textId="77777777" w:rsidR="004F0DC2" w:rsidRPr="004C1C05" w:rsidRDefault="004F0DC2" w:rsidP="004F0DC2">
          <w:pPr>
            <w:pStyle w:val="Fuzeile"/>
            <w:ind w:right="-83"/>
            <w:rPr>
              <w:sz w:val="16"/>
              <w:szCs w:val="16"/>
            </w:rPr>
          </w:pPr>
          <w:r w:rsidRPr="004C1C05">
            <w:rPr>
              <w:sz w:val="16"/>
              <w:szCs w:val="16"/>
            </w:rPr>
            <w:t>Erstellt/geändert:</w:t>
          </w:r>
        </w:p>
      </w:tc>
      <w:tc>
        <w:tcPr>
          <w:tcW w:w="1113" w:type="dxa"/>
          <w:vAlign w:val="center"/>
        </w:tcPr>
        <w:p w14:paraId="46681F7E" w14:textId="77777777" w:rsidR="004F0DC2" w:rsidRPr="004C1C05" w:rsidRDefault="004F0DC2" w:rsidP="004F0DC2">
          <w:pPr>
            <w:pStyle w:val="Fuzeile"/>
            <w:ind w:right="-83"/>
            <w:rPr>
              <w:sz w:val="16"/>
              <w:szCs w:val="16"/>
            </w:rPr>
          </w:pPr>
          <w:r>
            <w:rPr>
              <w:sz w:val="16"/>
              <w:szCs w:val="16"/>
            </w:rPr>
            <w:t>R.O.E.</w:t>
          </w:r>
          <w:r w:rsidRPr="004C1C05">
            <w:rPr>
              <w:sz w:val="16"/>
              <w:szCs w:val="16"/>
            </w:rPr>
            <w:t>GmbH</w:t>
          </w:r>
        </w:p>
      </w:tc>
      <w:tc>
        <w:tcPr>
          <w:tcW w:w="1114" w:type="dxa"/>
          <w:vAlign w:val="center"/>
        </w:tcPr>
        <w:p w14:paraId="238D0AC1" w14:textId="15D67E48" w:rsidR="004F0DC2" w:rsidRPr="004C1C05" w:rsidRDefault="00A80F70" w:rsidP="004F0DC2">
          <w:pPr>
            <w:pStyle w:val="Fuzeile"/>
            <w:ind w:right="-83"/>
            <w:rPr>
              <w:sz w:val="16"/>
              <w:szCs w:val="16"/>
            </w:rPr>
          </w:pPr>
          <w:proofErr w:type="spellStart"/>
          <w:r>
            <w:rPr>
              <w:sz w:val="16"/>
              <w:szCs w:val="16"/>
            </w:rPr>
            <w:t>R.O.E.GmbH</w:t>
          </w:r>
          <w:proofErr w:type="spellEnd"/>
        </w:p>
      </w:tc>
      <w:tc>
        <w:tcPr>
          <w:tcW w:w="1114" w:type="dxa"/>
          <w:vAlign w:val="center"/>
        </w:tcPr>
        <w:p w14:paraId="74E249C1" w14:textId="77777777" w:rsidR="004F0DC2" w:rsidRPr="004C1C05" w:rsidRDefault="004F0DC2" w:rsidP="004F0DC2">
          <w:pPr>
            <w:pStyle w:val="Fuzeile"/>
            <w:ind w:right="-83"/>
            <w:rPr>
              <w:sz w:val="16"/>
              <w:szCs w:val="16"/>
            </w:rPr>
          </w:pPr>
        </w:p>
      </w:tc>
      <w:tc>
        <w:tcPr>
          <w:tcW w:w="1114" w:type="dxa"/>
          <w:vAlign w:val="center"/>
        </w:tcPr>
        <w:p w14:paraId="2834616F" w14:textId="77777777" w:rsidR="004F0DC2" w:rsidRPr="004C1C05" w:rsidRDefault="004F0DC2" w:rsidP="004F0DC2">
          <w:pPr>
            <w:pStyle w:val="Fuzeile"/>
            <w:ind w:right="-83"/>
            <w:rPr>
              <w:sz w:val="16"/>
              <w:szCs w:val="16"/>
            </w:rPr>
          </w:pPr>
        </w:p>
      </w:tc>
      <w:tc>
        <w:tcPr>
          <w:tcW w:w="1114" w:type="dxa"/>
          <w:vAlign w:val="center"/>
        </w:tcPr>
        <w:p w14:paraId="7C8A9D96" w14:textId="77777777" w:rsidR="004F0DC2" w:rsidRPr="004C1C05" w:rsidRDefault="004F0DC2" w:rsidP="004F0DC2">
          <w:pPr>
            <w:pStyle w:val="Fuzeile"/>
            <w:ind w:right="-83"/>
            <w:rPr>
              <w:sz w:val="16"/>
              <w:szCs w:val="16"/>
            </w:rPr>
          </w:pPr>
        </w:p>
      </w:tc>
      <w:tc>
        <w:tcPr>
          <w:tcW w:w="1114" w:type="dxa"/>
          <w:shd w:val="clear" w:color="auto" w:fill="auto"/>
          <w:vAlign w:val="center"/>
        </w:tcPr>
        <w:p w14:paraId="6CCC8185" w14:textId="77777777" w:rsidR="004F0DC2" w:rsidRPr="004C1C05" w:rsidRDefault="004F0DC2" w:rsidP="004F0DC2">
          <w:pPr>
            <w:pStyle w:val="Fuzeile"/>
            <w:ind w:right="-83"/>
            <w:rPr>
              <w:sz w:val="16"/>
              <w:szCs w:val="16"/>
            </w:rPr>
          </w:pPr>
        </w:p>
      </w:tc>
      <w:tc>
        <w:tcPr>
          <w:tcW w:w="1114" w:type="dxa"/>
          <w:vAlign w:val="center"/>
        </w:tcPr>
        <w:p w14:paraId="7C91B93C" w14:textId="77777777" w:rsidR="004F0DC2" w:rsidRPr="004C1C05" w:rsidRDefault="004F0DC2" w:rsidP="004F0DC2">
          <w:pPr>
            <w:pStyle w:val="Fuzeile"/>
            <w:ind w:right="-83"/>
            <w:rPr>
              <w:sz w:val="16"/>
              <w:szCs w:val="16"/>
            </w:rPr>
          </w:pPr>
        </w:p>
      </w:tc>
    </w:tr>
    <w:tr w:rsidR="004F0DC2" w:rsidRPr="004C1C05" w14:paraId="7DBB12E6" w14:textId="77777777" w:rsidTr="001B5CEE">
      <w:tc>
        <w:tcPr>
          <w:tcW w:w="1814" w:type="dxa"/>
          <w:vAlign w:val="center"/>
        </w:tcPr>
        <w:p w14:paraId="1DAF7BED" w14:textId="77777777" w:rsidR="004F0DC2" w:rsidRPr="004C1C05" w:rsidRDefault="004F0DC2" w:rsidP="004F0DC2">
          <w:pPr>
            <w:pStyle w:val="Fuzeile"/>
            <w:ind w:right="-83"/>
            <w:rPr>
              <w:sz w:val="16"/>
              <w:szCs w:val="16"/>
            </w:rPr>
          </w:pPr>
          <w:r w:rsidRPr="004C1C05">
            <w:rPr>
              <w:sz w:val="16"/>
              <w:szCs w:val="16"/>
            </w:rPr>
            <w:t>Genehmigt:</w:t>
          </w:r>
        </w:p>
      </w:tc>
      <w:tc>
        <w:tcPr>
          <w:tcW w:w="1113" w:type="dxa"/>
          <w:vAlign w:val="center"/>
        </w:tcPr>
        <w:p w14:paraId="7031F58E" w14:textId="77777777" w:rsidR="004F0DC2" w:rsidRPr="004C1C05" w:rsidRDefault="004F0DC2" w:rsidP="004F0DC2">
          <w:pPr>
            <w:pStyle w:val="Fuzeile"/>
            <w:ind w:right="-83"/>
            <w:rPr>
              <w:sz w:val="16"/>
              <w:szCs w:val="16"/>
            </w:rPr>
          </w:pPr>
        </w:p>
      </w:tc>
      <w:tc>
        <w:tcPr>
          <w:tcW w:w="1114" w:type="dxa"/>
          <w:vAlign w:val="center"/>
        </w:tcPr>
        <w:p w14:paraId="47A64D35" w14:textId="77777777" w:rsidR="004F0DC2" w:rsidRPr="004C1C05" w:rsidRDefault="004F0DC2" w:rsidP="004F0DC2">
          <w:pPr>
            <w:pStyle w:val="Fuzeile"/>
            <w:ind w:right="-83"/>
            <w:rPr>
              <w:sz w:val="16"/>
              <w:szCs w:val="16"/>
            </w:rPr>
          </w:pPr>
        </w:p>
      </w:tc>
      <w:tc>
        <w:tcPr>
          <w:tcW w:w="1114" w:type="dxa"/>
          <w:vAlign w:val="center"/>
        </w:tcPr>
        <w:p w14:paraId="51ECD793" w14:textId="77777777" w:rsidR="004F0DC2" w:rsidRPr="004C1C05" w:rsidRDefault="004F0DC2" w:rsidP="004F0DC2">
          <w:pPr>
            <w:pStyle w:val="Fuzeile"/>
            <w:ind w:right="-83"/>
            <w:rPr>
              <w:sz w:val="16"/>
              <w:szCs w:val="16"/>
            </w:rPr>
          </w:pPr>
        </w:p>
      </w:tc>
      <w:tc>
        <w:tcPr>
          <w:tcW w:w="1114" w:type="dxa"/>
          <w:vAlign w:val="center"/>
        </w:tcPr>
        <w:p w14:paraId="0616FCC5" w14:textId="77777777" w:rsidR="004F0DC2" w:rsidRPr="004C1C05" w:rsidRDefault="004F0DC2" w:rsidP="004F0DC2">
          <w:pPr>
            <w:pStyle w:val="Fuzeile"/>
            <w:ind w:right="-83"/>
            <w:rPr>
              <w:sz w:val="16"/>
              <w:szCs w:val="16"/>
            </w:rPr>
          </w:pPr>
        </w:p>
      </w:tc>
      <w:tc>
        <w:tcPr>
          <w:tcW w:w="1114" w:type="dxa"/>
          <w:vAlign w:val="center"/>
        </w:tcPr>
        <w:p w14:paraId="3AEBC74A" w14:textId="77777777" w:rsidR="004F0DC2" w:rsidRPr="004C1C05" w:rsidRDefault="004F0DC2" w:rsidP="004F0DC2">
          <w:pPr>
            <w:pStyle w:val="Fuzeile"/>
            <w:ind w:right="-83"/>
            <w:rPr>
              <w:sz w:val="16"/>
              <w:szCs w:val="16"/>
            </w:rPr>
          </w:pPr>
        </w:p>
      </w:tc>
      <w:tc>
        <w:tcPr>
          <w:tcW w:w="1114" w:type="dxa"/>
          <w:shd w:val="clear" w:color="auto" w:fill="auto"/>
          <w:vAlign w:val="center"/>
        </w:tcPr>
        <w:p w14:paraId="024944CB" w14:textId="77777777" w:rsidR="004F0DC2" w:rsidRPr="004C1C05" w:rsidRDefault="004F0DC2" w:rsidP="004F0DC2">
          <w:pPr>
            <w:pStyle w:val="Fuzeile"/>
            <w:ind w:right="-83"/>
            <w:rPr>
              <w:sz w:val="16"/>
              <w:szCs w:val="16"/>
            </w:rPr>
          </w:pPr>
        </w:p>
      </w:tc>
      <w:tc>
        <w:tcPr>
          <w:tcW w:w="1114" w:type="dxa"/>
          <w:vAlign w:val="center"/>
        </w:tcPr>
        <w:p w14:paraId="4FE0CA3B" w14:textId="77777777" w:rsidR="004F0DC2" w:rsidRPr="004C1C05" w:rsidRDefault="004F0DC2" w:rsidP="004F0DC2">
          <w:pPr>
            <w:pStyle w:val="Fuzeile"/>
            <w:ind w:right="-83"/>
            <w:rPr>
              <w:sz w:val="16"/>
              <w:szCs w:val="16"/>
            </w:rPr>
          </w:pPr>
        </w:p>
      </w:tc>
    </w:tr>
  </w:tbl>
  <w:p w14:paraId="0CD0EDC1" w14:textId="77777777" w:rsidR="004F0DC2" w:rsidRPr="004C1C05" w:rsidRDefault="004F0DC2" w:rsidP="004F0DC2">
    <w:pPr>
      <w:spacing w:before="60"/>
    </w:pPr>
    <w:r w:rsidRPr="004C1C05">
      <w:rPr>
        <w:b/>
        <w:sz w:val="16"/>
      </w:rPr>
      <w:t>© Copyright R.O.E. Online GmbH, keine unerlaubte Vervielfältigung, auch nicht auszugsweise!</w:t>
    </w:r>
  </w:p>
  <w:p w14:paraId="7722BBC5" w14:textId="5B879EC5" w:rsidR="009639CA" w:rsidRPr="00CD575C" w:rsidRDefault="009639CA" w:rsidP="00CD5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FA6BF" w14:textId="77777777" w:rsidR="008A6B12" w:rsidRDefault="008A6B12">
      <w:r>
        <w:separator/>
      </w:r>
    </w:p>
  </w:footnote>
  <w:footnote w:type="continuationSeparator" w:id="0">
    <w:p w14:paraId="7F82589A" w14:textId="77777777" w:rsidR="008A6B12" w:rsidRDefault="008A6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8D050" w14:textId="77777777"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306"/>
      <w:gridCol w:w="1956"/>
    </w:tblGrid>
    <w:tr w:rsidR="004F0DC2" w:rsidRPr="00E21DC0" w14:paraId="48663E9A" w14:textId="77777777" w:rsidTr="002F750B">
      <w:trPr>
        <w:trHeight w:val="841"/>
      </w:trPr>
      <w:tc>
        <w:tcPr>
          <w:tcW w:w="2349" w:type="dxa"/>
          <w:vAlign w:val="center"/>
        </w:tcPr>
        <w:p w14:paraId="61611845" w14:textId="77777777" w:rsidR="004F0DC2" w:rsidRPr="00E21DC0" w:rsidRDefault="004F0DC2" w:rsidP="004F0DC2">
          <w:pPr>
            <w:pStyle w:val="KeinLeerraum"/>
            <w:jc w:val="center"/>
            <w:rPr>
              <w:b/>
              <w:sz w:val="18"/>
            </w:rPr>
          </w:pPr>
          <w:r>
            <w:rPr>
              <w:b/>
              <w:noProof/>
              <w:sz w:val="18"/>
            </w:rPr>
            <w:drawing>
              <wp:inline distT="0" distB="0" distL="0" distR="0" wp14:anchorId="1BCB57F7" wp14:editId="62FA6469">
                <wp:extent cx="454297" cy="454297"/>
                <wp:effectExtent l="0" t="0" r="3175"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1124_ROE_anthrazit_RGB_web.jpg"/>
                        <pic:cNvPicPr/>
                      </pic:nvPicPr>
                      <pic:blipFill>
                        <a:blip r:embed="rId1"/>
                        <a:stretch>
                          <a:fillRect/>
                        </a:stretch>
                      </pic:blipFill>
                      <pic:spPr>
                        <a:xfrm>
                          <a:off x="0" y="0"/>
                          <a:ext cx="460218" cy="460218"/>
                        </a:xfrm>
                        <a:prstGeom prst="rect">
                          <a:avLst/>
                        </a:prstGeom>
                      </pic:spPr>
                    </pic:pic>
                  </a:graphicData>
                </a:graphic>
              </wp:inline>
            </w:drawing>
          </w:r>
        </w:p>
      </w:tc>
      <w:tc>
        <w:tcPr>
          <w:tcW w:w="530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1956" w:type="dxa"/>
          <w:vAlign w:val="center"/>
        </w:tcPr>
        <w:p w14:paraId="729B3C53" w14:textId="77777777" w:rsidR="004F0DC2" w:rsidRPr="00E21DC0" w:rsidRDefault="004F0DC2" w:rsidP="004F0DC2">
          <w:pPr>
            <w:jc w:val="center"/>
          </w:pPr>
          <w:r w:rsidRPr="00E21DC0">
            <w:t>Firmenlogo</w:t>
          </w:r>
        </w:p>
      </w:tc>
    </w:tr>
    <w:tr w:rsidR="004F0DC2" w:rsidRPr="00E21DC0" w14:paraId="6919BF43" w14:textId="77777777" w:rsidTr="002F750B">
      <w:trPr>
        <w:trHeight w:val="832"/>
      </w:trPr>
      <w:tc>
        <w:tcPr>
          <w:tcW w:w="2349" w:type="dxa"/>
          <w:vAlign w:val="center"/>
        </w:tcPr>
        <w:p w14:paraId="157C7CEE" w14:textId="0D5E6871" w:rsidR="004F0DC2" w:rsidRPr="00E21DC0" w:rsidRDefault="004F0DC2" w:rsidP="004F0DC2">
          <w:pPr>
            <w:jc w:val="center"/>
          </w:pPr>
          <w:r w:rsidRPr="00E21DC0">
            <w:rPr>
              <w:b/>
            </w:rPr>
            <w:t>UW_ET_</w:t>
          </w:r>
          <w:r w:rsidR="00C70495">
            <w:rPr>
              <w:b/>
            </w:rPr>
            <w:t>5</w:t>
          </w:r>
          <w:r w:rsidR="00D24FAA">
            <w:rPr>
              <w:b/>
            </w:rPr>
            <w:t>9</w:t>
          </w:r>
        </w:p>
      </w:tc>
      <w:tc>
        <w:tcPr>
          <w:tcW w:w="5306" w:type="dxa"/>
          <w:vAlign w:val="center"/>
        </w:tcPr>
        <w:p w14:paraId="63D167E9" w14:textId="0FF2EED0" w:rsidR="004F0DC2" w:rsidRPr="00B2005A" w:rsidRDefault="00EB6547" w:rsidP="00A80F70">
          <w:pPr>
            <w:jc w:val="center"/>
            <w:rPr>
              <w:sz w:val="28"/>
              <w:szCs w:val="28"/>
            </w:rPr>
          </w:pPr>
          <w:r w:rsidRPr="00EB6547">
            <w:rPr>
              <w:sz w:val="28"/>
              <w:szCs w:val="28"/>
            </w:rPr>
            <w:t xml:space="preserve">Moderne Netzteile </w:t>
          </w:r>
          <w:r w:rsidR="00A80F70">
            <w:rPr>
              <w:sz w:val="28"/>
              <w:szCs w:val="28"/>
            </w:rPr>
            <w:t>richtig</w:t>
          </w:r>
          <w:r w:rsidRPr="00EB6547">
            <w:rPr>
              <w:sz w:val="28"/>
              <w:szCs w:val="28"/>
            </w:rPr>
            <w:t xml:space="preserve"> prüfen</w:t>
          </w:r>
        </w:p>
      </w:tc>
      <w:tc>
        <w:tcPr>
          <w:tcW w:w="195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66BD8"/>
    <w:multiLevelType w:val="hybridMultilevel"/>
    <w:tmpl w:val="DC6A90D8"/>
    <w:lvl w:ilvl="0" w:tplc="95F43186">
      <w:start w:val="1"/>
      <w:numFmt w:val="bullet"/>
      <w:pStyle w:val="Liste1-Pk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39E83E35"/>
    <w:multiLevelType w:val="hybridMultilevel"/>
    <w:tmpl w:val="86E48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677D"/>
    <w:rsid w:val="00007D14"/>
    <w:rsid w:val="00007E03"/>
    <w:rsid w:val="00013D7A"/>
    <w:rsid w:val="00014CCE"/>
    <w:rsid w:val="00015930"/>
    <w:rsid w:val="0002703C"/>
    <w:rsid w:val="00027F84"/>
    <w:rsid w:val="00032FDB"/>
    <w:rsid w:val="0003362A"/>
    <w:rsid w:val="00036B74"/>
    <w:rsid w:val="00040E3F"/>
    <w:rsid w:val="00041553"/>
    <w:rsid w:val="00042C6C"/>
    <w:rsid w:val="00043813"/>
    <w:rsid w:val="00043991"/>
    <w:rsid w:val="000440F0"/>
    <w:rsid w:val="00045D73"/>
    <w:rsid w:val="00047E60"/>
    <w:rsid w:val="00054DE8"/>
    <w:rsid w:val="00060250"/>
    <w:rsid w:val="000630CC"/>
    <w:rsid w:val="0006696B"/>
    <w:rsid w:val="0007225A"/>
    <w:rsid w:val="00073D58"/>
    <w:rsid w:val="0007611B"/>
    <w:rsid w:val="00081AF1"/>
    <w:rsid w:val="000839C9"/>
    <w:rsid w:val="000857C9"/>
    <w:rsid w:val="000915AB"/>
    <w:rsid w:val="000931DA"/>
    <w:rsid w:val="00093697"/>
    <w:rsid w:val="00097200"/>
    <w:rsid w:val="000A2BDE"/>
    <w:rsid w:val="000A4040"/>
    <w:rsid w:val="000A6088"/>
    <w:rsid w:val="000B0485"/>
    <w:rsid w:val="000B2871"/>
    <w:rsid w:val="000B4B66"/>
    <w:rsid w:val="000B5D66"/>
    <w:rsid w:val="000B63C1"/>
    <w:rsid w:val="000B7620"/>
    <w:rsid w:val="000D3B67"/>
    <w:rsid w:val="000D52A3"/>
    <w:rsid w:val="000E49B4"/>
    <w:rsid w:val="000E7D83"/>
    <w:rsid w:val="000F2384"/>
    <w:rsid w:val="000F2584"/>
    <w:rsid w:val="000F6291"/>
    <w:rsid w:val="00103F17"/>
    <w:rsid w:val="00107FF1"/>
    <w:rsid w:val="001122B9"/>
    <w:rsid w:val="00112BAC"/>
    <w:rsid w:val="00113A7C"/>
    <w:rsid w:val="00114246"/>
    <w:rsid w:val="0011690F"/>
    <w:rsid w:val="00116C94"/>
    <w:rsid w:val="00117926"/>
    <w:rsid w:val="00117AA2"/>
    <w:rsid w:val="001200AE"/>
    <w:rsid w:val="00127406"/>
    <w:rsid w:val="00130BD6"/>
    <w:rsid w:val="001319BE"/>
    <w:rsid w:val="00133B78"/>
    <w:rsid w:val="0013474F"/>
    <w:rsid w:val="00137228"/>
    <w:rsid w:val="0014093A"/>
    <w:rsid w:val="00141349"/>
    <w:rsid w:val="00141F76"/>
    <w:rsid w:val="0014391D"/>
    <w:rsid w:val="001441C9"/>
    <w:rsid w:val="001460F5"/>
    <w:rsid w:val="00150243"/>
    <w:rsid w:val="00152593"/>
    <w:rsid w:val="00156BFD"/>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5CB3"/>
    <w:rsid w:val="00196BA9"/>
    <w:rsid w:val="00196D73"/>
    <w:rsid w:val="001A0446"/>
    <w:rsid w:val="001A2730"/>
    <w:rsid w:val="001A732A"/>
    <w:rsid w:val="001B09EE"/>
    <w:rsid w:val="001B0BD0"/>
    <w:rsid w:val="001B301D"/>
    <w:rsid w:val="001B48BE"/>
    <w:rsid w:val="001C2B0E"/>
    <w:rsid w:val="001C3A89"/>
    <w:rsid w:val="001C525F"/>
    <w:rsid w:val="001C6E01"/>
    <w:rsid w:val="001D4B3B"/>
    <w:rsid w:val="001D75BB"/>
    <w:rsid w:val="001E117B"/>
    <w:rsid w:val="001E1FCD"/>
    <w:rsid w:val="001E509A"/>
    <w:rsid w:val="001F2E0D"/>
    <w:rsid w:val="001F3A96"/>
    <w:rsid w:val="001F3EEB"/>
    <w:rsid w:val="001F4C03"/>
    <w:rsid w:val="001F59F1"/>
    <w:rsid w:val="002015C7"/>
    <w:rsid w:val="00204E30"/>
    <w:rsid w:val="00210D68"/>
    <w:rsid w:val="0021654A"/>
    <w:rsid w:val="00217045"/>
    <w:rsid w:val="0022222C"/>
    <w:rsid w:val="00224643"/>
    <w:rsid w:val="0023088A"/>
    <w:rsid w:val="00234C07"/>
    <w:rsid w:val="0023562E"/>
    <w:rsid w:val="002406C5"/>
    <w:rsid w:val="002414FA"/>
    <w:rsid w:val="0024427B"/>
    <w:rsid w:val="0024474D"/>
    <w:rsid w:val="00244F91"/>
    <w:rsid w:val="002477EA"/>
    <w:rsid w:val="00247F5D"/>
    <w:rsid w:val="00250538"/>
    <w:rsid w:val="00252541"/>
    <w:rsid w:val="0025264C"/>
    <w:rsid w:val="00256AC2"/>
    <w:rsid w:val="0026056C"/>
    <w:rsid w:val="00261D61"/>
    <w:rsid w:val="002663EA"/>
    <w:rsid w:val="00266EFA"/>
    <w:rsid w:val="002678D9"/>
    <w:rsid w:val="00271B8E"/>
    <w:rsid w:val="002752FD"/>
    <w:rsid w:val="0028194E"/>
    <w:rsid w:val="00281A62"/>
    <w:rsid w:val="00283128"/>
    <w:rsid w:val="0028404A"/>
    <w:rsid w:val="0028586B"/>
    <w:rsid w:val="0028784A"/>
    <w:rsid w:val="00287ABA"/>
    <w:rsid w:val="00290A38"/>
    <w:rsid w:val="0029272A"/>
    <w:rsid w:val="00292EF3"/>
    <w:rsid w:val="0029322C"/>
    <w:rsid w:val="002939F4"/>
    <w:rsid w:val="002976C5"/>
    <w:rsid w:val="002A3921"/>
    <w:rsid w:val="002A7BDE"/>
    <w:rsid w:val="002B1CFC"/>
    <w:rsid w:val="002B486C"/>
    <w:rsid w:val="002B5C14"/>
    <w:rsid w:val="002C2A04"/>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63C7"/>
    <w:rsid w:val="002E71DE"/>
    <w:rsid w:val="002F04E7"/>
    <w:rsid w:val="002F0ADA"/>
    <w:rsid w:val="002F2110"/>
    <w:rsid w:val="002F2217"/>
    <w:rsid w:val="002F271E"/>
    <w:rsid w:val="002F5C00"/>
    <w:rsid w:val="002F6478"/>
    <w:rsid w:val="002F750B"/>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63F0"/>
    <w:rsid w:val="0033007A"/>
    <w:rsid w:val="00331B49"/>
    <w:rsid w:val="003321B3"/>
    <w:rsid w:val="00334624"/>
    <w:rsid w:val="00336CD7"/>
    <w:rsid w:val="00337677"/>
    <w:rsid w:val="0034095C"/>
    <w:rsid w:val="00341B65"/>
    <w:rsid w:val="003524AB"/>
    <w:rsid w:val="00353D59"/>
    <w:rsid w:val="0036642C"/>
    <w:rsid w:val="0037026C"/>
    <w:rsid w:val="00372E27"/>
    <w:rsid w:val="00373D32"/>
    <w:rsid w:val="003810DA"/>
    <w:rsid w:val="00381DA4"/>
    <w:rsid w:val="003826A8"/>
    <w:rsid w:val="0038435E"/>
    <w:rsid w:val="00387658"/>
    <w:rsid w:val="0039050A"/>
    <w:rsid w:val="00392DF9"/>
    <w:rsid w:val="00394E3D"/>
    <w:rsid w:val="0039737B"/>
    <w:rsid w:val="003A47A4"/>
    <w:rsid w:val="003A5CBA"/>
    <w:rsid w:val="003A766C"/>
    <w:rsid w:val="003B39EF"/>
    <w:rsid w:val="003C31C2"/>
    <w:rsid w:val="003C3426"/>
    <w:rsid w:val="003C370C"/>
    <w:rsid w:val="003C496C"/>
    <w:rsid w:val="003D008D"/>
    <w:rsid w:val="003D026F"/>
    <w:rsid w:val="003D1485"/>
    <w:rsid w:val="003D1BE1"/>
    <w:rsid w:val="003D4C3F"/>
    <w:rsid w:val="003E60A4"/>
    <w:rsid w:val="003E749D"/>
    <w:rsid w:val="003F13C7"/>
    <w:rsid w:val="003F216A"/>
    <w:rsid w:val="00402BA2"/>
    <w:rsid w:val="00402EA6"/>
    <w:rsid w:val="00402F10"/>
    <w:rsid w:val="004100B1"/>
    <w:rsid w:val="00416285"/>
    <w:rsid w:val="0042274F"/>
    <w:rsid w:val="00423473"/>
    <w:rsid w:val="00424E9E"/>
    <w:rsid w:val="00427C17"/>
    <w:rsid w:val="004302D1"/>
    <w:rsid w:val="00432859"/>
    <w:rsid w:val="00436067"/>
    <w:rsid w:val="00446822"/>
    <w:rsid w:val="00456569"/>
    <w:rsid w:val="00457F21"/>
    <w:rsid w:val="0046027A"/>
    <w:rsid w:val="00460DBF"/>
    <w:rsid w:val="004628FC"/>
    <w:rsid w:val="004630E8"/>
    <w:rsid w:val="00464E09"/>
    <w:rsid w:val="00467344"/>
    <w:rsid w:val="00473B28"/>
    <w:rsid w:val="00473C53"/>
    <w:rsid w:val="004808B1"/>
    <w:rsid w:val="0048617E"/>
    <w:rsid w:val="00491D35"/>
    <w:rsid w:val="00493113"/>
    <w:rsid w:val="004933B3"/>
    <w:rsid w:val="00497325"/>
    <w:rsid w:val="004A1D63"/>
    <w:rsid w:val="004A3198"/>
    <w:rsid w:val="004A5918"/>
    <w:rsid w:val="004A6B04"/>
    <w:rsid w:val="004A6BDA"/>
    <w:rsid w:val="004B0FB2"/>
    <w:rsid w:val="004B5834"/>
    <w:rsid w:val="004B6F6E"/>
    <w:rsid w:val="004C2F85"/>
    <w:rsid w:val="004C44CA"/>
    <w:rsid w:val="004C5E47"/>
    <w:rsid w:val="004C7411"/>
    <w:rsid w:val="004D2758"/>
    <w:rsid w:val="004D5C8D"/>
    <w:rsid w:val="004D6B1A"/>
    <w:rsid w:val="004D7728"/>
    <w:rsid w:val="004D7CFA"/>
    <w:rsid w:val="004E6674"/>
    <w:rsid w:val="004E7494"/>
    <w:rsid w:val="004F0DC2"/>
    <w:rsid w:val="004F1600"/>
    <w:rsid w:val="004F4F0C"/>
    <w:rsid w:val="004F53BB"/>
    <w:rsid w:val="004F6395"/>
    <w:rsid w:val="004F7F82"/>
    <w:rsid w:val="00500585"/>
    <w:rsid w:val="0050522E"/>
    <w:rsid w:val="0050558F"/>
    <w:rsid w:val="00506F78"/>
    <w:rsid w:val="00507717"/>
    <w:rsid w:val="005104E1"/>
    <w:rsid w:val="0051077A"/>
    <w:rsid w:val="00517E94"/>
    <w:rsid w:val="00521FA9"/>
    <w:rsid w:val="0052250B"/>
    <w:rsid w:val="0052337B"/>
    <w:rsid w:val="00524007"/>
    <w:rsid w:val="005245CC"/>
    <w:rsid w:val="00527AAE"/>
    <w:rsid w:val="00530673"/>
    <w:rsid w:val="005306CD"/>
    <w:rsid w:val="00532D1C"/>
    <w:rsid w:val="00537549"/>
    <w:rsid w:val="00537F44"/>
    <w:rsid w:val="00542168"/>
    <w:rsid w:val="00546908"/>
    <w:rsid w:val="005545FD"/>
    <w:rsid w:val="0056629D"/>
    <w:rsid w:val="00567EC3"/>
    <w:rsid w:val="00575529"/>
    <w:rsid w:val="00575E78"/>
    <w:rsid w:val="0057797B"/>
    <w:rsid w:val="0058031B"/>
    <w:rsid w:val="00591CDD"/>
    <w:rsid w:val="00592FA3"/>
    <w:rsid w:val="005968AC"/>
    <w:rsid w:val="005A258C"/>
    <w:rsid w:val="005A3501"/>
    <w:rsid w:val="005A3597"/>
    <w:rsid w:val="005A7A2B"/>
    <w:rsid w:val="005B470F"/>
    <w:rsid w:val="005B64F3"/>
    <w:rsid w:val="005C2CBA"/>
    <w:rsid w:val="005C37A0"/>
    <w:rsid w:val="005D0805"/>
    <w:rsid w:val="005D0CB4"/>
    <w:rsid w:val="005D3262"/>
    <w:rsid w:val="005D600F"/>
    <w:rsid w:val="005D6A3B"/>
    <w:rsid w:val="005D6FD5"/>
    <w:rsid w:val="005D7A8F"/>
    <w:rsid w:val="005E092B"/>
    <w:rsid w:val="005E0C09"/>
    <w:rsid w:val="005E28C0"/>
    <w:rsid w:val="005F0730"/>
    <w:rsid w:val="005F2262"/>
    <w:rsid w:val="005F34E8"/>
    <w:rsid w:val="005F3D7B"/>
    <w:rsid w:val="005F4D8C"/>
    <w:rsid w:val="005F4E81"/>
    <w:rsid w:val="005F56C8"/>
    <w:rsid w:val="00600B37"/>
    <w:rsid w:val="006017B6"/>
    <w:rsid w:val="00601F09"/>
    <w:rsid w:val="00615F8A"/>
    <w:rsid w:val="00616683"/>
    <w:rsid w:val="00617FE6"/>
    <w:rsid w:val="006207B4"/>
    <w:rsid w:val="00621215"/>
    <w:rsid w:val="006213A9"/>
    <w:rsid w:val="00621DB8"/>
    <w:rsid w:val="00625C19"/>
    <w:rsid w:val="006262F6"/>
    <w:rsid w:val="0062688B"/>
    <w:rsid w:val="00626E05"/>
    <w:rsid w:val="0063075F"/>
    <w:rsid w:val="006337DA"/>
    <w:rsid w:val="00633E79"/>
    <w:rsid w:val="0063544C"/>
    <w:rsid w:val="0064315D"/>
    <w:rsid w:val="006433D4"/>
    <w:rsid w:val="00645745"/>
    <w:rsid w:val="0064626F"/>
    <w:rsid w:val="00650470"/>
    <w:rsid w:val="0065056D"/>
    <w:rsid w:val="0065754A"/>
    <w:rsid w:val="006614D5"/>
    <w:rsid w:val="00665118"/>
    <w:rsid w:val="006668C8"/>
    <w:rsid w:val="00666F42"/>
    <w:rsid w:val="006775DC"/>
    <w:rsid w:val="0068470A"/>
    <w:rsid w:val="0068587C"/>
    <w:rsid w:val="00686CBC"/>
    <w:rsid w:val="00686F84"/>
    <w:rsid w:val="006912A7"/>
    <w:rsid w:val="00694B02"/>
    <w:rsid w:val="00697869"/>
    <w:rsid w:val="00697E72"/>
    <w:rsid w:val="006A0BEF"/>
    <w:rsid w:val="006A6D15"/>
    <w:rsid w:val="006A79E0"/>
    <w:rsid w:val="006B343F"/>
    <w:rsid w:val="006B570F"/>
    <w:rsid w:val="006B7BE6"/>
    <w:rsid w:val="006C0E34"/>
    <w:rsid w:val="006C1619"/>
    <w:rsid w:val="006C31D6"/>
    <w:rsid w:val="006D02CB"/>
    <w:rsid w:val="006D0820"/>
    <w:rsid w:val="006D0B5D"/>
    <w:rsid w:val="006D403D"/>
    <w:rsid w:val="006D441C"/>
    <w:rsid w:val="006D6823"/>
    <w:rsid w:val="006D6C64"/>
    <w:rsid w:val="006D71B0"/>
    <w:rsid w:val="006E12F0"/>
    <w:rsid w:val="006E27F6"/>
    <w:rsid w:val="006E3984"/>
    <w:rsid w:val="006E410E"/>
    <w:rsid w:val="006E476C"/>
    <w:rsid w:val="006E4AB5"/>
    <w:rsid w:val="006F0E69"/>
    <w:rsid w:val="006F16BE"/>
    <w:rsid w:val="006F2CAA"/>
    <w:rsid w:val="006F46BA"/>
    <w:rsid w:val="00700677"/>
    <w:rsid w:val="00716634"/>
    <w:rsid w:val="00717452"/>
    <w:rsid w:val="007202A5"/>
    <w:rsid w:val="00721B59"/>
    <w:rsid w:val="00721DF6"/>
    <w:rsid w:val="007221CB"/>
    <w:rsid w:val="00723389"/>
    <w:rsid w:val="00724074"/>
    <w:rsid w:val="00726559"/>
    <w:rsid w:val="00730832"/>
    <w:rsid w:val="00730A0D"/>
    <w:rsid w:val="00741CA7"/>
    <w:rsid w:val="00743BA5"/>
    <w:rsid w:val="00743FCC"/>
    <w:rsid w:val="00746D1A"/>
    <w:rsid w:val="0074764B"/>
    <w:rsid w:val="00752650"/>
    <w:rsid w:val="007542F2"/>
    <w:rsid w:val="00754F27"/>
    <w:rsid w:val="0075535C"/>
    <w:rsid w:val="00757336"/>
    <w:rsid w:val="00773149"/>
    <w:rsid w:val="00773E6E"/>
    <w:rsid w:val="00780D4E"/>
    <w:rsid w:val="00780EC0"/>
    <w:rsid w:val="007814E5"/>
    <w:rsid w:val="00781915"/>
    <w:rsid w:val="00782F69"/>
    <w:rsid w:val="00784964"/>
    <w:rsid w:val="00787B06"/>
    <w:rsid w:val="00790AAF"/>
    <w:rsid w:val="00791491"/>
    <w:rsid w:val="00792272"/>
    <w:rsid w:val="00795256"/>
    <w:rsid w:val="00797AB6"/>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3AAD"/>
    <w:rsid w:val="007D04FD"/>
    <w:rsid w:val="007D43AB"/>
    <w:rsid w:val="007D66A9"/>
    <w:rsid w:val="007E19A8"/>
    <w:rsid w:val="007E3510"/>
    <w:rsid w:val="007E543B"/>
    <w:rsid w:val="007E6378"/>
    <w:rsid w:val="007F4293"/>
    <w:rsid w:val="007F58E2"/>
    <w:rsid w:val="007F5E38"/>
    <w:rsid w:val="007F60EA"/>
    <w:rsid w:val="007F7A63"/>
    <w:rsid w:val="0080323B"/>
    <w:rsid w:val="008118EF"/>
    <w:rsid w:val="008119DD"/>
    <w:rsid w:val="00811ED0"/>
    <w:rsid w:val="0081285D"/>
    <w:rsid w:val="00812D72"/>
    <w:rsid w:val="00822C58"/>
    <w:rsid w:val="00827614"/>
    <w:rsid w:val="0083499E"/>
    <w:rsid w:val="008350F4"/>
    <w:rsid w:val="008352BA"/>
    <w:rsid w:val="008372B7"/>
    <w:rsid w:val="00842447"/>
    <w:rsid w:val="00846D90"/>
    <w:rsid w:val="00847CCF"/>
    <w:rsid w:val="00850CF0"/>
    <w:rsid w:val="0085425E"/>
    <w:rsid w:val="00854AB8"/>
    <w:rsid w:val="00855CA6"/>
    <w:rsid w:val="00855DC9"/>
    <w:rsid w:val="008575D0"/>
    <w:rsid w:val="00861BBB"/>
    <w:rsid w:val="00862CF0"/>
    <w:rsid w:val="0087236F"/>
    <w:rsid w:val="00874C81"/>
    <w:rsid w:val="008760A6"/>
    <w:rsid w:val="00876459"/>
    <w:rsid w:val="00877EF4"/>
    <w:rsid w:val="008804B4"/>
    <w:rsid w:val="00882F9F"/>
    <w:rsid w:val="008852C6"/>
    <w:rsid w:val="008856C2"/>
    <w:rsid w:val="008862EB"/>
    <w:rsid w:val="0089014B"/>
    <w:rsid w:val="00890659"/>
    <w:rsid w:val="0089137C"/>
    <w:rsid w:val="008931EB"/>
    <w:rsid w:val="00895E89"/>
    <w:rsid w:val="008A33CC"/>
    <w:rsid w:val="008A413E"/>
    <w:rsid w:val="008A6B12"/>
    <w:rsid w:val="008B124C"/>
    <w:rsid w:val="008B1308"/>
    <w:rsid w:val="008B325F"/>
    <w:rsid w:val="008B3859"/>
    <w:rsid w:val="008B4939"/>
    <w:rsid w:val="008B7671"/>
    <w:rsid w:val="008D03BE"/>
    <w:rsid w:val="008D4E30"/>
    <w:rsid w:val="008D6120"/>
    <w:rsid w:val="008E2D70"/>
    <w:rsid w:val="008E3078"/>
    <w:rsid w:val="008E6A21"/>
    <w:rsid w:val="008F4C28"/>
    <w:rsid w:val="008F675F"/>
    <w:rsid w:val="008F731C"/>
    <w:rsid w:val="008F7FAC"/>
    <w:rsid w:val="00900CD9"/>
    <w:rsid w:val="00905A08"/>
    <w:rsid w:val="009076D1"/>
    <w:rsid w:val="009079BE"/>
    <w:rsid w:val="00912C49"/>
    <w:rsid w:val="009165C2"/>
    <w:rsid w:val="00916B2F"/>
    <w:rsid w:val="00917A55"/>
    <w:rsid w:val="00921691"/>
    <w:rsid w:val="00923E3D"/>
    <w:rsid w:val="00924D11"/>
    <w:rsid w:val="009258E9"/>
    <w:rsid w:val="009303F3"/>
    <w:rsid w:val="009332A9"/>
    <w:rsid w:val="009341F3"/>
    <w:rsid w:val="0093476C"/>
    <w:rsid w:val="00936359"/>
    <w:rsid w:val="00937F23"/>
    <w:rsid w:val="00942AD9"/>
    <w:rsid w:val="00946C77"/>
    <w:rsid w:val="0094768E"/>
    <w:rsid w:val="009478BA"/>
    <w:rsid w:val="009513D6"/>
    <w:rsid w:val="009518A1"/>
    <w:rsid w:val="0095259F"/>
    <w:rsid w:val="00953012"/>
    <w:rsid w:val="0095574D"/>
    <w:rsid w:val="00962F97"/>
    <w:rsid w:val="0096335A"/>
    <w:rsid w:val="009639CA"/>
    <w:rsid w:val="00966214"/>
    <w:rsid w:val="009668BF"/>
    <w:rsid w:val="00967DDA"/>
    <w:rsid w:val="00974713"/>
    <w:rsid w:val="00977F63"/>
    <w:rsid w:val="009809F8"/>
    <w:rsid w:val="00982F8A"/>
    <w:rsid w:val="00986FBE"/>
    <w:rsid w:val="0099071E"/>
    <w:rsid w:val="0099151C"/>
    <w:rsid w:val="009921AF"/>
    <w:rsid w:val="00994EEC"/>
    <w:rsid w:val="00996AA4"/>
    <w:rsid w:val="00996D04"/>
    <w:rsid w:val="009970F1"/>
    <w:rsid w:val="009A04DF"/>
    <w:rsid w:val="009A1EA9"/>
    <w:rsid w:val="009A1FF6"/>
    <w:rsid w:val="009A37B2"/>
    <w:rsid w:val="009B4674"/>
    <w:rsid w:val="009B64A6"/>
    <w:rsid w:val="009C3C8F"/>
    <w:rsid w:val="009C4056"/>
    <w:rsid w:val="009C5B3A"/>
    <w:rsid w:val="009C6EB8"/>
    <w:rsid w:val="009D3978"/>
    <w:rsid w:val="009D6CED"/>
    <w:rsid w:val="009D77B1"/>
    <w:rsid w:val="009E030A"/>
    <w:rsid w:val="009E0DA2"/>
    <w:rsid w:val="009E1FF0"/>
    <w:rsid w:val="009E503E"/>
    <w:rsid w:val="009F49DF"/>
    <w:rsid w:val="009F6ED8"/>
    <w:rsid w:val="00A03648"/>
    <w:rsid w:val="00A0422A"/>
    <w:rsid w:val="00A049E9"/>
    <w:rsid w:val="00A16C64"/>
    <w:rsid w:val="00A23AA2"/>
    <w:rsid w:val="00A25DB9"/>
    <w:rsid w:val="00A277A3"/>
    <w:rsid w:val="00A2787F"/>
    <w:rsid w:val="00A30AC8"/>
    <w:rsid w:val="00A31EEB"/>
    <w:rsid w:val="00A32764"/>
    <w:rsid w:val="00A361B2"/>
    <w:rsid w:val="00A4060E"/>
    <w:rsid w:val="00A46D6F"/>
    <w:rsid w:val="00A47B98"/>
    <w:rsid w:val="00A52431"/>
    <w:rsid w:val="00A549BC"/>
    <w:rsid w:val="00A5691B"/>
    <w:rsid w:val="00A57B00"/>
    <w:rsid w:val="00A613D4"/>
    <w:rsid w:val="00A66880"/>
    <w:rsid w:val="00A72C0D"/>
    <w:rsid w:val="00A731AC"/>
    <w:rsid w:val="00A73362"/>
    <w:rsid w:val="00A73B0F"/>
    <w:rsid w:val="00A74C06"/>
    <w:rsid w:val="00A74EF7"/>
    <w:rsid w:val="00A766F8"/>
    <w:rsid w:val="00A80F70"/>
    <w:rsid w:val="00A81E5C"/>
    <w:rsid w:val="00A82931"/>
    <w:rsid w:val="00A8538E"/>
    <w:rsid w:val="00A86382"/>
    <w:rsid w:val="00A877CB"/>
    <w:rsid w:val="00A9306E"/>
    <w:rsid w:val="00A93E00"/>
    <w:rsid w:val="00A9483A"/>
    <w:rsid w:val="00A95658"/>
    <w:rsid w:val="00AA33F2"/>
    <w:rsid w:val="00AA67D9"/>
    <w:rsid w:val="00AC2586"/>
    <w:rsid w:val="00AC3538"/>
    <w:rsid w:val="00AC3DB8"/>
    <w:rsid w:val="00AC6FD0"/>
    <w:rsid w:val="00AD2D69"/>
    <w:rsid w:val="00AD4FA1"/>
    <w:rsid w:val="00AD599F"/>
    <w:rsid w:val="00AE205E"/>
    <w:rsid w:val="00AE70E3"/>
    <w:rsid w:val="00AF2FBA"/>
    <w:rsid w:val="00AF44F5"/>
    <w:rsid w:val="00AF4DD5"/>
    <w:rsid w:val="00B02F5B"/>
    <w:rsid w:val="00B07A3A"/>
    <w:rsid w:val="00B1047F"/>
    <w:rsid w:val="00B12354"/>
    <w:rsid w:val="00B13FE3"/>
    <w:rsid w:val="00B15196"/>
    <w:rsid w:val="00B15B95"/>
    <w:rsid w:val="00B167FC"/>
    <w:rsid w:val="00B178D2"/>
    <w:rsid w:val="00B25168"/>
    <w:rsid w:val="00B260AF"/>
    <w:rsid w:val="00B31C35"/>
    <w:rsid w:val="00B32EBE"/>
    <w:rsid w:val="00B3770C"/>
    <w:rsid w:val="00B40A66"/>
    <w:rsid w:val="00B41813"/>
    <w:rsid w:val="00B41A77"/>
    <w:rsid w:val="00B441D4"/>
    <w:rsid w:val="00B45152"/>
    <w:rsid w:val="00B458FB"/>
    <w:rsid w:val="00B460AB"/>
    <w:rsid w:val="00B504BE"/>
    <w:rsid w:val="00B5318B"/>
    <w:rsid w:val="00B54173"/>
    <w:rsid w:val="00B541FC"/>
    <w:rsid w:val="00B54223"/>
    <w:rsid w:val="00B56234"/>
    <w:rsid w:val="00B63509"/>
    <w:rsid w:val="00B6587E"/>
    <w:rsid w:val="00B66443"/>
    <w:rsid w:val="00B66B5D"/>
    <w:rsid w:val="00B67D13"/>
    <w:rsid w:val="00B71EA8"/>
    <w:rsid w:val="00B75CE1"/>
    <w:rsid w:val="00B764C8"/>
    <w:rsid w:val="00B76859"/>
    <w:rsid w:val="00B8245D"/>
    <w:rsid w:val="00B85E03"/>
    <w:rsid w:val="00B86F8B"/>
    <w:rsid w:val="00B9089D"/>
    <w:rsid w:val="00B95B72"/>
    <w:rsid w:val="00B978F5"/>
    <w:rsid w:val="00BA4CE4"/>
    <w:rsid w:val="00BA5084"/>
    <w:rsid w:val="00BB250E"/>
    <w:rsid w:val="00BB59DE"/>
    <w:rsid w:val="00BB5B2B"/>
    <w:rsid w:val="00BC5E35"/>
    <w:rsid w:val="00BD06FE"/>
    <w:rsid w:val="00BD073D"/>
    <w:rsid w:val="00BD66D1"/>
    <w:rsid w:val="00BE32B8"/>
    <w:rsid w:val="00BE3C39"/>
    <w:rsid w:val="00BF1F48"/>
    <w:rsid w:val="00BF4B00"/>
    <w:rsid w:val="00BF4E9B"/>
    <w:rsid w:val="00BF6448"/>
    <w:rsid w:val="00BF6CAD"/>
    <w:rsid w:val="00C02836"/>
    <w:rsid w:val="00C04A5B"/>
    <w:rsid w:val="00C104B1"/>
    <w:rsid w:val="00C10E74"/>
    <w:rsid w:val="00C11825"/>
    <w:rsid w:val="00C14F45"/>
    <w:rsid w:val="00C16FD0"/>
    <w:rsid w:val="00C1760D"/>
    <w:rsid w:val="00C176DD"/>
    <w:rsid w:val="00C24532"/>
    <w:rsid w:val="00C27250"/>
    <w:rsid w:val="00C3391D"/>
    <w:rsid w:val="00C33D72"/>
    <w:rsid w:val="00C34332"/>
    <w:rsid w:val="00C361C7"/>
    <w:rsid w:val="00C36FBA"/>
    <w:rsid w:val="00C40060"/>
    <w:rsid w:val="00C420A2"/>
    <w:rsid w:val="00C424A9"/>
    <w:rsid w:val="00C51AB0"/>
    <w:rsid w:val="00C51FD5"/>
    <w:rsid w:val="00C53B5E"/>
    <w:rsid w:val="00C55654"/>
    <w:rsid w:val="00C5623E"/>
    <w:rsid w:val="00C6053B"/>
    <w:rsid w:val="00C60762"/>
    <w:rsid w:val="00C664F4"/>
    <w:rsid w:val="00C67109"/>
    <w:rsid w:val="00C70495"/>
    <w:rsid w:val="00C725CB"/>
    <w:rsid w:val="00C740C3"/>
    <w:rsid w:val="00C76F57"/>
    <w:rsid w:val="00C8238B"/>
    <w:rsid w:val="00C90655"/>
    <w:rsid w:val="00C92AA8"/>
    <w:rsid w:val="00C94250"/>
    <w:rsid w:val="00C96C7E"/>
    <w:rsid w:val="00CA18B6"/>
    <w:rsid w:val="00CA723B"/>
    <w:rsid w:val="00CA7579"/>
    <w:rsid w:val="00CB0A16"/>
    <w:rsid w:val="00CB1503"/>
    <w:rsid w:val="00CB2536"/>
    <w:rsid w:val="00CC0B71"/>
    <w:rsid w:val="00CC4EE5"/>
    <w:rsid w:val="00CC743C"/>
    <w:rsid w:val="00CD01DE"/>
    <w:rsid w:val="00CD575C"/>
    <w:rsid w:val="00CD671E"/>
    <w:rsid w:val="00CD6727"/>
    <w:rsid w:val="00CD7C97"/>
    <w:rsid w:val="00CD7EB4"/>
    <w:rsid w:val="00CE495C"/>
    <w:rsid w:val="00CE6485"/>
    <w:rsid w:val="00CE7E6B"/>
    <w:rsid w:val="00CF0AB6"/>
    <w:rsid w:val="00CF1ED2"/>
    <w:rsid w:val="00CF2C00"/>
    <w:rsid w:val="00CF4868"/>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24FAA"/>
    <w:rsid w:val="00D31342"/>
    <w:rsid w:val="00D3229B"/>
    <w:rsid w:val="00D339B8"/>
    <w:rsid w:val="00D350D5"/>
    <w:rsid w:val="00D45D86"/>
    <w:rsid w:val="00D52FF6"/>
    <w:rsid w:val="00D543A8"/>
    <w:rsid w:val="00D55457"/>
    <w:rsid w:val="00D62E1E"/>
    <w:rsid w:val="00D637E9"/>
    <w:rsid w:val="00D639D7"/>
    <w:rsid w:val="00D6731E"/>
    <w:rsid w:val="00D70AD7"/>
    <w:rsid w:val="00D7240E"/>
    <w:rsid w:val="00D75291"/>
    <w:rsid w:val="00D76D12"/>
    <w:rsid w:val="00D809BC"/>
    <w:rsid w:val="00D81BBB"/>
    <w:rsid w:val="00D833F3"/>
    <w:rsid w:val="00D86C7E"/>
    <w:rsid w:val="00D95850"/>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E18CE"/>
    <w:rsid w:val="00DE58F5"/>
    <w:rsid w:val="00DE62FC"/>
    <w:rsid w:val="00DF0998"/>
    <w:rsid w:val="00DF4627"/>
    <w:rsid w:val="00E02056"/>
    <w:rsid w:val="00E13E3B"/>
    <w:rsid w:val="00E15B7B"/>
    <w:rsid w:val="00E1744A"/>
    <w:rsid w:val="00E174BB"/>
    <w:rsid w:val="00E17EBF"/>
    <w:rsid w:val="00E20B3B"/>
    <w:rsid w:val="00E22259"/>
    <w:rsid w:val="00E24DDE"/>
    <w:rsid w:val="00E26C5D"/>
    <w:rsid w:val="00E3095F"/>
    <w:rsid w:val="00E360A2"/>
    <w:rsid w:val="00E418AB"/>
    <w:rsid w:val="00E420A0"/>
    <w:rsid w:val="00E44E5D"/>
    <w:rsid w:val="00E5198F"/>
    <w:rsid w:val="00E525C7"/>
    <w:rsid w:val="00E556A7"/>
    <w:rsid w:val="00E55DBE"/>
    <w:rsid w:val="00E570D3"/>
    <w:rsid w:val="00E57F6B"/>
    <w:rsid w:val="00E65F8E"/>
    <w:rsid w:val="00E729B8"/>
    <w:rsid w:val="00E747CA"/>
    <w:rsid w:val="00E7529A"/>
    <w:rsid w:val="00E75FD8"/>
    <w:rsid w:val="00E7666A"/>
    <w:rsid w:val="00E76835"/>
    <w:rsid w:val="00E76C55"/>
    <w:rsid w:val="00E81DDB"/>
    <w:rsid w:val="00E84C25"/>
    <w:rsid w:val="00E84FD2"/>
    <w:rsid w:val="00E85313"/>
    <w:rsid w:val="00E8579F"/>
    <w:rsid w:val="00E87965"/>
    <w:rsid w:val="00E94B8A"/>
    <w:rsid w:val="00E94BCD"/>
    <w:rsid w:val="00EA135F"/>
    <w:rsid w:val="00EA15C6"/>
    <w:rsid w:val="00EA1B36"/>
    <w:rsid w:val="00EA216A"/>
    <w:rsid w:val="00EA2AA6"/>
    <w:rsid w:val="00EA6087"/>
    <w:rsid w:val="00EB11A4"/>
    <w:rsid w:val="00EB4592"/>
    <w:rsid w:val="00EB5619"/>
    <w:rsid w:val="00EB6547"/>
    <w:rsid w:val="00EC172B"/>
    <w:rsid w:val="00EC67B1"/>
    <w:rsid w:val="00EC7378"/>
    <w:rsid w:val="00ED66B8"/>
    <w:rsid w:val="00EF0331"/>
    <w:rsid w:val="00EF5642"/>
    <w:rsid w:val="00F0188B"/>
    <w:rsid w:val="00F02348"/>
    <w:rsid w:val="00F03FB3"/>
    <w:rsid w:val="00F06AA4"/>
    <w:rsid w:val="00F07228"/>
    <w:rsid w:val="00F10BFB"/>
    <w:rsid w:val="00F127FD"/>
    <w:rsid w:val="00F1431A"/>
    <w:rsid w:val="00F23E0E"/>
    <w:rsid w:val="00F272F5"/>
    <w:rsid w:val="00F31511"/>
    <w:rsid w:val="00F32C4E"/>
    <w:rsid w:val="00F33F3F"/>
    <w:rsid w:val="00F35089"/>
    <w:rsid w:val="00F408B2"/>
    <w:rsid w:val="00F4330E"/>
    <w:rsid w:val="00F4559E"/>
    <w:rsid w:val="00F45DB9"/>
    <w:rsid w:val="00F532DA"/>
    <w:rsid w:val="00F53FD6"/>
    <w:rsid w:val="00F57E17"/>
    <w:rsid w:val="00F604E0"/>
    <w:rsid w:val="00F62D41"/>
    <w:rsid w:val="00F62F22"/>
    <w:rsid w:val="00F639A0"/>
    <w:rsid w:val="00F72A9D"/>
    <w:rsid w:val="00F72E4B"/>
    <w:rsid w:val="00F74177"/>
    <w:rsid w:val="00F749EB"/>
    <w:rsid w:val="00F7726A"/>
    <w:rsid w:val="00F7734E"/>
    <w:rsid w:val="00F81291"/>
    <w:rsid w:val="00F827FC"/>
    <w:rsid w:val="00F832C6"/>
    <w:rsid w:val="00F83BB9"/>
    <w:rsid w:val="00F85185"/>
    <w:rsid w:val="00F859A0"/>
    <w:rsid w:val="00F87279"/>
    <w:rsid w:val="00F9029C"/>
    <w:rsid w:val="00F909B4"/>
    <w:rsid w:val="00F90D14"/>
    <w:rsid w:val="00F910E0"/>
    <w:rsid w:val="00F920FF"/>
    <w:rsid w:val="00F9394C"/>
    <w:rsid w:val="00F93FED"/>
    <w:rsid w:val="00F94748"/>
    <w:rsid w:val="00F95041"/>
    <w:rsid w:val="00F9646A"/>
    <w:rsid w:val="00F96848"/>
    <w:rsid w:val="00FA3E69"/>
    <w:rsid w:val="00FB365C"/>
    <w:rsid w:val="00FB7230"/>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basedOn w:val="Standard"/>
    <w:uiPriority w:val="34"/>
    <w:qFormat/>
    <w:rsid w:val="00B167FC"/>
    <w:pPr>
      <w:ind w:left="708"/>
    </w:pPr>
  </w:style>
  <w:style w:type="character" w:styleId="Hervorhebung">
    <w:name w:val="Emphasis"/>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uiPriority w:val="59"/>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semiHidden/>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Liste1-Pkt">
    <w:name w:val="Liste1-Pkt."/>
    <w:basedOn w:val="Standard"/>
    <w:link w:val="Liste1-PktZchn"/>
    <w:qFormat/>
    <w:rsid w:val="00A57B00"/>
    <w:pPr>
      <w:numPr>
        <w:numId w:val="1"/>
      </w:numPr>
      <w:suppressAutoHyphens/>
      <w:spacing w:before="40" w:after="40" w:line="300" w:lineRule="auto"/>
    </w:pPr>
    <w:rPr>
      <w:sz w:val="22"/>
      <w:szCs w:val="24"/>
    </w:rPr>
  </w:style>
  <w:style w:type="character" w:customStyle="1" w:styleId="Liste1-PktZchn">
    <w:name w:val="Liste1-Pkt. Zchn"/>
    <w:basedOn w:val="Absatz-Standardschriftart"/>
    <w:link w:val="Liste1-Pkt"/>
    <w:rsid w:val="00A57B00"/>
    <w:rPr>
      <w:rFonts w:ascii="Arial" w:hAnsi="Arial"/>
      <w:sz w:val="22"/>
      <w:szCs w:val="24"/>
    </w:rPr>
  </w:style>
  <w:style w:type="character" w:styleId="IntensiveHervorhebung">
    <w:name w:val="Intense Emphasis"/>
    <w:basedOn w:val="Absatz-Standardschriftart"/>
    <w:uiPriority w:val="21"/>
    <w:qFormat/>
    <w:rsid w:val="00A57B0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5" ma:contentTypeDescription="Ein neues Dokument erstellen." ma:contentTypeScope="" ma:versionID="e9269050a42a4456255f495cc5432159">
  <xsd:schema xmlns:xsd="http://www.w3.org/2001/XMLSchema" xmlns:xs="http://www.w3.org/2001/XMLSchema" xmlns:p="http://schemas.microsoft.com/office/2006/metadata/properties" xmlns:ns2="0ba9638b-9898-400c-aa80-e8ce42f10e4c" targetNamespace="http://schemas.microsoft.com/office/2006/metadata/properties" ma:root="true" ma:fieldsID="c6f8c77527637dc0476e5563e2bc3706" ns2:_="">
    <xsd:import namespace="0ba9638b-9898-400c-aa80-e8ce42f10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63393A-F837-4719-B3B4-52D3BD248564}">
  <ds:schemaRefs>
    <ds:schemaRef ds:uri="http://schemas.microsoft.com/sharepoint/v3/contenttype/forms"/>
  </ds:schemaRefs>
</ds:datastoreItem>
</file>

<file path=customXml/itemProps2.xml><?xml version="1.0" encoding="utf-8"?>
<ds:datastoreItem xmlns:ds="http://schemas.openxmlformats.org/officeDocument/2006/customXml" ds:itemID="{785770B7-9525-054C-A770-71B57E2EDDA7}">
  <ds:schemaRefs>
    <ds:schemaRef ds:uri="http://schemas.openxmlformats.org/officeDocument/2006/bibliography"/>
  </ds:schemaRefs>
</ds:datastoreItem>
</file>

<file path=customXml/itemProps3.xml><?xml version="1.0" encoding="utf-8"?>
<ds:datastoreItem xmlns:ds="http://schemas.openxmlformats.org/officeDocument/2006/customXml" ds:itemID="{AE3D9E89-1E83-4464-9C84-B1EBF3A05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9D07F-91AD-4ED2-BFC5-759CACB70A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C:\Users\kronshorst\Documents\Benutzerdefinierte Office-Vorlagen\Elektrokurzschulung_Vorlage.dotx</Template>
  <TotalTime>0</TotalTime>
  <Pages>2</Pages>
  <Words>684</Words>
  <Characters>4310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Sicherheitsunterweisung 02_2010</vt:lpstr>
    </vt:vector>
  </TitlesOfParts>
  <Company>Axima GmbH</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Jürgen Kronshorst</dc:creator>
  <cp:keywords/>
  <dc:description/>
  <cp:lastModifiedBy>René Brünn</cp:lastModifiedBy>
  <cp:revision>2</cp:revision>
  <cp:lastPrinted>2018-10-16T05:29:00Z</cp:lastPrinted>
  <dcterms:created xsi:type="dcterms:W3CDTF">2021-05-11T08:32:00Z</dcterms:created>
  <dcterms:modified xsi:type="dcterms:W3CDTF">2021-05-11T08:32:00Z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ContentTypeId">
    <vt:lpwstr>0x010100144F0A2E325DA94982285E9B7D5E10CC</vt:lpwstr>
  </property>
</Properties>
</file>