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CB7C8" w14:textId="77777777" w:rsidR="00662032" w:rsidRPr="00662032" w:rsidRDefault="00662032" w:rsidP="00662032">
      <w:pPr>
        <w:jc w:val="both"/>
        <w:rPr>
          <w:rFonts w:cs="Arial"/>
          <w:color w:val="333333"/>
          <w:sz w:val="22"/>
          <w:szCs w:val="22"/>
        </w:rPr>
      </w:pPr>
      <w:r w:rsidRPr="00662032">
        <w:rPr>
          <w:rFonts w:cs="Arial"/>
          <w:color w:val="333333"/>
          <w:sz w:val="22"/>
          <w:szCs w:val="22"/>
        </w:rPr>
        <w:t xml:space="preserve">Lithium-Ionen-Akkus stecken in Smartphones, Notebooks, Elektrofahrrädern aber auch in Haushaltsgeräten, elektrisch betriebenem Werkzeug und Spielzeug. Letztendlich profitieren von der Entwicklung auch die voranschreitende Elektromobilität im Automobilbau. Die Speicherkapazitäten sind im Vergleich zu konventionellen Akkumulatoren größer – ebenso aber auch die </w:t>
      </w:r>
      <w:r w:rsidRPr="00662032">
        <w:rPr>
          <w:rFonts w:cs="Arial"/>
          <w:b/>
          <w:color w:val="000000"/>
          <w:sz w:val="22"/>
          <w:szCs w:val="22"/>
        </w:rPr>
        <w:t>Gefahr</w:t>
      </w:r>
      <w:r w:rsidRPr="00662032">
        <w:rPr>
          <w:rFonts w:cs="Arial"/>
          <w:b/>
          <w:i/>
          <w:color w:val="000000"/>
          <w:sz w:val="22"/>
          <w:szCs w:val="22"/>
        </w:rPr>
        <w:t xml:space="preserve"> </w:t>
      </w:r>
      <w:r w:rsidRPr="00662032">
        <w:rPr>
          <w:rFonts w:cs="Arial"/>
          <w:color w:val="000000"/>
          <w:sz w:val="22"/>
          <w:szCs w:val="22"/>
        </w:rPr>
        <w:t>bei dem Umgang damit</w:t>
      </w:r>
      <w:r w:rsidRPr="00662032">
        <w:rPr>
          <w:rFonts w:cs="Arial"/>
          <w:color w:val="333333"/>
          <w:sz w:val="22"/>
          <w:szCs w:val="22"/>
        </w:rPr>
        <w:t xml:space="preserve">. </w:t>
      </w:r>
      <w:proofErr w:type="gramStart"/>
      <w:r w:rsidRPr="00662032">
        <w:rPr>
          <w:rFonts w:cs="Arial"/>
          <w:color w:val="333333"/>
          <w:sz w:val="22"/>
          <w:szCs w:val="22"/>
        </w:rPr>
        <w:t>Werden</w:t>
      </w:r>
      <w:proofErr w:type="gramEnd"/>
      <w:r w:rsidRPr="00662032">
        <w:rPr>
          <w:rFonts w:cs="Arial"/>
          <w:color w:val="333333"/>
          <w:sz w:val="22"/>
          <w:szCs w:val="22"/>
        </w:rPr>
        <w:t xml:space="preserve"> die Akkus unsachgemäß behandelt oder sogar beschädigt, können sie </w:t>
      </w:r>
      <w:r w:rsidRPr="00662032">
        <w:rPr>
          <w:rFonts w:cs="Arial"/>
          <w:b/>
          <w:sz w:val="22"/>
          <w:szCs w:val="22"/>
        </w:rPr>
        <w:t>explodieren</w:t>
      </w:r>
      <w:r w:rsidRPr="00662032">
        <w:rPr>
          <w:rFonts w:cs="Arial"/>
          <w:color w:val="333333"/>
          <w:sz w:val="22"/>
          <w:szCs w:val="22"/>
        </w:rPr>
        <w:t xml:space="preserve"> oder in </w:t>
      </w:r>
      <w:r w:rsidRPr="00662032">
        <w:rPr>
          <w:rFonts w:cs="Arial"/>
          <w:b/>
          <w:color w:val="333333"/>
          <w:sz w:val="22"/>
          <w:szCs w:val="22"/>
        </w:rPr>
        <w:t>Brand</w:t>
      </w:r>
      <w:r w:rsidRPr="00662032">
        <w:rPr>
          <w:rFonts w:cs="Arial"/>
          <w:color w:val="333333"/>
          <w:sz w:val="22"/>
          <w:szCs w:val="22"/>
        </w:rPr>
        <w:t xml:space="preserve"> geraten.</w:t>
      </w:r>
    </w:p>
    <w:p w14:paraId="51167DBE" w14:textId="77777777" w:rsidR="00662032" w:rsidRPr="00662032" w:rsidRDefault="00662032" w:rsidP="00662032">
      <w:pPr>
        <w:jc w:val="both"/>
        <w:rPr>
          <w:rFonts w:cs="Arial"/>
          <w:sz w:val="22"/>
          <w:szCs w:val="22"/>
        </w:rPr>
      </w:pPr>
    </w:p>
    <w:p w14:paraId="66E2D4E3" w14:textId="77777777" w:rsidR="00662032" w:rsidRPr="00662032" w:rsidRDefault="00662032" w:rsidP="00662032">
      <w:pPr>
        <w:jc w:val="both"/>
        <w:rPr>
          <w:rFonts w:cs="Arial"/>
          <w:b/>
          <w:sz w:val="22"/>
          <w:szCs w:val="22"/>
          <w:u w:val="single"/>
        </w:rPr>
      </w:pPr>
      <w:r w:rsidRPr="00662032">
        <w:rPr>
          <w:rFonts w:cs="Arial"/>
          <w:b/>
          <w:sz w:val="22"/>
          <w:szCs w:val="22"/>
          <w:u w:val="single"/>
        </w:rPr>
        <w:t>Gesetzliche und normative Vorgaben</w:t>
      </w:r>
    </w:p>
    <w:p w14:paraId="270DF3C4" w14:textId="3E8886FB" w:rsidR="00662032" w:rsidRPr="00662032" w:rsidRDefault="00662032" w:rsidP="00662032">
      <w:pPr>
        <w:jc w:val="both"/>
        <w:rPr>
          <w:rFonts w:cs="Arial"/>
          <w:sz w:val="22"/>
          <w:szCs w:val="22"/>
        </w:rPr>
      </w:pPr>
    </w:p>
    <w:p w14:paraId="5D4D5DE0" w14:textId="77777777" w:rsidR="00662032" w:rsidRPr="00662032" w:rsidRDefault="00662032" w:rsidP="00662032">
      <w:pPr>
        <w:autoSpaceDE w:val="0"/>
        <w:autoSpaceDN w:val="0"/>
        <w:adjustRightInd w:val="0"/>
        <w:jc w:val="both"/>
        <w:rPr>
          <w:rFonts w:cs="Arial"/>
          <w:color w:val="000000"/>
          <w:sz w:val="22"/>
          <w:szCs w:val="22"/>
        </w:rPr>
      </w:pPr>
      <w:r w:rsidRPr="00662032">
        <w:rPr>
          <w:rFonts w:cs="Arial"/>
          <w:color w:val="000000"/>
          <w:sz w:val="22"/>
          <w:szCs w:val="22"/>
        </w:rPr>
        <w:t>Allgemein gelten das Arbeitsschutzgesetz (ArbSchG) und die DGUV Vorschrift 1. Weitere wichtige Vorschriften und Praxishilfen:</w:t>
      </w:r>
    </w:p>
    <w:p w14:paraId="7C1732A3" w14:textId="77777777" w:rsidR="00662032" w:rsidRPr="00662032" w:rsidRDefault="00662032" w:rsidP="00662032">
      <w:pPr>
        <w:numPr>
          <w:ilvl w:val="0"/>
          <w:numId w:val="18"/>
        </w:numPr>
        <w:autoSpaceDE w:val="0"/>
        <w:autoSpaceDN w:val="0"/>
        <w:adjustRightInd w:val="0"/>
        <w:rPr>
          <w:rFonts w:cs="Arial"/>
          <w:color w:val="000000"/>
          <w:sz w:val="22"/>
          <w:szCs w:val="22"/>
        </w:rPr>
      </w:pPr>
      <w:r w:rsidRPr="00662032">
        <w:rPr>
          <w:rFonts w:cs="Arial"/>
          <w:color w:val="000000"/>
          <w:sz w:val="22"/>
          <w:szCs w:val="22"/>
        </w:rPr>
        <w:t>DGUV Vorschrift 3 – für Arbeiten an elektrischen Anlagen und Betriebsmitteln</w:t>
      </w:r>
    </w:p>
    <w:p w14:paraId="20FE965F" w14:textId="77777777" w:rsidR="00662032" w:rsidRPr="00662032" w:rsidRDefault="00662032" w:rsidP="00662032">
      <w:pPr>
        <w:numPr>
          <w:ilvl w:val="0"/>
          <w:numId w:val="18"/>
        </w:numPr>
        <w:autoSpaceDE w:val="0"/>
        <w:autoSpaceDN w:val="0"/>
        <w:adjustRightInd w:val="0"/>
        <w:rPr>
          <w:rFonts w:cs="Arial"/>
          <w:color w:val="000000"/>
          <w:sz w:val="22"/>
          <w:szCs w:val="22"/>
        </w:rPr>
      </w:pPr>
      <w:r w:rsidRPr="00662032">
        <w:rPr>
          <w:rFonts w:cs="Arial"/>
          <w:color w:val="000000"/>
          <w:sz w:val="22"/>
          <w:szCs w:val="22"/>
        </w:rPr>
        <w:t>DGUV Regel 103-011 – Arbeiten unter Spannung an elektrischen Anlagen und Betriebsmitteln</w:t>
      </w:r>
    </w:p>
    <w:p w14:paraId="61DB776D" w14:textId="77777777" w:rsidR="00662032" w:rsidRPr="00662032" w:rsidRDefault="00662032" w:rsidP="00662032">
      <w:pPr>
        <w:numPr>
          <w:ilvl w:val="0"/>
          <w:numId w:val="18"/>
        </w:numPr>
        <w:autoSpaceDE w:val="0"/>
        <w:autoSpaceDN w:val="0"/>
        <w:adjustRightInd w:val="0"/>
        <w:rPr>
          <w:rFonts w:cs="Arial"/>
          <w:color w:val="000000"/>
          <w:sz w:val="22"/>
          <w:szCs w:val="22"/>
        </w:rPr>
      </w:pPr>
      <w:r w:rsidRPr="00662032">
        <w:rPr>
          <w:rFonts w:cs="Arial"/>
          <w:color w:val="000000"/>
          <w:sz w:val="22"/>
          <w:szCs w:val="22"/>
        </w:rPr>
        <w:t>VDE-AR-E 2510-50 „Stationäre Energiespeichersysteme mit Lithium-Batterien –Sicherheitsanforderungen“ – Anforderungen an den Speicher</w:t>
      </w:r>
    </w:p>
    <w:p w14:paraId="3B81844A" w14:textId="77777777" w:rsidR="00662032" w:rsidRPr="00662032" w:rsidRDefault="00662032" w:rsidP="00662032">
      <w:pPr>
        <w:numPr>
          <w:ilvl w:val="0"/>
          <w:numId w:val="18"/>
        </w:numPr>
        <w:autoSpaceDE w:val="0"/>
        <w:autoSpaceDN w:val="0"/>
        <w:adjustRightInd w:val="0"/>
        <w:rPr>
          <w:rFonts w:cs="Arial"/>
          <w:color w:val="000000"/>
          <w:sz w:val="22"/>
          <w:szCs w:val="22"/>
        </w:rPr>
      </w:pPr>
      <w:r w:rsidRPr="00662032">
        <w:rPr>
          <w:rFonts w:cs="Arial"/>
          <w:color w:val="000000"/>
          <w:sz w:val="22"/>
          <w:szCs w:val="22"/>
        </w:rPr>
        <w:t>Anwendungsregel VDE-AR-E-2510-2 „Stationäre elektrische Energiespeichersysteme am Niederspannungsnetz“ Anforderungen u.a. an den Anschluss</w:t>
      </w:r>
    </w:p>
    <w:p w14:paraId="72BCCFBD" w14:textId="77777777" w:rsidR="00662032" w:rsidRPr="00662032" w:rsidRDefault="00662032" w:rsidP="00662032">
      <w:pPr>
        <w:numPr>
          <w:ilvl w:val="0"/>
          <w:numId w:val="18"/>
        </w:numPr>
        <w:rPr>
          <w:rFonts w:cs="Arial"/>
          <w:sz w:val="22"/>
          <w:szCs w:val="22"/>
        </w:rPr>
      </w:pPr>
      <w:r w:rsidRPr="00662032">
        <w:rPr>
          <w:rFonts w:cs="Arial"/>
          <w:color w:val="000000"/>
          <w:sz w:val="22"/>
          <w:szCs w:val="22"/>
        </w:rPr>
        <w:t>PV-Speicherpass von BSW Solar/ZVEH.</w:t>
      </w:r>
    </w:p>
    <w:p w14:paraId="0703E5E5" w14:textId="77777777" w:rsidR="00662032" w:rsidRPr="00662032" w:rsidRDefault="00662032" w:rsidP="00662032">
      <w:pPr>
        <w:jc w:val="both"/>
        <w:rPr>
          <w:rFonts w:cs="Arial"/>
          <w:sz w:val="22"/>
          <w:szCs w:val="22"/>
        </w:rPr>
      </w:pPr>
    </w:p>
    <w:p w14:paraId="3B97422E" w14:textId="77777777" w:rsidR="00662032" w:rsidRPr="00662032" w:rsidRDefault="00662032" w:rsidP="00662032">
      <w:pPr>
        <w:jc w:val="both"/>
        <w:rPr>
          <w:rFonts w:cs="Arial"/>
          <w:b/>
          <w:sz w:val="22"/>
          <w:szCs w:val="22"/>
          <w:u w:val="single"/>
        </w:rPr>
      </w:pPr>
      <w:r w:rsidRPr="00662032">
        <w:rPr>
          <w:rFonts w:cs="Arial"/>
          <w:b/>
          <w:sz w:val="22"/>
          <w:szCs w:val="22"/>
          <w:u w:val="single"/>
        </w:rPr>
        <w:t>Grundlagen</w:t>
      </w:r>
    </w:p>
    <w:p w14:paraId="34D2BD32" w14:textId="77777777" w:rsidR="00662032" w:rsidRPr="00662032" w:rsidRDefault="00662032" w:rsidP="00662032">
      <w:pPr>
        <w:jc w:val="both"/>
        <w:rPr>
          <w:rFonts w:cs="Arial"/>
          <w:b/>
          <w:sz w:val="22"/>
          <w:szCs w:val="22"/>
          <w:u w:val="single"/>
        </w:rPr>
      </w:pPr>
    </w:p>
    <w:p w14:paraId="49928FBE" w14:textId="16AF2566" w:rsidR="00662032" w:rsidRPr="00662032" w:rsidRDefault="00662032" w:rsidP="00662032">
      <w:pPr>
        <w:autoSpaceDE w:val="0"/>
        <w:autoSpaceDN w:val="0"/>
        <w:adjustRightInd w:val="0"/>
        <w:jc w:val="both"/>
        <w:rPr>
          <w:rFonts w:cs="Arial"/>
          <w:sz w:val="22"/>
          <w:szCs w:val="22"/>
        </w:rPr>
      </w:pPr>
      <w:r w:rsidRPr="00662032">
        <w:rPr>
          <w:rFonts w:cs="Arial"/>
          <w:sz w:val="22"/>
          <w:szCs w:val="22"/>
        </w:rPr>
        <w:t>Batterien sind chemische Energiespeicher, die in einer elektrochemischen Reaktion die gespeicherte Ladung in Form von elektrischer Energie abgeben können. Heute gibt es für die unterschiedlichsten Anwendungen eine nahezu unüberschaubare Vielfalt von Batterietypen, die sich in Kathode, Anode und Elektrolyt sowie in Bauform, Leistung und Größe unterscheiden. Es gibt eine Fülle möglicher Kombinationen der einzelnen Komponenten, deren Beschreibung und Katalogisierung aufgrund der enorm schnellen technischen Weiterentwicklung nur schwer auf dem aktuellen Stand zu halten ist. Der Begriff Batterie bezeichnet ursprünglich die Zusammenschaltung mehrerer einzelner Batteriezellen. Jedoch hat sich inzwischen ein Bedeutungswandel des Begriffs vollzogen, so dass mit Batterie auch eine einzelne Zelle gemeint sein kann.</w:t>
      </w:r>
    </w:p>
    <w:p w14:paraId="16A13E99" w14:textId="77777777" w:rsidR="00662032" w:rsidRPr="00662032" w:rsidRDefault="00662032" w:rsidP="00662032">
      <w:pPr>
        <w:jc w:val="both"/>
        <w:rPr>
          <w:rFonts w:cs="Arial"/>
          <w:b/>
          <w:sz w:val="22"/>
          <w:szCs w:val="22"/>
          <w:u w:val="single"/>
        </w:rPr>
      </w:pPr>
    </w:p>
    <w:p w14:paraId="42EB2D80" w14:textId="6FBD8CFA" w:rsidR="00662032" w:rsidRPr="00662032" w:rsidRDefault="00662032" w:rsidP="00662032">
      <w:pPr>
        <w:jc w:val="both"/>
        <w:rPr>
          <w:rFonts w:cs="Arial"/>
          <w:b/>
          <w:sz w:val="22"/>
          <w:szCs w:val="22"/>
          <w:u w:val="single"/>
        </w:rPr>
      </w:pPr>
      <w:r w:rsidRPr="00662032">
        <w:rPr>
          <w:rFonts w:cs="Arial"/>
          <w:i/>
          <w:iCs/>
          <w:sz w:val="22"/>
          <w:szCs w:val="22"/>
        </w:rPr>
        <w:t>Primärzellen</w:t>
      </w:r>
      <w:r w:rsidRPr="00662032">
        <w:rPr>
          <w:rFonts w:cs="Arial"/>
          <w:sz w:val="22"/>
          <w:szCs w:val="22"/>
        </w:rPr>
        <w:t xml:space="preserve"> (Batterie) können nur einmal entladen und nicht wieder aufgeladen werden. Dagegen sind die </w:t>
      </w:r>
      <w:r w:rsidRPr="00662032">
        <w:rPr>
          <w:rFonts w:cs="Arial"/>
          <w:sz w:val="22"/>
          <w:szCs w:val="22"/>
        </w:rPr>
        <w:t>wieder aufladbaren</w:t>
      </w:r>
      <w:r w:rsidRPr="00662032">
        <w:rPr>
          <w:rFonts w:cs="Arial"/>
          <w:sz w:val="22"/>
          <w:szCs w:val="22"/>
        </w:rPr>
        <w:t xml:space="preserve"> </w:t>
      </w:r>
      <w:r w:rsidRPr="00662032">
        <w:rPr>
          <w:rFonts w:cs="Arial"/>
          <w:i/>
          <w:iCs/>
          <w:sz w:val="22"/>
          <w:szCs w:val="22"/>
        </w:rPr>
        <w:t>Sekundär</w:t>
      </w:r>
      <w:r w:rsidRPr="00662032">
        <w:rPr>
          <w:rFonts w:cs="Arial"/>
          <w:i/>
          <w:sz w:val="22"/>
          <w:szCs w:val="22"/>
        </w:rPr>
        <w:t>zellen</w:t>
      </w:r>
      <w:r w:rsidRPr="00662032">
        <w:rPr>
          <w:rFonts w:cs="Arial"/>
          <w:sz w:val="22"/>
          <w:szCs w:val="22"/>
        </w:rPr>
        <w:t xml:space="preserve"> (Akkumulatoren) weitgehend in den Ladezustand ähnlich dem Neuzustand zu bringen, so dass eine mehrfache Umwandlung von chemischer in elektrische Energie und zurück möglich ist.</w:t>
      </w:r>
    </w:p>
    <w:p w14:paraId="533D7100" w14:textId="77777777" w:rsidR="00662032" w:rsidRPr="00662032" w:rsidRDefault="00662032" w:rsidP="00662032">
      <w:pPr>
        <w:jc w:val="both"/>
        <w:rPr>
          <w:rFonts w:cs="Arial"/>
          <w:b/>
          <w:sz w:val="22"/>
          <w:szCs w:val="22"/>
          <w:u w:val="single"/>
        </w:rPr>
      </w:pPr>
    </w:p>
    <w:p w14:paraId="7724DD3F" w14:textId="77777777" w:rsidR="00662032" w:rsidRPr="00662032" w:rsidRDefault="00662032" w:rsidP="00662032">
      <w:pPr>
        <w:jc w:val="both"/>
        <w:rPr>
          <w:rFonts w:cs="Arial"/>
          <w:b/>
          <w:sz w:val="22"/>
          <w:szCs w:val="22"/>
          <w:u w:val="single"/>
        </w:rPr>
      </w:pPr>
      <w:r w:rsidRPr="00662032">
        <w:rPr>
          <w:rFonts w:cs="Arial"/>
          <w:b/>
          <w:sz w:val="22"/>
          <w:szCs w:val="22"/>
          <w:u w:val="single"/>
        </w:rPr>
        <w:t>Anwendungen</w:t>
      </w:r>
    </w:p>
    <w:p w14:paraId="5C48A854" w14:textId="77777777" w:rsidR="00662032" w:rsidRPr="00662032" w:rsidRDefault="00662032" w:rsidP="00662032">
      <w:pPr>
        <w:jc w:val="both"/>
        <w:rPr>
          <w:rFonts w:cs="Arial"/>
          <w:b/>
          <w:sz w:val="22"/>
          <w:szCs w:val="22"/>
          <w:u w:val="single"/>
        </w:rPr>
      </w:pPr>
    </w:p>
    <w:p w14:paraId="6A6E94D3" w14:textId="583A8834" w:rsidR="00662032" w:rsidRPr="00662032" w:rsidRDefault="00662032" w:rsidP="00662032">
      <w:pPr>
        <w:autoSpaceDE w:val="0"/>
        <w:autoSpaceDN w:val="0"/>
        <w:adjustRightInd w:val="0"/>
        <w:jc w:val="both"/>
        <w:rPr>
          <w:rFonts w:cs="Arial"/>
          <w:sz w:val="22"/>
          <w:szCs w:val="22"/>
        </w:rPr>
      </w:pPr>
      <w:r w:rsidRPr="00662032">
        <w:rPr>
          <w:rFonts w:cs="Arial"/>
          <w:sz w:val="22"/>
          <w:szCs w:val="22"/>
        </w:rPr>
        <w:t>Die Vorteile von Lithium-Akkumulatoren (z. B. Lithium-Ionen-Akkus) im Vergleich zu konventionellen chemischen Energiespeichern (z. B. Nickel-Metallhydrid Akkus) ergeben sich aus den elektrochemischen Leistungsparametern. Die hohe Zellenspannung bei Lithium-Akkumulatoren</w:t>
      </w:r>
      <w:r w:rsidRPr="00662032" w:rsidDel="00242034">
        <w:rPr>
          <w:rFonts w:cs="Arial"/>
          <w:sz w:val="22"/>
          <w:szCs w:val="22"/>
        </w:rPr>
        <w:t xml:space="preserve"> </w:t>
      </w:r>
      <w:r w:rsidRPr="00662032">
        <w:rPr>
          <w:rFonts w:cs="Arial"/>
          <w:sz w:val="22"/>
          <w:szCs w:val="22"/>
        </w:rPr>
        <w:t>von typischerweise 3,6 V erlaubt die Konstruktion von Akkumulatoren</w:t>
      </w:r>
      <w:r w:rsidRPr="00662032" w:rsidDel="00242034">
        <w:rPr>
          <w:rFonts w:cs="Arial"/>
          <w:sz w:val="22"/>
          <w:szCs w:val="22"/>
        </w:rPr>
        <w:t xml:space="preserve"> </w:t>
      </w:r>
      <w:r w:rsidRPr="00662032">
        <w:rPr>
          <w:rFonts w:cs="Arial"/>
          <w:sz w:val="22"/>
          <w:szCs w:val="22"/>
        </w:rPr>
        <w:t>mit nur einer einzelnen Zelle. Moderne Mobiltelefone arbeiten heute ausschließlich mit Lithium-Ionen-Akkus und sind nur noch mit einer Einzelzelle bestückt. Ein Akkumulator auf Basis von herkömmlichen Nickelelektroden würde für die gleiche Anwendung drei in Serie geschaltete 1,2 V Zellen benötigen.</w:t>
      </w:r>
    </w:p>
    <w:p w14:paraId="2F505B97" w14:textId="77777777" w:rsidR="00662032" w:rsidRPr="00662032" w:rsidRDefault="00662032" w:rsidP="00662032">
      <w:pPr>
        <w:autoSpaceDE w:val="0"/>
        <w:autoSpaceDN w:val="0"/>
        <w:adjustRightInd w:val="0"/>
        <w:jc w:val="both"/>
        <w:rPr>
          <w:rFonts w:cs="Arial"/>
          <w:sz w:val="22"/>
          <w:szCs w:val="22"/>
        </w:rPr>
      </w:pPr>
    </w:p>
    <w:p w14:paraId="38D669C7" w14:textId="58881E09" w:rsidR="00662032" w:rsidRPr="00662032" w:rsidRDefault="00662032" w:rsidP="00662032">
      <w:pPr>
        <w:autoSpaceDE w:val="0"/>
        <w:autoSpaceDN w:val="0"/>
        <w:adjustRightInd w:val="0"/>
        <w:jc w:val="both"/>
        <w:rPr>
          <w:rFonts w:cs="Arial"/>
          <w:sz w:val="22"/>
          <w:szCs w:val="22"/>
        </w:rPr>
      </w:pPr>
      <w:r w:rsidRPr="00662032">
        <w:rPr>
          <w:rFonts w:cs="Arial"/>
          <w:sz w:val="22"/>
          <w:szCs w:val="22"/>
        </w:rPr>
        <w:t xml:space="preserve">Lithium-Sekundärbatterien kennen im Gegensatz zu konventionellen Akkus keinen Memory-Effekt (Kapazitätsverlust durch zyklisches Laden/Entladen) und erreichen einen hohen Wirkungsgrad von bis zu 95% (Verhältnis zwischen Entlademenge zu Lademenge). Der weite Temperaturbereich, in </w:t>
      </w:r>
      <w:r w:rsidRPr="00662032">
        <w:rPr>
          <w:rFonts w:cs="Arial"/>
          <w:sz w:val="22"/>
          <w:szCs w:val="22"/>
        </w:rPr>
        <w:lastRenderedPageBreak/>
        <w:t>dem Lithium-Akkumulatoren eingesetzt werden können (- 40 °C bis +70 °C), insbesondere das gute Tieftemperaturverhalten und die geringe Selbstentladung (über 10 Jahre Lagerfähigkeit) machen Lithium-Akkumulatoren</w:t>
      </w:r>
      <w:r w:rsidRPr="00662032" w:rsidDel="00242034">
        <w:rPr>
          <w:rFonts w:cs="Arial"/>
          <w:sz w:val="22"/>
          <w:szCs w:val="22"/>
        </w:rPr>
        <w:t xml:space="preserve"> </w:t>
      </w:r>
      <w:r w:rsidRPr="00662032">
        <w:rPr>
          <w:rFonts w:cs="Arial"/>
          <w:sz w:val="22"/>
          <w:szCs w:val="22"/>
        </w:rPr>
        <w:t>für zahlreiche Anwendungsgebiete unersetzlich. Unter den zahlreichen Energiespeichersystemen besitzen insbesondere Lithium- Akkumulatoren</w:t>
      </w:r>
      <w:r w:rsidRPr="00662032" w:rsidDel="00242034">
        <w:rPr>
          <w:rFonts w:cs="Arial"/>
          <w:sz w:val="22"/>
          <w:szCs w:val="22"/>
        </w:rPr>
        <w:t xml:space="preserve"> </w:t>
      </w:r>
      <w:r w:rsidRPr="00662032">
        <w:rPr>
          <w:rFonts w:cs="Arial"/>
          <w:sz w:val="22"/>
          <w:szCs w:val="22"/>
        </w:rPr>
        <w:t>anwendungstechnische Vorteile, die die Einsatzmöglichkeiten von Akkumulatoren</w:t>
      </w:r>
      <w:r w:rsidRPr="00662032" w:rsidDel="00242034">
        <w:rPr>
          <w:rFonts w:cs="Arial"/>
          <w:sz w:val="22"/>
          <w:szCs w:val="22"/>
        </w:rPr>
        <w:t xml:space="preserve"> </w:t>
      </w:r>
      <w:r w:rsidRPr="00662032">
        <w:rPr>
          <w:rFonts w:cs="Arial"/>
          <w:sz w:val="22"/>
          <w:szCs w:val="22"/>
        </w:rPr>
        <w:t>revolutioniert haben. Grundsätzlich unterscheidet man bei Lithium-Akkumulator-Anwendungen in Bezug auf die Leistung drei Kategorien:</w:t>
      </w:r>
    </w:p>
    <w:p w14:paraId="14A4BA6F" w14:textId="77777777" w:rsidR="00662032" w:rsidRPr="00662032" w:rsidRDefault="00662032" w:rsidP="00662032">
      <w:pPr>
        <w:autoSpaceDE w:val="0"/>
        <w:autoSpaceDN w:val="0"/>
        <w:adjustRightInd w:val="0"/>
        <w:jc w:val="both"/>
        <w:rPr>
          <w:rFonts w:cs="Arial"/>
          <w:sz w:val="22"/>
          <w:szCs w:val="22"/>
        </w:rPr>
      </w:pPr>
    </w:p>
    <w:p w14:paraId="57E8D0A6" w14:textId="78F535BA" w:rsidR="00662032" w:rsidRPr="00662032" w:rsidRDefault="00662032" w:rsidP="00662032">
      <w:pPr>
        <w:autoSpaceDE w:val="0"/>
        <w:autoSpaceDN w:val="0"/>
        <w:adjustRightInd w:val="0"/>
        <w:jc w:val="both"/>
        <w:rPr>
          <w:rFonts w:cs="Arial"/>
          <w:sz w:val="22"/>
          <w:szCs w:val="22"/>
        </w:rPr>
      </w:pPr>
      <w:r w:rsidRPr="00662032">
        <w:rPr>
          <w:rFonts w:cs="Arial"/>
          <w:b/>
          <w:bCs/>
          <w:iCs/>
          <w:sz w:val="22"/>
          <w:szCs w:val="22"/>
        </w:rPr>
        <w:t>Mobile elektronische Kleinanwendungen:</w:t>
      </w:r>
      <w:r w:rsidRPr="00662032">
        <w:rPr>
          <w:rFonts w:cs="Arial"/>
          <w:b/>
          <w:bCs/>
          <w:i/>
          <w:iCs/>
          <w:sz w:val="22"/>
          <w:szCs w:val="22"/>
        </w:rPr>
        <w:t xml:space="preserve"> </w:t>
      </w:r>
      <w:r w:rsidRPr="00662032">
        <w:rPr>
          <w:rFonts w:cs="Arial"/>
          <w:sz w:val="22"/>
          <w:szCs w:val="22"/>
        </w:rPr>
        <w:t>Die ersten Lithium-Akkumulatoren, die in nennenswerten Stückzahlen produziert wurden, kamen vornehmlich in mobilen elektronischen Kleinanwendungen zum Einsatz. Insbesondere im Segment Mobiltelefone, Digitalkameras und Notebooks. In Verarbeitungsbetrieben oder Produktionsanlagen werden moderne Lithium-Akkumulatoren für unterschiedlichste Einsatzgebiete verwendet. Insbesondere bei tragbaren Werkzeugmaschinen (Akku-Schrauber, Akku-Bohrmaschinen, etc.) aber auch für mobile Beleuchtungstechnik, für mobile Steuerungsgeräte sowie für mobile Kommunikationstechnik ist der Einsatz von Lithium-Akkumulator unverzichtbar.</w:t>
      </w:r>
    </w:p>
    <w:p w14:paraId="199958D5" w14:textId="77777777" w:rsidR="00662032" w:rsidRPr="00662032" w:rsidRDefault="00662032" w:rsidP="00662032">
      <w:pPr>
        <w:autoSpaceDE w:val="0"/>
        <w:autoSpaceDN w:val="0"/>
        <w:adjustRightInd w:val="0"/>
        <w:jc w:val="both"/>
        <w:rPr>
          <w:rFonts w:cs="Arial"/>
          <w:b/>
          <w:bCs/>
          <w:i/>
          <w:iCs/>
          <w:sz w:val="22"/>
          <w:szCs w:val="22"/>
        </w:rPr>
      </w:pPr>
    </w:p>
    <w:p w14:paraId="2AF1A5C4" w14:textId="77777777" w:rsidR="00662032" w:rsidRPr="00662032" w:rsidRDefault="00662032" w:rsidP="00662032">
      <w:pPr>
        <w:autoSpaceDE w:val="0"/>
        <w:autoSpaceDN w:val="0"/>
        <w:adjustRightInd w:val="0"/>
        <w:jc w:val="both"/>
        <w:rPr>
          <w:rFonts w:cs="Arial"/>
          <w:sz w:val="22"/>
          <w:szCs w:val="22"/>
        </w:rPr>
      </w:pPr>
      <w:proofErr w:type="spellStart"/>
      <w:r w:rsidRPr="00662032">
        <w:rPr>
          <w:rFonts w:cs="Arial"/>
          <w:b/>
          <w:bCs/>
          <w:iCs/>
          <w:sz w:val="22"/>
          <w:szCs w:val="22"/>
        </w:rPr>
        <w:t>Akkumulatoranwendungen</w:t>
      </w:r>
      <w:proofErr w:type="spellEnd"/>
      <w:r w:rsidRPr="00662032">
        <w:rPr>
          <w:rFonts w:cs="Arial"/>
          <w:b/>
          <w:bCs/>
          <w:iCs/>
          <w:sz w:val="22"/>
          <w:szCs w:val="22"/>
        </w:rPr>
        <w:t xml:space="preserve"> im mittleren Leistungsspektrum:</w:t>
      </w:r>
      <w:r w:rsidRPr="00662032">
        <w:rPr>
          <w:rFonts w:cs="Arial"/>
          <w:b/>
          <w:bCs/>
          <w:i/>
          <w:iCs/>
          <w:sz w:val="22"/>
          <w:szCs w:val="22"/>
        </w:rPr>
        <w:t xml:space="preserve"> </w:t>
      </w:r>
      <w:r w:rsidRPr="00662032">
        <w:rPr>
          <w:rFonts w:cs="Arial"/>
          <w:sz w:val="22"/>
          <w:szCs w:val="22"/>
        </w:rPr>
        <w:t xml:space="preserve">Insbesondere für den Einsatz im Segment Kleinfahrzeuge (Light </w:t>
      </w:r>
      <w:proofErr w:type="spellStart"/>
      <w:r w:rsidRPr="00662032">
        <w:rPr>
          <w:rFonts w:cs="Arial"/>
          <w:sz w:val="22"/>
          <w:szCs w:val="22"/>
        </w:rPr>
        <w:t>Electric</w:t>
      </w:r>
      <w:proofErr w:type="spellEnd"/>
      <w:r w:rsidRPr="00662032">
        <w:rPr>
          <w:rFonts w:cs="Arial"/>
          <w:sz w:val="22"/>
          <w:szCs w:val="22"/>
        </w:rPr>
        <w:t xml:space="preserve"> </w:t>
      </w:r>
      <w:proofErr w:type="spellStart"/>
      <w:r w:rsidRPr="00662032">
        <w:rPr>
          <w:rFonts w:cs="Arial"/>
          <w:sz w:val="22"/>
          <w:szCs w:val="22"/>
        </w:rPr>
        <w:t>Vehicles</w:t>
      </w:r>
      <w:proofErr w:type="spellEnd"/>
      <w:r w:rsidRPr="00662032">
        <w:rPr>
          <w:rFonts w:cs="Arial"/>
          <w:sz w:val="22"/>
          <w:szCs w:val="22"/>
        </w:rPr>
        <w:t>; LEV) als Antrieb für Fahrräder, Roller, Rasenmäher, Gabelstapler, etc. gewinnen Lithium-Akkumulatoren zunehmend an Bedeutung.</w:t>
      </w:r>
    </w:p>
    <w:p w14:paraId="15939E3B" w14:textId="77777777" w:rsidR="00662032" w:rsidRPr="00662032" w:rsidRDefault="00662032" w:rsidP="00662032">
      <w:pPr>
        <w:autoSpaceDE w:val="0"/>
        <w:autoSpaceDN w:val="0"/>
        <w:adjustRightInd w:val="0"/>
        <w:jc w:val="both"/>
        <w:rPr>
          <w:rFonts w:cs="Arial"/>
          <w:b/>
          <w:bCs/>
          <w:i/>
          <w:iCs/>
          <w:sz w:val="22"/>
          <w:szCs w:val="22"/>
        </w:rPr>
      </w:pPr>
    </w:p>
    <w:p w14:paraId="5B29FEFF" w14:textId="77777777" w:rsidR="00662032" w:rsidRPr="00662032" w:rsidRDefault="00662032" w:rsidP="00662032">
      <w:pPr>
        <w:autoSpaceDE w:val="0"/>
        <w:autoSpaceDN w:val="0"/>
        <w:adjustRightInd w:val="0"/>
        <w:jc w:val="both"/>
        <w:rPr>
          <w:rFonts w:cs="Arial"/>
          <w:sz w:val="22"/>
          <w:szCs w:val="22"/>
        </w:rPr>
      </w:pPr>
      <w:r w:rsidRPr="00662032">
        <w:rPr>
          <w:rFonts w:cs="Arial"/>
          <w:b/>
          <w:bCs/>
          <w:iCs/>
          <w:sz w:val="22"/>
          <w:szCs w:val="22"/>
        </w:rPr>
        <w:t>Hochenergieakkumulator für Kraftfahrzeuge mit Elektroantrieb:</w:t>
      </w:r>
      <w:r w:rsidRPr="00662032">
        <w:rPr>
          <w:rFonts w:cs="Arial"/>
          <w:b/>
          <w:bCs/>
          <w:i/>
          <w:iCs/>
          <w:sz w:val="22"/>
          <w:szCs w:val="22"/>
        </w:rPr>
        <w:t xml:space="preserve"> </w:t>
      </w:r>
      <w:r w:rsidRPr="00662032">
        <w:rPr>
          <w:rFonts w:cs="Arial"/>
          <w:sz w:val="22"/>
          <w:szCs w:val="22"/>
        </w:rPr>
        <w:t xml:space="preserve">Moderne Lithium-Akkus für Kraftfahrzeuge erreichen eine Energiedichte von über 120 </w:t>
      </w:r>
      <w:proofErr w:type="spellStart"/>
      <w:r w:rsidRPr="00662032">
        <w:rPr>
          <w:rFonts w:cs="Arial"/>
          <w:sz w:val="22"/>
          <w:szCs w:val="22"/>
        </w:rPr>
        <w:t>Wh</w:t>
      </w:r>
      <w:proofErr w:type="spellEnd"/>
      <w:r w:rsidRPr="00662032">
        <w:rPr>
          <w:rFonts w:cs="Arial"/>
          <w:sz w:val="22"/>
          <w:szCs w:val="22"/>
        </w:rPr>
        <w:t xml:space="preserve">/kg (zum Vergleich: konventionelle Autobatterien auf der Basis von Bleiakkumulatoren erreichen ca. 30 </w:t>
      </w:r>
      <w:proofErr w:type="spellStart"/>
      <w:r w:rsidRPr="00662032">
        <w:rPr>
          <w:rFonts w:cs="Arial"/>
          <w:sz w:val="22"/>
          <w:szCs w:val="22"/>
        </w:rPr>
        <w:t>Wh</w:t>
      </w:r>
      <w:proofErr w:type="spellEnd"/>
      <w:r w:rsidRPr="00662032">
        <w:rPr>
          <w:rFonts w:cs="Arial"/>
          <w:sz w:val="22"/>
          <w:szCs w:val="22"/>
        </w:rPr>
        <w:t>/kg). Immer größer werdende Anwendungen benötigen naturgemäß immer größere Energiespeichersysteme, die einerseits einen wesentlich höheren Energieinhalt haben und andererseits auch in der Lage sind, große Leistungen abzugeben.</w:t>
      </w:r>
    </w:p>
    <w:p w14:paraId="75285400" w14:textId="77777777" w:rsidR="00662032" w:rsidRPr="00662032" w:rsidRDefault="00662032" w:rsidP="00662032">
      <w:pPr>
        <w:autoSpaceDE w:val="0"/>
        <w:autoSpaceDN w:val="0"/>
        <w:adjustRightInd w:val="0"/>
        <w:jc w:val="both"/>
        <w:rPr>
          <w:rFonts w:cs="Arial"/>
          <w:sz w:val="22"/>
          <w:szCs w:val="22"/>
        </w:rPr>
      </w:pPr>
    </w:p>
    <w:p w14:paraId="272B7C43" w14:textId="77777777" w:rsidR="00662032" w:rsidRPr="00662032" w:rsidRDefault="00662032" w:rsidP="00662032">
      <w:pPr>
        <w:autoSpaceDE w:val="0"/>
        <w:autoSpaceDN w:val="0"/>
        <w:adjustRightInd w:val="0"/>
        <w:jc w:val="both"/>
        <w:rPr>
          <w:rFonts w:cs="Arial"/>
          <w:sz w:val="22"/>
          <w:szCs w:val="22"/>
        </w:rPr>
      </w:pPr>
      <w:r w:rsidRPr="00662032">
        <w:rPr>
          <w:rFonts w:cs="Arial"/>
          <w:sz w:val="22"/>
          <w:szCs w:val="22"/>
        </w:rPr>
        <w:t>Um bei leistungsstarken Hochenergie-</w:t>
      </w:r>
      <w:proofErr w:type="spellStart"/>
      <w:r w:rsidRPr="00662032">
        <w:rPr>
          <w:rFonts w:cs="Arial"/>
          <w:sz w:val="22"/>
          <w:szCs w:val="22"/>
        </w:rPr>
        <w:t>Akkumulatorsystemen</w:t>
      </w:r>
      <w:proofErr w:type="spellEnd"/>
      <w:r w:rsidRPr="00662032">
        <w:rPr>
          <w:rFonts w:cs="Arial"/>
          <w:sz w:val="22"/>
          <w:szCs w:val="22"/>
        </w:rPr>
        <w:t xml:space="preserve"> (z. B. im Bereich Kraftfahrzeuge) die hohen Spannungen von mehreren Hundert Volt zu erreichen, werden die Speichersysteme üblicherweise durch Serien-/Parallelschaltungen von Standard-Einzelzellen aufgebaut.</w:t>
      </w:r>
    </w:p>
    <w:p w14:paraId="10D8A504" w14:textId="77777777" w:rsidR="00662032" w:rsidRPr="00662032" w:rsidRDefault="00662032" w:rsidP="00662032">
      <w:pPr>
        <w:jc w:val="both"/>
        <w:rPr>
          <w:rFonts w:cs="Arial"/>
          <w:b/>
          <w:sz w:val="22"/>
          <w:szCs w:val="22"/>
          <w:u w:val="single"/>
        </w:rPr>
      </w:pPr>
    </w:p>
    <w:p w14:paraId="623F4C3D" w14:textId="55D647EF" w:rsidR="00662032" w:rsidRPr="00662032" w:rsidRDefault="00662032" w:rsidP="00662032">
      <w:pPr>
        <w:jc w:val="both"/>
        <w:rPr>
          <w:rFonts w:cs="Arial"/>
          <w:b/>
          <w:sz w:val="22"/>
          <w:szCs w:val="22"/>
          <w:u w:val="single"/>
        </w:rPr>
      </w:pPr>
      <w:r w:rsidRPr="00662032">
        <w:rPr>
          <w:rFonts w:cs="Arial"/>
          <w:b/>
          <w:sz w:val="22"/>
          <w:szCs w:val="22"/>
          <w:u w:val="single"/>
        </w:rPr>
        <w:t>Gefahren</w:t>
      </w:r>
    </w:p>
    <w:p w14:paraId="4B4FE3DB" w14:textId="77777777" w:rsidR="00662032" w:rsidRPr="00662032" w:rsidRDefault="00662032" w:rsidP="00662032">
      <w:pPr>
        <w:jc w:val="both"/>
        <w:rPr>
          <w:rFonts w:cs="Arial"/>
          <w:b/>
          <w:i/>
          <w:sz w:val="22"/>
          <w:szCs w:val="22"/>
        </w:rPr>
      </w:pPr>
    </w:p>
    <w:p w14:paraId="52E537FA" w14:textId="16C4F218" w:rsidR="00662032" w:rsidRPr="00662032" w:rsidRDefault="00662032" w:rsidP="00662032">
      <w:pPr>
        <w:autoSpaceDE w:val="0"/>
        <w:autoSpaceDN w:val="0"/>
        <w:adjustRightInd w:val="0"/>
        <w:jc w:val="both"/>
        <w:rPr>
          <w:rFonts w:cs="Arial"/>
          <w:sz w:val="22"/>
          <w:szCs w:val="22"/>
        </w:rPr>
      </w:pPr>
      <w:r w:rsidRPr="00662032">
        <w:rPr>
          <w:rFonts w:cs="Arial"/>
          <w:b/>
          <w:bCs/>
          <w:i/>
          <w:iCs/>
          <w:sz w:val="22"/>
          <w:szCs w:val="22"/>
        </w:rPr>
        <w:t xml:space="preserve">Elektrische Spannung: </w:t>
      </w:r>
      <w:r w:rsidRPr="00662032">
        <w:rPr>
          <w:rFonts w:cs="Arial"/>
          <w:sz w:val="22"/>
          <w:szCs w:val="22"/>
        </w:rPr>
        <w:t xml:space="preserve">Zwischen den Polen einer Batterie liegt eine elektrische Gleichspannung an. Neben den üblichen Brandgefahren, welche typischerweise von elektrischen Geräten und elektronischen Bauteilen ausgehen, können Batterien mit hohen Spannungen, durch die serielle Verschaltung von einzelnen </w:t>
      </w:r>
      <w:proofErr w:type="spellStart"/>
      <w:r w:rsidRPr="00662032">
        <w:rPr>
          <w:rFonts w:cs="Arial"/>
          <w:sz w:val="22"/>
          <w:szCs w:val="22"/>
        </w:rPr>
        <w:t>Akkumulatorzellen</w:t>
      </w:r>
      <w:proofErr w:type="spellEnd"/>
      <w:r w:rsidRPr="00662032">
        <w:rPr>
          <w:rFonts w:cs="Arial"/>
          <w:sz w:val="22"/>
          <w:szCs w:val="22"/>
        </w:rPr>
        <w:t xml:space="preserve">, vor allem für Personen eine erhebliche Gefahr darstellen. Damit haben die </w:t>
      </w:r>
      <w:proofErr w:type="spellStart"/>
      <w:r w:rsidRPr="00662032">
        <w:rPr>
          <w:rFonts w:cs="Arial"/>
          <w:sz w:val="22"/>
          <w:szCs w:val="22"/>
        </w:rPr>
        <w:t>Akkumulatorsysteme</w:t>
      </w:r>
      <w:proofErr w:type="spellEnd"/>
      <w:r w:rsidRPr="00662032">
        <w:rPr>
          <w:rFonts w:cs="Arial"/>
          <w:sz w:val="22"/>
          <w:szCs w:val="22"/>
        </w:rPr>
        <w:t xml:space="preserve"> je nach Anwendung Nennspannungen von bis zu 800 Volt DC und können beim Berühren zu einem elektrischen Schlag führen (Hinweis: Bereits Gleichspannungen von 120 V sind lebensgefährlich).</w:t>
      </w:r>
    </w:p>
    <w:p w14:paraId="3EA14F7B" w14:textId="77777777" w:rsidR="00662032" w:rsidRPr="00662032" w:rsidRDefault="00662032" w:rsidP="00662032">
      <w:pPr>
        <w:autoSpaceDE w:val="0"/>
        <w:autoSpaceDN w:val="0"/>
        <w:adjustRightInd w:val="0"/>
        <w:jc w:val="both"/>
        <w:rPr>
          <w:rFonts w:cs="Arial"/>
          <w:sz w:val="22"/>
          <w:szCs w:val="22"/>
        </w:rPr>
      </w:pPr>
    </w:p>
    <w:p w14:paraId="4D72FD78" w14:textId="77777777" w:rsidR="00662032" w:rsidRPr="00662032" w:rsidRDefault="00662032" w:rsidP="00662032">
      <w:pPr>
        <w:autoSpaceDE w:val="0"/>
        <w:autoSpaceDN w:val="0"/>
        <w:adjustRightInd w:val="0"/>
        <w:jc w:val="both"/>
        <w:rPr>
          <w:rFonts w:cs="Arial"/>
          <w:sz w:val="22"/>
          <w:szCs w:val="22"/>
        </w:rPr>
      </w:pPr>
      <w:r w:rsidRPr="00662032">
        <w:rPr>
          <w:rFonts w:cs="Arial"/>
          <w:b/>
          <w:bCs/>
          <w:i/>
          <w:iCs/>
          <w:sz w:val="22"/>
          <w:szCs w:val="22"/>
        </w:rPr>
        <w:t xml:space="preserve">Elektrischer Strom: </w:t>
      </w:r>
      <w:r w:rsidRPr="00662032">
        <w:rPr>
          <w:rFonts w:cs="Arial"/>
          <w:sz w:val="22"/>
          <w:szCs w:val="22"/>
        </w:rPr>
        <w:t xml:space="preserve">Für die Anwendung in Elektrofahrzeugen müssen </w:t>
      </w:r>
      <w:proofErr w:type="spellStart"/>
      <w:r w:rsidRPr="00662032">
        <w:rPr>
          <w:rFonts w:cs="Arial"/>
          <w:sz w:val="22"/>
          <w:szCs w:val="22"/>
        </w:rPr>
        <w:t>Akkumulatorsysteme</w:t>
      </w:r>
      <w:proofErr w:type="spellEnd"/>
      <w:r w:rsidRPr="00662032">
        <w:rPr>
          <w:rFonts w:cs="Arial"/>
          <w:sz w:val="22"/>
          <w:szCs w:val="22"/>
        </w:rPr>
        <w:t xml:space="preserve"> kurzzeitig hohe Ströme in der Größenordnung von mehreren Hundert Ampere liefern. Die Gefahr durch den elektrischen Strom besteht in der Bildung von nicht selbstverlöschenden Lichtbögen (z. B. bei Leitungsunterbrechung), in der Überlastung, bzw. in Kurzschlüssen (z. B. bei einem Schluss an den Polen des </w:t>
      </w:r>
      <w:proofErr w:type="gramStart"/>
      <w:r w:rsidRPr="00662032">
        <w:rPr>
          <w:rFonts w:cs="Arial"/>
          <w:sz w:val="22"/>
          <w:szCs w:val="22"/>
        </w:rPr>
        <w:t>Akkumulators</w:t>
      </w:r>
      <w:proofErr w:type="gramEnd"/>
      <w:r w:rsidRPr="00662032">
        <w:rPr>
          <w:rFonts w:cs="Arial"/>
          <w:sz w:val="22"/>
          <w:szCs w:val="22"/>
        </w:rPr>
        <w:t xml:space="preserve"> den keine Sicherung abschaltet).</w:t>
      </w:r>
    </w:p>
    <w:p w14:paraId="4F72D1FD" w14:textId="77777777" w:rsidR="00662032" w:rsidRPr="00662032" w:rsidRDefault="00662032" w:rsidP="00662032">
      <w:pPr>
        <w:autoSpaceDE w:val="0"/>
        <w:autoSpaceDN w:val="0"/>
        <w:adjustRightInd w:val="0"/>
        <w:jc w:val="both"/>
        <w:rPr>
          <w:rFonts w:cs="Arial"/>
          <w:sz w:val="22"/>
          <w:szCs w:val="22"/>
        </w:rPr>
      </w:pPr>
    </w:p>
    <w:p w14:paraId="02EEB83F" w14:textId="77777777" w:rsidR="00662032" w:rsidRPr="00662032" w:rsidRDefault="00662032" w:rsidP="00662032">
      <w:pPr>
        <w:jc w:val="both"/>
        <w:rPr>
          <w:rFonts w:cs="Arial"/>
          <w:sz w:val="22"/>
          <w:szCs w:val="22"/>
        </w:rPr>
      </w:pPr>
      <w:r w:rsidRPr="00662032">
        <w:rPr>
          <w:rFonts w:cs="Arial"/>
          <w:sz w:val="22"/>
          <w:szCs w:val="22"/>
        </w:rPr>
        <w:t>Allgemein sind Lithium-Akkumulatoren, bei ordnungsgemäßem Umgang, als sicher anzusehen. Dennoch können sich Gefahren durch mechanische Beschädigungen, elektrische Fehler sowie thermische Einwirkungen ergeben.</w:t>
      </w:r>
    </w:p>
    <w:p w14:paraId="56FC1AA1" w14:textId="77777777" w:rsidR="00662032" w:rsidRPr="00D056F6" w:rsidRDefault="00662032" w:rsidP="00662032">
      <w:pPr>
        <w:jc w:val="both"/>
        <w:rPr>
          <w:rFonts w:cs="Arial"/>
          <w:b/>
          <w:sz w:val="22"/>
          <w:szCs w:val="22"/>
          <w:u w:val="single"/>
        </w:rPr>
      </w:pPr>
      <w:r w:rsidRPr="00D056F6">
        <w:rPr>
          <w:rFonts w:cs="Arial"/>
          <w:b/>
          <w:sz w:val="22"/>
          <w:szCs w:val="22"/>
          <w:u w:val="single"/>
        </w:rPr>
        <w:lastRenderedPageBreak/>
        <w:t>Ursachen für Batteriebrände</w:t>
      </w:r>
    </w:p>
    <w:p w14:paraId="209674A6" w14:textId="77777777" w:rsidR="00662032" w:rsidRPr="00662032" w:rsidRDefault="00662032" w:rsidP="00662032">
      <w:pPr>
        <w:jc w:val="both"/>
        <w:rPr>
          <w:rFonts w:cs="Arial"/>
          <w:b/>
          <w:i/>
          <w:sz w:val="22"/>
          <w:szCs w:val="22"/>
        </w:rPr>
      </w:pPr>
    </w:p>
    <w:p w14:paraId="4705B5D5" w14:textId="7A9B0413" w:rsidR="00662032" w:rsidRPr="00662032" w:rsidRDefault="00662032" w:rsidP="00662032">
      <w:pPr>
        <w:autoSpaceDE w:val="0"/>
        <w:autoSpaceDN w:val="0"/>
        <w:adjustRightInd w:val="0"/>
        <w:jc w:val="both"/>
        <w:rPr>
          <w:rFonts w:cs="Arial"/>
          <w:sz w:val="22"/>
          <w:szCs w:val="22"/>
        </w:rPr>
      </w:pPr>
      <w:r w:rsidRPr="00662032">
        <w:rPr>
          <w:rFonts w:cs="Arial"/>
          <w:b/>
          <w:bCs/>
          <w:i/>
          <w:iCs/>
          <w:sz w:val="22"/>
          <w:szCs w:val="22"/>
        </w:rPr>
        <w:t xml:space="preserve">Fehlerhafte Handhabung: </w:t>
      </w:r>
      <w:r w:rsidRPr="00662032">
        <w:rPr>
          <w:rFonts w:cs="Arial"/>
          <w:sz w:val="22"/>
          <w:szCs w:val="22"/>
        </w:rPr>
        <w:t xml:space="preserve">Gefährliche Situationen resultieren insbesondere aus fehlerhafter Handhabung und unsachgemäßem Umgang. Als Folge von mechanischen Beschädigungen (z. B. durch Schlag, Sturz, Quetschen, etc.), elektrischen Fehlern (z. B. durch Kurzschluss, Tiefentladung, Überladung, </w:t>
      </w:r>
      <w:proofErr w:type="spellStart"/>
      <w:r w:rsidRPr="00662032">
        <w:rPr>
          <w:rFonts w:cs="Arial"/>
          <w:sz w:val="22"/>
          <w:szCs w:val="22"/>
        </w:rPr>
        <w:t>Verpolung</w:t>
      </w:r>
      <w:proofErr w:type="spellEnd"/>
      <w:r w:rsidRPr="00662032">
        <w:rPr>
          <w:rFonts w:cs="Arial"/>
          <w:sz w:val="22"/>
          <w:szCs w:val="22"/>
        </w:rPr>
        <w:t>, etc.)</w:t>
      </w:r>
      <w:r>
        <w:rPr>
          <w:rFonts w:cs="Arial"/>
          <w:sz w:val="22"/>
          <w:szCs w:val="22"/>
        </w:rPr>
        <w:t xml:space="preserve"> </w:t>
      </w:r>
      <w:r w:rsidRPr="00662032">
        <w:rPr>
          <w:rFonts w:cs="Arial"/>
          <w:sz w:val="22"/>
          <w:szCs w:val="22"/>
        </w:rPr>
        <w:t>oder thermischen Einwirkungen (z. B. durch innere Überhitzen, sekundäre Wärmestrahlung von außen, etc.), kann es zum Austreten von Elektrolyten, zu Überdruckreaktionen (Abblasen gasförmiger Reaktionsprodukte), zum Brand oder zu einer Explosion kommen. Bei einer Überladung eines Lithium-Akkus kann es beispielsweise zu einer Kathodenzersetzung unter Freisetzung von starken Oxidationsmitteln mit einer daraus resultierenden stark exothermen Reaktion von Elektrolyten kommen. Hierdurch kann innerhalb der Lithium-Zelle eine sich selbstverstärkende Reaktion verursacht werden, wobei beim sogenannten "Durchgehen des Akkus" heiße Gase entstehen, die zum Platzen der Zelle und zum Herausschleudern von gegebenenfalls brennenden Batteriekomponenten führen können.</w:t>
      </w:r>
    </w:p>
    <w:p w14:paraId="411D88B1" w14:textId="77777777" w:rsidR="00662032" w:rsidRPr="00662032" w:rsidRDefault="00662032" w:rsidP="00662032">
      <w:pPr>
        <w:jc w:val="both"/>
        <w:rPr>
          <w:rFonts w:cs="Arial"/>
          <w:sz w:val="22"/>
          <w:szCs w:val="22"/>
        </w:rPr>
      </w:pPr>
    </w:p>
    <w:p w14:paraId="2511BFC0" w14:textId="77777777" w:rsidR="00662032" w:rsidRPr="00662032" w:rsidRDefault="00662032" w:rsidP="00662032">
      <w:pPr>
        <w:autoSpaceDE w:val="0"/>
        <w:autoSpaceDN w:val="0"/>
        <w:adjustRightInd w:val="0"/>
        <w:jc w:val="both"/>
        <w:rPr>
          <w:rFonts w:cs="Arial"/>
          <w:sz w:val="22"/>
          <w:szCs w:val="22"/>
        </w:rPr>
      </w:pPr>
      <w:r w:rsidRPr="00662032">
        <w:rPr>
          <w:rFonts w:cs="Arial"/>
          <w:b/>
          <w:bCs/>
          <w:i/>
          <w:iCs/>
          <w:sz w:val="22"/>
          <w:szCs w:val="22"/>
        </w:rPr>
        <w:t xml:space="preserve">Mechanische Beschädigung: </w:t>
      </w:r>
      <w:r w:rsidRPr="00662032">
        <w:rPr>
          <w:rFonts w:cs="Arial"/>
          <w:sz w:val="22"/>
          <w:szCs w:val="22"/>
        </w:rPr>
        <w:t>Bei mechanischen Beschädigungen von Akkumulatoren besteht die Gefahr, dass es zu inneren Kurzschlüssen und damit zu einem Brand kommt. Eine Beschädigung des Gehäuses kann durch Fertigungsfehler (z. B. unsachgemäßer Zusammenbau einzelner Komponenten), durch mechanische Belastung (z. B. Schlag, Sturz, Quetschen, etc.) oder durch Überdruck in der Zelle verursacht werden.</w:t>
      </w:r>
    </w:p>
    <w:p w14:paraId="34F5ED3C" w14:textId="77777777" w:rsidR="00662032" w:rsidRPr="00662032" w:rsidRDefault="00662032" w:rsidP="00662032">
      <w:pPr>
        <w:jc w:val="both"/>
        <w:rPr>
          <w:rFonts w:cs="Arial"/>
          <w:sz w:val="22"/>
          <w:szCs w:val="22"/>
        </w:rPr>
      </w:pPr>
    </w:p>
    <w:p w14:paraId="599AF162" w14:textId="77777777" w:rsidR="00662032" w:rsidRPr="00662032" w:rsidRDefault="00662032" w:rsidP="00662032">
      <w:pPr>
        <w:autoSpaceDE w:val="0"/>
        <w:autoSpaceDN w:val="0"/>
        <w:adjustRightInd w:val="0"/>
        <w:jc w:val="both"/>
        <w:rPr>
          <w:rFonts w:cs="Arial"/>
          <w:sz w:val="22"/>
          <w:szCs w:val="22"/>
        </w:rPr>
      </w:pPr>
      <w:r w:rsidRPr="00662032">
        <w:rPr>
          <w:rFonts w:cs="Arial"/>
          <w:b/>
          <w:bCs/>
          <w:i/>
          <w:iCs/>
          <w:sz w:val="22"/>
          <w:szCs w:val="22"/>
        </w:rPr>
        <w:t xml:space="preserve">Sekundäre thermische Belastung: </w:t>
      </w:r>
      <w:r w:rsidRPr="00662032">
        <w:rPr>
          <w:rFonts w:cs="Arial"/>
          <w:sz w:val="22"/>
          <w:szCs w:val="22"/>
        </w:rPr>
        <w:t>Bei thermischer Belastung von außen (z. B. durch Wärmestrahlung im Brandfall) kann es bei Lithium-Akkumulatoren zum Schmelzen einzelner Komponenten (z. B. Separatoren (Trennschicht zwischen Anode und Kathode siehe Abbildung 1)) und damit zu einem inneren Kurzschluss kommen, was leicht zu einem Brand führen kann.</w:t>
      </w:r>
    </w:p>
    <w:p w14:paraId="282B2D98" w14:textId="77777777" w:rsidR="00662032" w:rsidRPr="00662032" w:rsidRDefault="00662032" w:rsidP="00662032">
      <w:pPr>
        <w:jc w:val="both"/>
        <w:rPr>
          <w:rFonts w:cs="Arial"/>
          <w:sz w:val="22"/>
          <w:szCs w:val="22"/>
        </w:rPr>
      </w:pPr>
    </w:p>
    <w:p w14:paraId="1B80F6C3" w14:textId="77777777" w:rsidR="00662032" w:rsidRPr="00662032" w:rsidRDefault="00662032" w:rsidP="00662032">
      <w:pPr>
        <w:autoSpaceDE w:val="0"/>
        <w:autoSpaceDN w:val="0"/>
        <w:adjustRightInd w:val="0"/>
        <w:jc w:val="both"/>
        <w:rPr>
          <w:rFonts w:cs="Arial"/>
          <w:sz w:val="22"/>
          <w:szCs w:val="22"/>
        </w:rPr>
      </w:pPr>
      <w:r w:rsidRPr="00662032">
        <w:rPr>
          <w:rFonts w:cs="Arial"/>
          <w:b/>
          <w:bCs/>
          <w:i/>
          <w:iCs/>
          <w:sz w:val="22"/>
          <w:szCs w:val="22"/>
        </w:rPr>
        <w:t xml:space="preserve">Äußerer Kurzschluss: </w:t>
      </w:r>
      <w:r w:rsidRPr="00662032">
        <w:rPr>
          <w:rFonts w:cs="Arial"/>
          <w:sz w:val="22"/>
          <w:szCs w:val="22"/>
        </w:rPr>
        <w:t>Hierzu kann es kommen, wenn es (z. B. durch einen metallischen Gegenstand) zu einer Überbrückung der Anschlusspole und somit zu einem sehr geringen Widerstand im äußeren Stromkreis kommt.</w:t>
      </w:r>
    </w:p>
    <w:p w14:paraId="3D8768D0" w14:textId="77777777" w:rsidR="00662032" w:rsidRPr="00662032" w:rsidRDefault="00662032" w:rsidP="00662032">
      <w:pPr>
        <w:jc w:val="both"/>
        <w:rPr>
          <w:rFonts w:cs="Arial"/>
          <w:sz w:val="22"/>
          <w:szCs w:val="22"/>
        </w:rPr>
      </w:pPr>
    </w:p>
    <w:p w14:paraId="0ECCC277" w14:textId="77777777" w:rsidR="00662032" w:rsidRPr="00662032" w:rsidRDefault="00662032" w:rsidP="00662032">
      <w:pPr>
        <w:autoSpaceDE w:val="0"/>
        <w:autoSpaceDN w:val="0"/>
        <w:adjustRightInd w:val="0"/>
        <w:jc w:val="both"/>
        <w:rPr>
          <w:rFonts w:cs="Arial"/>
          <w:sz w:val="22"/>
          <w:szCs w:val="22"/>
        </w:rPr>
      </w:pPr>
      <w:r w:rsidRPr="00662032">
        <w:rPr>
          <w:rFonts w:cs="Arial"/>
          <w:b/>
          <w:bCs/>
          <w:i/>
          <w:iCs/>
          <w:sz w:val="22"/>
          <w:szCs w:val="22"/>
        </w:rPr>
        <w:t xml:space="preserve">Innerer Kurzschluss durch Zellfehler oder Crash: </w:t>
      </w:r>
      <w:r w:rsidRPr="00662032">
        <w:rPr>
          <w:rFonts w:cs="Arial"/>
          <w:sz w:val="22"/>
          <w:szCs w:val="22"/>
        </w:rPr>
        <w:t xml:space="preserve">Eine der Hauptursachen für interne Kurzschlüsse sind Fertigungsfehler bei der Herstellung von Lithium-Zellen. Wenn beispielsweise während des Herstellungsprozesses metallische Partikel oder sonstige leitfähige Verunreinigungen zwischen Separator und Batterieelektrode eingeschlossen werden, kann es im späteren Betrieb zu einer lokalen Beschädigung der </w:t>
      </w:r>
      <w:proofErr w:type="spellStart"/>
      <w:r w:rsidRPr="00662032">
        <w:rPr>
          <w:rFonts w:cs="Arial"/>
          <w:sz w:val="22"/>
          <w:szCs w:val="22"/>
        </w:rPr>
        <w:t>Separatorfolie</w:t>
      </w:r>
      <w:proofErr w:type="spellEnd"/>
      <w:r w:rsidRPr="00662032">
        <w:rPr>
          <w:rFonts w:cs="Arial"/>
          <w:sz w:val="22"/>
          <w:szCs w:val="22"/>
        </w:rPr>
        <w:t xml:space="preserve"> und damit zu einem internen Kurzschluss kommen.</w:t>
      </w:r>
    </w:p>
    <w:p w14:paraId="7ACFC0B2" w14:textId="77777777" w:rsidR="00662032" w:rsidRDefault="00662032" w:rsidP="00662032">
      <w:pPr>
        <w:autoSpaceDE w:val="0"/>
        <w:autoSpaceDN w:val="0"/>
        <w:adjustRightInd w:val="0"/>
        <w:jc w:val="both"/>
        <w:rPr>
          <w:rFonts w:cs="Arial"/>
          <w:sz w:val="22"/>
          <w:szCs w:val="22"/>
        </w:rPr>
      </w:pPr>
    </w:p>
    <w:p w14:paraId="06F779B6" w14:textId="27F84730" w:rsidR="00662032" w:rsidRPr="00662032" w:rsidRDefault="00662032" w:rsidP="00662032">
      <w:pPr>
        <w:autoSpaceDE w:val="0"/>
        <w:autoSpaceDN w:val="0"/>
        <w:adjustRightInd w:val="0"/>
        <w:jc w:val="both"/>
        <w:rPr>
          <w:rFonts w:cs="Arial"/>
          <w:sz w:val="22"/>
          <w:szCs w:val="22"/>
        </w:rPr>
      </w:pPr>
      <w:r w:rsidRPr="00662032">
        <w:rPr>
          <w:rFonts w:cs="Arial"/>
          <w:b/>
          <w:bCs/>
          <w:i/>
          <w:iCs/>
          <w:sz w:val="22"/>
          <w:szCs w:val="22"/>
        </w:rPr>
        <w:t xml:space="preserve">Überladung: </w:t>
      </w:r>
      <w:r w:rsidRPr="00662032">
        <w:rPr>
          <w:rFonts w:cs="Arial"/>
          <w:sz w:val="22"/>
          <w:szCs w:val="22"/>
        </w:rPr>
        <w:t>Eine Zelle oder Batterie wird mit höherem Strom geladen als vom Hersteller spezifiziert. Hierbei kann es zu einer Verdampfung der organischen Elektrolytflüssigkeit und auch zur Schädigung der kristallinen Schichtstruktur kommen, was in Verbindung mit einer stark exothermen Reaktion zum Freisetzen von elementarem Sauerstoff führt. Bei diesem Vorgang kann es aufgrund einer starken lokalen Temperaturerhöhung zu einem Brand und unter bestimmten Umständen auch zu einer explosionsartigen Entlastungsreaktion kommen.</w:t>
      </w:r>
    </w:p>
    <w:p w14:paraId="5F04F902" w14:textId="77777777" w:rsidR="00662032" w:rsidRPr="00662032" w:rsidRDefault="00662032" w:rsidP="00662032">
      <w:pPr>
        <w:jc w:val="both"/>
        <w:rPr>
          <w:rFonts w:cs="Arial"/>
          <w:sz w:val="22"/>
          <w:szCs w:val="22"/>
        </w:rPr>
      </w:pPr>
    </w:p>
    <w:p w14:paraId="5CD19CEA" w14:textId="77777777" w:rsidR="00662032" w:rsidRPr="00662032" w:rsidRDefault="00662032" w:rsidP="00662032">
      <w:pPr>
        <w:autoSpaceDE w:val="0"/>
        <w:autoSpaceDN w:val="0"/>
        <w:adjustRightInd w:val="0"/>
        <w:jc w:val="both"/>
        <w:rPr>
          <w:rFonts w:cs="Arial"/>
          <w:sz w:val="22"/>
          <w:szCs w:val="22"/>
        </w:rPr>
      </w:pPr>
      <w:r w:rsidRPr="00662032">
        <w:rPr>
          <w:rFonts w:cs="Arial"/>
          <w:b/>
          <w:bCs/>
          <w:i/>
          <w:iCs/>
          <w:sz w:val="22"/>
          <w:szCs w:val="22"/>
        </w:rPr>
        <w:t xml:space="preserve">Tiefentladung der Zelle: </w:t>
      </w:r>
      <w:r w:rsidRPr="00662032">
        <w:rPr>
          <w:rFonts w:cs="Arial"/>
          <w:sz w:val="22"/>
          <w:szCs w:val="22"/>
        </w:rPr>
        <w:t>Bei Tiefentladung wird die Entladeschlussspannung unterschritten, wobei sich irreversibel die Elektrolytflüssigkeit zersetzt. Wird solch eine tiefentladene Lithium-Ionen-Zelle geladen, kann die zugeführte Energiemenge durch das Fehlen von Elektrolytflüssigkeit nicht mehr in chemische Energie gespeichert werden und die Ladeenergie wird in Wärme umgesetzt.</w:t>
      </w:r>
    </w:p>
    <w:p w14:paraId="707D9904" w14:textId="77777777" w:rsidR="00662032" w:rsidRPr="00662032" w:rsidRDefault="00662032" w:rsidP="00662032">
      <w:pPr>
        <w:autoSpaceDE w:val="0"/>
        <w:autoSpaceDN w:val="0"/>
        <w:adjustRightInd w:val="0"/>
        <w:jc w:val="both"/>
        <w:rPr>
          <w:rFonts w:cs="Arial"/>
          <w:sz w:val="22"/>
          <w:szCs w:val="22"/>
        </w:rPr>
      </w:pPr>
    </w:p>
    <w:p w14:paraId="1D6430C2" w14:textId="0F2058B7" w:rsidR="00662032" w:rsidRPr="00662032" w:rsidRDefault="00662032" w:rsidP="00662032">
      <w:pPr>
        <w:autoSpaceDE w:val="0"/>
        <w:autoSpaceDN w:val="0"/>
        <w:adjustRightInd w:val="0"/>
        <w:jc w:val="both"/>
        <w:rPr>
          <w:rFonts w:cs="Arial"/>
          <w:sz w:val="22"/>
          <w:szCs w:val="22"/>
        </w:rPr>
      </w:pPr>
      <w:r w:rsidRPr="00662032">
        <w:rPr>
          <w:rFonts w:cs="Arial"/>
          <w:b/>
          <w:bCs/>
          <w:i/>
          <w:iCs/>
          <w:sz w:val="22"/>
          <w:szCs w:val="22"/>
        </w:rPr>
        <w:lastRenderedPageBreak/>
        <w:t xml:space="preserve">Gefälschte Lithium-Ionen-Batterien und Ladegeräte: </w:t>
      </w:r>
      <w:r w:rsidRPr="00662032">
        <w:rPr>
          <w:rFonts w:cs="Arial"/>
          <w:sz w:val="22"/>
          <w:szCs w:val="22"/>
        </w:rPr>
        <w:t>Einige Unternehmen (insbesondere aus dem Segment Unterhaltungselektronik) führen auf ihren Internet-Seiten Warnhinweise zu gefälschten Lithium-Ionen-Akkumulatoren und Ladegeräten auf. Hierbei wird ausdrücklich darauf hingewiesen, dass die Produkte nicht mit den entsprechen Sicherheitselementen ausgerüstet sind und es beim Gebrauch bzw. Laden zu verschiedenen Problemen kommen kann: Ungewöhnlich starkes Erhitzen, Bersten und Auslaufen der Batterieflüssigkeit, Explosion oder Feuer, Verletzungen des Benutzers, z. B. Verbrennungen oder Erblinden. Außerdem wird darauf hingewiesen, dass für Fehlfunktionen oder Unfälle keine Haftung übernommen wird, die durch den Gebrauch von nicht originalen Lithium-Ionen-Akkus und Akku-Ladegeräten (einschließlich gefälschter Produkte) entstehen.</w:t>
      </w:r>
    </w:p>
    <w:p w14:paraId="56546855" w14:textId="77777777" w:rsidR="00662032" w:rsidRDefault="00662032" w:rsidP="00662032">
      <w:pPr>
        <w:jc w:val="both"/>
        <w:rPr>
          <w:rFonts w:cs="Arial"/>
          <w:b/>
          <w:color w:val="FF0000"/>
          <w:sz w:val="22"/>
          <w:szCs w:val="22"/>
        </w:rPr>
      </w:pPr>
    </w:p>
    <w:p w14:paraId="4C775DE2" w14:textId="3DB00205" w:rsidR="00662032" w:rsidRPr="00662032" w:rsidRDefault="00D056F6" w:rsidP="00662032">
      <w:pPr>
        <w:jc w:val="both"/>
        <w:rPr>
          <w:rFonts w:cs="Arial"/>
          <w:b/>
          <w:sz w:val="22"/>
          <w:szCs w:val="22"/>
          <w:u w:val="single"/>
        </w:rPr>
      </w:pPr>
      <w:r>
        <w:rPr>
          <w:rFonts w:cs="Arial"/>
          <w:b/>
          <w:sz w:val="22"/>
          <w:szCs w:val="22"/>
          <w:u w:val="single"/>
        </w:rPr>
        <w:t>Schutzmaßnahmen</w:t>
      </w:r>
    </w:p>
    <w:p w14:paraId="1A598357" w14:textId="77777777" w:rsidR="00662032" w:rsidRPr="00662032" w:rsidRDefault="00662032" w:rsidP="00662032">
      <w:pPr>
        <w:jc w:val="both"/>
        <w:rPr>
          <w:rFonts w:cs="Arial"/>
          <w:sz w:val="22"/>
          <w:szCs w:val="22"/>
        </w:rPr>
      </w:pPr>
    </w:p>
    <w:p w14:paraId="77106B15" w14:textId="77777777" w:rsidR="00662032" w:rsidRPr="00662032" w:rsidRDefault="00662032" w:rsidP="00662032">
      <w:pPr>
        <w:numPr>
          <w:ilvl w:val="0"/>
          <w:numId w:val="17"/>
        </w:numPr>
        <w:jc w:val="both"/>
        <w:rPr>
          <w:rFonts w:cs="Arial"/>
          <w:b/>
          <w:i/>
          <w:sz w:val="22"/>
          <w:szCs w:val="22"/>
        </w:rPr>
      </w:pPr>
      <w:r w:rsidRPr="00662032">
        <w:rPr>
          <w:rFonts w:cs="Arial"/>
          <w:b/>
          <w:i/>
          <w:sz w:val="22"/>
          <w:szCs w:val="22"/>
        </w:rPr>
        <w:t>Gefährdung beurteilen</w:t>
      </w:r>
    </w:p>
    <w:p w14:paraId="4BE8F399" w14:textId="77777777" w:rsidR="00662032" w:rsidRPr="00662032" w:rsidRDefault="00662032" w:rsidP="00662032">
      <w:pPr>
        <w:jc w:val="both"/>
        <w:rPr>
          <w:rFonts w:cs="Arial"/>
          <w:b/>
          <w:i/>
          <w:sz w:val="22"/>
          <w:szCs w:val="22"/>
        </w:rPr>
      </w:pPr>
    </w:p>
    <w:p w14:paraId="666DC4ED" w14:textId="7340D829" w:rsidR="00662032" w:rsidRPr="00662032" w:rsidRDefault="00662032" w:rsidP="00662032">
      <w:pPr>
        <w:autoSpaceDE w:val="0"/>
        <w:autoSpaceDN w:val="0"/>
        <w:adjustRightInd w:val="0"/>
        <w:jc w:val="both"/>
        <w:rPr>
          <w:rFonts w:cs="Arial"/>
          <w:sz w:val="22"/>
          <w:szCs w:val="22"/>
        </w:rPr>
      </w:pPr>
      <w:r w:rsidRPr="00662032">
        <w:rPr>
          <w:rFonts w:cs="Arial"/>
          <w:sz w:val="22"/>
          <w:szCs w:val="22"/>
        </w:rPr>
        <w:t>Vor Beginn der Arbeiten muss der Unternehmer die spezifischen Gefährdungen beim Arbeiten an den Lithium-Batteriespeichersystemen vor Ort beurteilen.</w:t>
      </w:r>
      <w:r>
        <w:rPr>
          <w:rFonts w:cs="Arial"/>
          <w:sz w:val="22"/>
          <w:szCs w:val="22"/>
        </w:rPr>
        <w:t xml:space="preserve"> </w:t>
      </w:r>
      <w:r w:rsidRPr="00662032">
        <w:rPr>
          <w:rFonts w:cs="Arial"/>
          <w:sz w:val="22"/>
          <w:szCs w:val="22"/>
        </w:rPr>
        <w:t>Unfallgefahren und Gesundheitsrisiken sind zu ermitteln und geeignete Maßnahmen zum Schutz seiner Mitarbeiter sind zu treffen und umzusetzen. In diesem Zusammenhang ist es sinnvoll zu prüfen, ob für bereits installierte Speichersysteme Dokumentationen, beispielsweise in einem PV-Speicherpass, vorliegen und das System bereits nach</w:t>
      </w:r>
      <w:r>
        <w:rPr>
          <w:rFonts w:cs="Arial"/>
          <w:sz w:val="22"/>
          <w:szCs w:val="22"/>
        </w:rPr>
        <w:t xml:space="preserve"> </w:t>
      </w:r>
      <w:r w:rsidRPr="00662032">
        <w:rPr>
          <w:rFonts w:cs="Arial"/>
          <w:sz w:val="22"/>
          <w:szCs w:val="22"/>
        </w:rPr>
        <w:t>VDE-AR-E 2510-50 errichtet wurde, mit Informationen u. a. zu:</w:t>
      </w:r>
      <w:r>
        <w:rPr>
          <w:rFonts w:cs="Arial"/>
          <w:sz w:val="22"/>
          <w:szCs w:val="22"/>
        </w:rPr>
        <w:t xml:space="preserve"> </w:t>
      </w:r>
      <w:r w:rsidRPr="00662032">
        <w:rPr>
          <w:rFonts w:cs="Arial"/>
          <w:sz w:val="22"/>
          <w:szCs w:val="22"/>
        </w:rPr>
        <w:t>Art der Batterieanlage, Zellenanzahl, Netzanbindung sowie Möglichkeiten des Freischaltens der Anlage oder von Anlagenteilen.</w:t>
      </w:r>
    </w:p>
    <w:p w14:paraId="1C289516" w14:textId="77777777" w:rsidR="00662032" w:rsidRPr="00662032" w:rsidRDefault="00662032" w:rsidP="00662032">
      <w:pPr>
        <w:jc w:val="both"/>
        <w:rPr>
          <w:rFonts w:cs="Arial"/>
          <w:sz w:val="22"/>
          <w:szCs w:val="22"/>
        </w:rPr>
      </w:pPr>
    </w:p>
    <w:p w14:paraId="5BEC306D" w14:textId="77777777" w:rsidR="00662032" w:rsidRPr="00662032" w:rsidRDefault="00662032" w:rsidP="00662032">
      <w:pPr>
        <w:numPr>
          <w:ilvl w:val="0"/>
          <w:numId w:val="17"/>
        </w:numPr>
        <w:jc w:val="both"/>
        <w:rPr>
          <w:rFonts w:cs="Arial"/>
          <w:b/>
          <w:i/>
          <w:sz w:val="22"/>
          <w:szCs w:val="22"/>
        </w:rPr>
      </w:pPr>
      <w:r w:rsidRPr="00662032">
        <w:rPr>
          <w:rFonts w:cs="Arial"/>
          <w:b/>
          <w:i/>
          <w:sz w:val="22"/>
          <w:szCs w:val="22"/>
        </w:rPr>
        <w:t>Technische Maßnahmen zur Gefahrenreduzierung</w:t>
      </w:r>
      <w:r w:rsidRPr="00662032">
        <w:rPr>
          <w:rStyle w:val="Funotenzeichen"/>
          <w:rFonts w:cs="Arial"/>
          <w:b/>
          <w:i/>
          <w:sz w:val="22"/>
          <w:szCs w:val="22"/>
        </w:rPr>
        <w:footnoteReference w:id="1"/>
      </w:r>
    </w:p>
    <w:p w14:paraId="0F0AB1B9" w14:textId="77777777" w:rsidR="00662032" w:rsidRPr="00662032" w:rsidRDefault="00662032" w:rsidP="00662032">
      <w:pPr>
        <w:jc w:val="both"/>
        <w:rPr>
          <w:rFonts w:cs="Arial"/>
          <w:sz w:val="22"/>
          <w:szCs w:val="22"/>
        </w:rPr>
      </w:pPr>
    </w:p>
    <w:p w14:paraId="0715BEC7" w14:textId="68449043" w:rsidR="00662032" w:rsidRPr="00662032" w:rsidRDefault="00662032" w:rsidP="00662032">
      <w:pPr>
        <w:jc w:val="both"/>
        <w:rPr>
          <w:rFonts w:cs="Arial"/>
          <w:sz w:val="22"/>
          <w:szCs w:val="22"/>
        </w:rPr>
      </w:pPr>
      <w:r w:rsidRPr="00662032">
        <w:rPr>
          <w:rFonts w:cs="Arial"/>
          <w:sz w:val="22"/>
          <w:szCs w:val="22"/>
        </w:rPr>
        <w:t xml:space="preserve">Technische Maßnahmen zur Gefahrenreduzierung können sich sowohl auf den </w:t>
      </w:r>
      <w:proofErr w:type="gramStart"/>
      <w:r w:rsidRPr="00662032">
        <w:rPr>
          <w:rFonts w:cs="Arial"/>
          <w:sz w:val="22"/>
          <w:szCs w:val="22"/>
        </w:rPr>
        <w:t>Akku,</w:t>
      </w:r>
      <w:proofErr w:type="gramEnd"/>
      <w:r w:rsidRPr="00662032">
        <w:rPr>
          <w:rFonts w:cs="Arial"/>
          <w:sz w:val="22"/>
          <w:szCs w:val="22"/>
        </w:rPr>
        <w:t xml:space="preserve"> als auch auf die Einrichtung und Einsatzort beziehen.</w:t>
      </w:r>
    </w:p>
    <w:p w14:paraId="3BFE4A43" w14:textId="4B7A958F" w:rsidR="00662032" w:rsidRPr="00662032" w:rsidRDefault="00662032" w:rsidP="00662032">
      <w:pPr>
        <w:pStyle w:val="Listenabsatz"/>
        <w:numPr>
          <w:ilvl w:val="0"/>
          <w:numId w:val="21"/>
        </w:numPr>
        <w:spacing w:after="200" w:line="276" w:lineRule="auto"/>
        <w:jc w:val="both"/>
        <w:rPr>
          <w:rFonts w:cs="Arial"/>
          <w:sz w:val="22"/>
          <w:szCs w:val="22"/>
        </w:rPr>
      </w:pPr>
      <w:r w:rsidRPr="00662032">
        <w:rPr>
          <w:rFonts w:cs="Arial"/>
          <w:sz w:val="22"/>
          <w:szCs w:val="22"/>
        </w:rPr>
        <w:t>Einhaltung der Herstellervorgaben (technische Produktdatenblätter).</w:t>
      </w:r>
    </w:p>
    <w:p w14:paraId="2573CF2C" w14:textId="77777777" w:rsidR="00662032" w:rsidRPr="00662032" w:rsidRDefault="00662032" w:rsidP="00662032">
      <w:pPr>
        <w:pStyle w:val="Listenabsatz"/>
        <w:numPr>
          <w:ilvl w:val="0"/>
          <w:numId w:val="21"/>
        </w:numPr>
        <w:spacing w:after="200" w:line="276" w:lineRule="auto"/>
        <w:jc w:val="both"/>
        <w:rPr>
          <w:rFonts w:cs="Arial"/>
          <w:sz w:val="22"/>
          <w:szCs w:val="22"/>
        </w:rPr>
      </w:pPr>
      <w:r w:rsidRPr="00662032">
        <w:rPr>
          <w:rFonts w:cs="Arial"/>
          <w:sz w:val="22"/>
          <w:szCs w:val="22"/>
        </w:rPr>
        <w:t>Schutz vor Kurzschluss der Batteriepole.</w:t>
      </w:r>
    </w:p>
    <w:p w14:paraId="66DF94DD" w14:textId="77777777" w:rsidR="00662032" w:rsidRPr="00662032" w:rsidRDefault="00662032" w:rsidP="00662032">
      <w:pPr>
        <w:pStyle w:val="Listenabsatz"/>
        <w:numPr>
          <w:ilvl w:val="0"/>
          <w:numId w:val="21"/>
        </w:numPr>
        <w:spacing w:after="200" w:line="276" w:lineRule="auto"/>
        <w:jc w:val="both"/>
        <w:rPr>
          <w:rFonts w:cs="Arial"/>
          <w:sz w:val="22"/>
          <w:szCs w:val="22"/>
        </w:rPr>
      </w:pPr>
      <w:r w:rsidRPr="00662032">
        <w:rPr>
          <w:rFonts w:cs="Arial"/>
          <w:sz w:val="22"/>
          <w:szCs w:val="22"/>
        </w:rPr>
        <w:t>Nicht unmittelbar und dauerhaft hohen Temperaturen oder Wärmequellen aussetzen (dazu gehört auch direkte Sonneneinstrahlung).</w:t>
      </w:r>
    </w:p>
    <w:p w14:paraId="2A5EBFDF" w14:textId="77777777" w:rsidR="00662032" w:rsidRPr="00662032" w:rsidRDefault="00662032" w:rsidP="00662032">
      <w:pPr>
        <w:pStyle w:val="Listenabsatz"/>
        <w:numPr>
          <w:ilvl w:val="0"/>
          <w:numId w:val="21"/>
        </w:numPr>
        <w:spacing w:after="200" w:line="276" w:lineRule="auto"/>
        <w:jc w:val="both"/>
        <w:rPr>
          <w:rFonts w:cs="Arial"/>
          <w:sz w:val="22"/>
          <w:szCs w:val="22"/>
        </w:rPr>
      </w:pPr>
      <w:r w:rsidRPr="00662032">
        <w:rPr>
          <w:rFonts w:cs="Arial"/>
          <w:sz w:val="22"/>
          <w:szCs w:val="22"/>
        </w:rPr>
        <w:t>Einhaltung einer baulichen oder räumlichen Trennung (mind. 2,5 m) zu anderen brennbaren Materialen, falls keine automatische Löschanlage vorhanden ist.</w:t>
      </w:r>
    </w:p>
    <w:p w14:paraId="0FF3A2D5" w14:textId="38C86C03" w:rsidR="00662032" w:rsidRPr="00662032" w:rsidRDefault="00662032" w:rsidP="00662032">
      <w:pPr>
        <w:pStyle w:val="Listenabsatz"/>
        <w:numPr>
          <w:ilvl w:val="0"/>
          <w:numId w:val="21"/>
        </w:numPr>
        <w:spacing w:after="200" w:line="276" w:lineRule="auto"/>
        <w:jc w:val="both"/>
        <w:rPr>
          <w:rFonts w:cs="Arial"/>
          <w:sz w:val="22"/>
          <w:szCs w:val="22"/>
        </w:rPr>
      </w:pPr>
      <w:r w:rsidRPr="00662032">
        <w:rPr>
          <w:rFonts w:cs="Arial"/>
          <w:sz w:val="22"/>
          <w:szCs w:val="22"/>
        </w:rPr>
        <w:t>Sofortiges Entfernen beschädigter oder defekter Batterien aus Lager- und Produktionsbereichen (Zwischenlagerung bis zur Entsorgung in sicherem Abstand oder einem brandschutztechnisch abgetrennten Bereich).</w:t>
      </w:r>
    </w:p>
    <w:p w14:paraId="10BA9089" w14:textId="77777777" w:rsidR="00662032" w:rsidRPr="00662032" w:rsidRDefault="00662032" w:rsidP="00662032">
      <w:pPr>
        <w:pStyle w:val="Listenabsatz"/>
        <w:numPr>
          <w:ilvl w:val="0"/>
          <w:numId w:val="21"/>
        </w:numPr>
        <w:spacing w:after="200" w:line="276" w:lineRule="auto"/>
        <w:jc w:val="both"/>
        <w:rPr>
          <w:rFonts w:cs="Arial"/>
          <w:sz w:val="22"/>
          <w:szCs w:val="22"/>
        </w:rPr>
      </w:pPr>
      <w:r w:rsidRPr="00662032">
        <w:rPr>
          <w:rFonts w:cs="Arial"/>
          <w:sz w:val="22"/>
          <w:szCs w:val="22"/>
        </w:rPr>
        <w:t>Ausschließlich Lagerung von Batterien mit Prüfungsnachweis nach UN 38.3 (Prototypen nur in Ausnahmefällen und mit Gefährdungsbeurteilung).</w:t>
      </w:r>
    </w:p>
    <w:p w14:paraId="34C6D546" w14:textId="77777777" w:rsidR="00662032" w:rsidRPr="00662032" w:rsidRDefault="00662032" w:rsidP="00662032">
      <w:pPr>
        <w:pStyle w:val="Listenabsatz"/>
        <w:numPr>
          <w:ilvl w:val="0"/>
          <w:numId w:val="21"/>
        </w:numPr>
        <w:spacing w:after="200" w:line="276" w:lineRule="auto"/>
        <w:jc w:val="both"/>
        <w:rPr>
          <w:rFonts w:cs="Arial"/>
          <w:sz w:val="22"/>
          <w:szCs w:val="22"/>
        </w:rPr>
      </w:pPr>
      <w:r w:rsidRPr="00662032">
        <w:rPr>
          <w:rFonts w:cs="Arial"/>
          <w:sz w:val="22"/>
          <w:szCs w:val="22"/>
        </w:rPr>
        <w:t>Vermeidung von Mischlagerung mit anderen brandbeschleunigenden Produkten.</w:t>
      </w:r>
    </w:p>
    <w:p w14:paraId="4AF0AFF4" w14:textId="77777777" w:rsidR="00662032" w:rsidRPr="00662032" w:rsidRDefault="00662032" w:rsidP="00662032">
      <w:pPr>
        <w:pStyle w:val="Listenabsatz"/>
        <w:numPr>
          <w:ilvl w:val="0"/>
          <w:numId w:val="21"/>
        </w:numPr>
        <w:spacing w:after="200" w:line="276" w:lineRule="auto"/>
        <w:jc w:val="both"/>
        <w:rPr>
          <w:rFonts w:cs="Arial"/>
          <w:sz w:val="22"/>
          <w:szCs w:val="22"/>
        </w:rPr>
      </w:pPr>
      <w:r w:rsidRPr="00662032">
        <w:rPr>
          <w:rFonts w:cs="Arial"/>
          <w:sz w:val="22"/>
          <w:szCs w:val="22"/>
        </w:rPr>
        <w:t>Überwachung des Lagerbereiches durch eine geeignete Brandmeldeanlage mit Aufschaltung auf eine ständig besetzte Stelle.</w:t>
      </w:r>
    </w:p>
    <w:p w14:paraId="65183644" w14:textId="244A46C5" w:rsidR="00662032" w:rsidRDefault="00662032" w:rsidP="00662032">
      <w:pPr>
        <w:pStyle w:val="Listenabsatz"/>
        <w:numPr>
          <w:ilvl w:val="0"/>
          <w:numId w:val="21"/>
        </w:numPr>
        <w:spacing w:after="200" w:line="276" w:lineRule="auto"/>
        <w:jc w:val="both"/>
        <w:rPr>
          <w:rFonts w:cs="Arial"/>
          <w:sz w:val="22"/>
          <w:szCs w:val="22"/>
        </w:rPr>
      </w:pPr>
      <w:r w:rsidRPr="00662032">
        <w:rPr>
          <w:rFonts w:cs="Arial"/>
          <w:sz w:val="22"/>
          <w:szCs w:val="22"/>
        </w:rPr>
        <w:t>Bei Vorhandensein von Feuerlöschanlagen: Berücksichtigung der Angaben zu geeigneten Löschmitteln in den technischen Produktdatenblättern.</w:t>
      </w:r>
    </w:p>
    <w:p w14:paraId="31D3DE1E" w14:textId="77777777" w:rsidR="00D056F6" w:rsidRDefault="00D056F6" w:rsidP="00D056F6">
      <w:pPr>
        <w:ind w:left="360"/>
        <w:jc w:val="both"/>
        <w:rPr>
          <w:rFonts w:cs="Arial"/>
          <w:b/>
          <w:i/>
          <w:sz w:val="22"/>
          <w:szCs w:val="22"/>
        </w:rPr>
      </w:pPr>
    </w:p>
    <w:p w14:paraId="6CE6C5E9" w14:textId="355C5273" w:rsidR="00662032" w:rsidRPr="00D056F6" w:rsidRDefault="00662032" w:rsidP="00D056F6">
      <w:pPr>
        <w:numPr>
          <w:ilvl w:val="0"/>
          <w:numId w:val="17"/>
        </w:numPr>
        <w:jc w:val="both"/>
        <w:rPr>
          <w:rFonts w:cs="Arial"/>
          <w:b/>
          <w:i/>
          <w:sz w:val="22"/>
          <w:szCs w:val="22"/>
        </w:rPr>
      </w:pPr>
      <w:r w:rsidRPr="00D056F6">
        <w:rPr>
          <w:rFonts w:cs="Arial"/>
          <w:b/>
          <w:i/>
          <w:sz w:val="22"/>
          <w:szCs w:val="22"/>
        </w:rPr>
        <w:lastRenderedPageBreak/>
        <w:t>Organisatorische Maßnahmen zur Gefahrenreduzierung</w:t>
      </w:r>
    </w:p>
    <w:p w14:paraId="6C437B78" w14:textId="77777777" w:rsidR="00662032" w:rsidRPr="00662032" w:rsidRDefault="00662032" w:rsidP="00662032">
      <w:pPr>
        <w:jc w:val="both"/>
        <w:rPr>
          <w:rFonts w:cs="Arial"/>
          <w:sz w:val="22"/>
          <w:szCs w:val="22"/>
        </w:rPr>
      </w:pPr>
    </w:p>
    <w:p w14:paraId="25CCAD9E" w14:textId="48528CFD" w:rsidR="00662032" w:rsidRPr="00662032" w:rsidRDefault="00662032" w:rsidP="00662032">
      <w:pPr>
        <w:jc w:val="both"/>
        <w:rPr>
          <w:rFonts w:cs="Arial"/>
          <w:sz w:val="22"/>
          <w:szCs w:val="22"/>
        </w:rPr>
      </w:pPr>
      <w:r w:rsidRPr="00662032">
        <w:rPr>
          <w:rFonts w:cs="Arial"/>
          <w:sz w:val="22"/>
          <w:szCs w:val="22"/>
        </w:rPr>
        <w:t>Grundsätzlich gilt: werden Lithium-Batterien außerhalb ihrer Spezifikationen betrieben, können sie gefährlich sein. Gefahren resultieren hierbei aus fehlerhafter Handhabung und unsachgemäßen Umgang wie z. B. mechanische Beschädigung oder thermische Belastung (innerer Kurzschluss) oder Überladung.</w:t>
      </w:r>
      <w:r>
        <w:rPr>
          <w:rFonts w:cs="Arial"/>
          <w:sz w:val="22"/>
          <w:szCs w:val="22"/>
        </w:rPr>
        <w:t xml:space="preserve"> </w:t>
      </w:r>
      <w:r w:rsidRPr="00662032">
        <w:rPr>
          <w:rFonts w:cs="Arial"/>
          <w:sz w:val="22"/>
          <w:szCs w:val="22"/>
        </w:rPr>
        <w:t>Beispiele für organisatorische Schutzmaßnahmen sind:</w:t>
      </w:r>
    </w:p>
    <w:p w14:paraId="382D518D" w14:textId="77777777" w:rsidR="00662032" w:rsidRPr="00662032" w:rsidRDefault="00662032" w:rsidP="00662032">
      <w:pPr>
        <w:jc w:val="both"/>
        <w:rPr>
          <w:rFonts w:cs="Arial"/>
          <w:sz w:val="22"/>
          <w:szCs w:val="22"/>
        </w:rPr>
      </w:pPr>
    </w:p>
    <w:p w14:paraId="3D9E6F2E" w14:textId="77777777" w:rsidR="00662032" w:rsidRPr="00662032" w:rsidRDefault="00662032" w:rsidP="00662032">
      <w:pPr>
        <w:pStyle w:val="Listenabsatz"/>
        <w:numPr>
          <w:ilvl w:val="0"/>
          <w:numId w:val="21"/>
        </w:numPr>
        <w:spacing w:after="200" w:line="276" w:lineRule="auto"/>
        <w:jc w:val="both"/>
        <w:rPr>
          <w:rFonts w:cs="Arial"/>
          <w:sz w:val="22"/>
          <w:szCs w:val="22"/>
        </w:rPr>
      </w:pPr>
      <w:r w:rsidRPr="00662032">
        <w:rPr>
          <w:rFonts w:cs="Arial"/>
          <w:sz w:val="22"/>
          <w:szCs w:val="22"/>
        </w:rPr>
        <w:t>Einhaltung aller Vorgaben der jeweiligen Hersteller und Sicherheitsdatenblätter</w:t>
      </w:r>
    </w:p>
    <w:p w14:paraId="021C1334" w14:textId="77777777" w:rsidR="00662032" w:rsidRPr="00662032" w:rsidRDefault="00662032" w:rsidP="00662032">
      <w:pPr>
        <w:pStyle w:val="Listenabsatz"/>
        <w:numPr>
          <w:ilvl w:val="0"/>
          <w:numId w:val="21"/>
        </w:numPr>
        <w:spacing w:after="200" w:line="276" w:lineRule="auto"/>
        <w:jc w:val="both"/>
        <w:rPr>
          <w:rFonts w:cs="Arial"/>
          <w:sz w:val="22"/>
          <w:szCs w:val="22"/>
        </w:rPr>
      </w:pPr>
      <w:r w:rsidRPr="00662032">
        <w:rPr>
          <w:rFonts w:cs="Arial"/>
          <w:sz w:val="22"/>
          <w:szCs w:val="22"/>
        </w:rPr>
        <w:t>Verhinderung äußerer Kurzschlüsse</w:t>
      </w:r>
    </w:p>
    <w:p w14:paraId="0A195D0E" w14:textId="77777777" w:rsidR="00662032" w:rsidRPr="00662032" w:rsidRDefault="00662032" w:rsidP="00662032">
      <w:pPr>
        <w:pStyle w:val="Listenabsatz"/>
        <w:numPr>
          <w:ilvl w:val="0"/>
          <w:numId w:val="21"/>
        </w:numPr>
        <w:spacing w:after="200" w:line="276" w:lineRule="auto"/>
        <w:jc w:val="both"/>
        <w:rPr>
          <w:rFonts w:cs="Arial"/>
          <w:sz w:val="22"/>
          <w:szCs w:val="22"/>
        </w:rPr>
      </w:pPr>
      <w:r w:rsidRPr="00662032">
        <w:rPr>
          <w:rFonts w:cs="Arial"/>
          <w:sz w:val="22"/>
          <w:szCs w:val="22"/>
        </w:rPr>
        <w:t>Umgehende fachgerechte Entsorgung beschädigter Produkte</w:t>
      </w:r>
    </w:p>
    <w:p w14:paraId="0A13872E" w14:textId="77777777" w:rsidR="00662032" w:rsidRPr="00662032" w:rsidRDefault="00662032" w:rsidP="00662032">
      <w:pPr>
        <w:pStyle w:val="Listenabsatz"/>
        <w:numPr>
          <w:ilvl w:val="0"/>
          <w:numId w:val="21"/>
        </w:numPr>
        <w:spacing w:after="200" w:line="276" w:lineRule="auto"/>
        <w:jc w:val="both"/>
        <w:rPr>
          <w:rFonts w:cs="Arial"/>
          <w:sz w:val="22"/>
          <w:szCs w:val="22"/>
        </w:rPr>
      </w:pPr>
      <w:r w:rsidRPr="00662032">
        <w:rPr>
          <w:rFonts w:cs="Arial"/>
          <w:sz w:val="22"/>
          <w:szCs w:val="22"/>
        </w:rPr>
        <w:t>Separierte Lagerung</w:t>
      </w:r>
    </w:p>
    <w:p w14:paraId="60F7D29F" w14:textId="7079175E" w:rsidR="00662032" w:rsidRPr="00662032" w:rsidRDefault="00662032" w:rsidP="00662032">
      <w:pPr>
        <w:pStyle w:val="Listenabsatz"/>
        <w:numPr>
          <w:ilvl w:val="0"/>
          <w:numId w:val="21"/>
        </w:numPr>
        <w:spacing w:after="200" w:line="276" w:lineRule="auto"/>
        <w:jc w:val="both"/>
        <w:rPr>
          <w:rFonts w:cs="Arial"/>
          <w:sz w:val="22"/>
          <w:szCs w:val="22"/>
        </w:rPr>
      </w:pPr>
      <w:r w:rsidRPr="00662032">
        <w:rPr>
          <w:rFonts w:cs="Arial"/>
          <w:sz w:val="22"/>
          <w:szCs w:val="22"/>
        </w:rPr>
        <w:t>Schulung der Mitarbeiter im fachgerechten Umgang mit Lithium-Batterien</w:t>
      </w:r>
    </w:p>
    <w:p w14:paraId="13DE999D" w14:textId="77777777" w:rsidR="00662032" w:rsidRPr="00662032" w:rsidRDefault="00662032" w:rsidP="00662032">
      <w:pPr>
        <w:jc w:val="both"/>
        <w:rPr>
          <w:rFonts w:cs="Arial"/>
          <w:sz w:val="22"/>
          <w:szCs w:val="22"/>
        </w:rPr>
      </w:pPr>
    </w:p>
    <w:p w14:paraId="5DB7E8FC" w14:textId="29B5920D" w:rsidR="00662032" w:rsidRPr="00662032" w:rsidRDefault="00662032" w:rsidP="00662032">
      <w:pPr>
        <w:autoSpaceDE w:val="0"/>
        <w:autoSpaceDN w:val="0"/>
        <w:adjustRightInd w:val="0"/>
        <w:jc w:val="both"/>
        <w:rPr>
          <w:rFonts w:cs="Arial"/>
          <w:b/>
          <w:color w:val="000000" w:themeColor="text1"/>
          <w:sz w:val="22"/>
          <w:szCs w:val="22"/>
          <w:u w:val="single"/>
        </w:rPr>
      </w:pPr>
      <w:r w:rsidRPr="00662032">
        <w:rPr>
          <w:rFonts w:cs="Arial"/>
          <w:b/>
          <w:color w:val="000000" w:themeColor="text1"/>
          <w:sz w:val="22"/>
          <w:szCs w:val="22"/>
          <w:u w:val="single"/>
        </w:rPr>
        <w:t>Fazit</w:t>
      </w:r>
    </w:p>
    <w:p w14:paraId="7371FA4A" w14:textId="77777777" w:rsidR="00662032" w:rsidRPr="00662032" w:rsidRDefault="00662032" w:rsidP="00662032">
      <w:pPr>
        <w:autoSpaceDE w:val="0"/>
        <w:autoSpaceDN w:val="0"/>
        <w:adjustRightInd w:val="0"/>
        <w:jc w:val="both"/>
        <w:rPr>
          <w:rFonts w:cs="Arial"/>
          <w:b/>
          <w:sz w:val="22"/>
          <w:szCs w:val="22"/>
          <w:u w:val="single"/>
        </w:rPr>
      </w:pPr>
    </w:p>
    <w:p w14:paraId="769BD48D" w14:textId="32CAB33E" w:rsidR="00662032" w:rsidRPr="00662032" w:rsidRDefault="00662032" w:rsidP="00662032">
      <w:pPr>
        <w:autoSpaceDE w:val="0"/>
        <w:autoSpaceDN w:val="0"/>
        <w:adjustRightInd w:val="0"/>
        <w:jc w:val="both"/>
        <w:rPr>
          <w:rFonts w:cs="Arial"/>
          <w:sz w:val="22"/>
          <w:szCs w:val="22"/>
        </w:rPr>
      </w:pPr>
      <w:r w:rsidRPr="00662032">
        <w:rPr>
          <w:rFonts w:cs="Arial"/>
          <w:sz w:val="22"/>
          <w:szCs w:val="22"/>
        </w:rPr>
        <w:t>Hinsichtlich des Umgangs mit und der Lagerung von Lithium-Akkumulatoren im betrieblichen Umfeld gilt grundsätzlich: Der Betreiber ist nach dem Arbeitsschutzgesetz (ArbSchG) und der Betriebssicherheitsverordnung (BetrSichV) verpflichtet, in einer Gefährdungsbeurteilung die Gefahren, die von den technischen Einrichtungen und Geräten ausgehen können, einzuschätzen bzw. zu beurteilen und daraus abzuleitende notwendige Schutzmaßnahmen umzusetzen. Das gilt sinngemäß grundsätzlich auch für Lithium-Akkumulatoren.</w:t>
      </w:r>
    </w:p>
    <w:p w14:paraId="6AC6DE42" w14:textId="38AA3FE6" w:rsidR="006528B9" w:rsidRPr="00662032" w:rsidRDefault="006528B9" w:rsidP="00A36FF0">
      <w:pPr>
        <w:spacing w:line="259" w:lineRule="auto"/>
        <w:jc w:val="both"/>
        <w:rPr>
          <w:rFonts w:cs="Arial"/>
          <w:sz w:val="22"/>
          <w:szCs w:val="22"/>
        </w:rPr>
      </w:pPr>
      <w:r w:rsidRPr="00662032">
        <w:rPr>
          <w:rFonts w:cs="Arial"/>
          <w:sz w:val="22"/>
          <w:szCs w:val="22"/>
        </w:rPr>
        <w:br w:type="page"/>
      </w:r>
    </w:p>
    <w:tbl>
      <w:tblPr>
        <w:tblW w:w="9618" w:type="dxa"/>
        <w:tblInd w:w="-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81"/>
        <w:gridCol w:w="2970"/>
        <w:gridCol w:w="3667"/>
      </w:tblGrid>
      <w:tr w:rsidR="00AB24B8" w:rsidRPr="00AB24B8" w14:paraId="2D91FDB2" w14:textId="77777777" w:rsidTr="00CF57D9">
        <w:trPr>
          <w:trHeight w:hRule="exact" w:val="765"/>
        </w:trPr>
        <w:tc>
          <w:tcPr>
            <w:tcW w:w="2981" w:type="dxa"/>
            <w:tcBorders>
              <w:top w:val="single" w:sz="12" w:space="0" w:color="auto"/>
              <w:bottom w:val="single" w:sz="12" w:space="0" w:color="auto"/>
            </w:tcBorders>
            <w:vAlign w:val="center"/>
          </w:tcPr>
          <w:p w14:paraId="45642F14" w14:textId="178FCBAA" w:rsidR="00F87883" w:rsidRPr="00AB24B8" w:rsidRDefault="00F87883" w:rsidP="00AB24B8">
            <w:pPr>
              <w:ind w:right="-1"/>
              <w:jc w:val="both"/>
              <w:rPr>
                <w:rFonts w:cs="Arial"/>
                <w:b/>
                <w:color w:val="000000" w:themeColor="text1"/>
                <w:sz w:val="22"/>
                <w:szCs w:val="22"/>
              </w:rPr>
            </w:pPr>
            <w:r w:rsidRPr="00AB24B8">
              <w:rPr>
                <w:rFonts w:cs="Arial"/>
                <w:b/>
                <w:color w:val="000000" w:themeColor="text1"/>
                <w:sz w:val="22"/>
                <w:szCs w:val="22"/>
              </w:rPr>
              <w:lastRenderedPageBreak/>
              <w:t>Teilnehmer</w:t>
            </w:r>
          </w:p>
        </w:tc>
        <w:tc>
          <w:tcPr>
            <w:tcW w:w="2970" w:type="dxa"/>
            <w:tcBorders>
              <w:top w:val="single" w:sz="12" w:space="0" w:color="auto"/>
              <w:bottom w:val="single" w:sz="12" w:space="0" w:color="auto"/>
            </w:tcBorders>
            <w:vAlign w:val="center"/>
          </w:tcPr>
          <w:p w14:paraId="2F6EE0B8" w14:textId="77777777" w:rsidR="00F87883" w:rsidRPr="00AB24B8" w:rsidRDefault="00F87883" w:rsidP="00AB24B8">
            <w:pPr>
              <w:ind w:right="-1"/>
              <w:jc w:val="both"/>
              <w:rPr>
                <w:rFonts w:cs="Arial"/>
                <w:b/>
                <w:color w:val="000000" w:themeColor="text1"/>
                <w:sz w:val="22"/>
                <w:szCs w:val="22"/>
              </w:rPr>
            </w:pPr>
            <w:r w:rsidRPr="00AB24B8">
              <w:rPr>
                <w:rFonts w:cs="Arial"/>
                <w:b/>
                <w:color w:val="000000" w:themeColor="text1"/>
                <w:sz w:val="22"/>
                <w:szCs w:val="22"/>
              </w:rPr>
              <w:t>Bereich / Abt.</w:t>
            </w:r>
          </w:p>
        </w:tc>
        <w:tc>
          <w:tcPr>
            <w:tcW w:w="3667" w:type="dxa"/>
            <w:tcBorders>
              <w:top w:val="single" w:sz="12" w:space="0" w:color="auto"/>
              <w:bottom w:val="single" w:sz="12" w:space="0" w:color="auto"/>
            </w:tcBorders>
            <w:vAlign w:val="center"/>
          </w:tcPr>
          <w:p w14:paraId="4BAFAD23" w14:textId="77777777" w:rsidR="00F87883" w:rsidRPr="00AB24B8" w:rsidRDefault="00F87883" w:rsidP="00AB24B8">
            <w:pPr>
              <w:ind w:right="-1"/>
              <w:jc w:val="both"/>
              <w:rPr>
                <w:rFonts w:cs="Arial"/>
                <w:b/>
                <w:color w:val="000000" w:themeColor="text1"/>
                <w:sz w:val="22"/>
                <w:szCs w:val="22"/>
              </w:rPr>
            </w:pPr>
            <w:r w:rsidRPr="00AB24B8">
              <w:rPr>
                <w:rFonts w:cs="Arial"/>
                <w:b/>
                <w:color w:val="000000" w:themeColor="text1"/>
                <w:sz w:val="22"/>
                <w:szCs w:val="22"/>
              </w:rPr>
              <w:t xml:space="preserve">Unterschrift </w:t>
            </w:r>
            <w:r w:rsidRPr="00AB24B8">
              <w:rPr>
                <w:rFonts w:cs="Arial"/>
                <w:color w:val="000000" w:themeColor="text1"/>
                <w:sz w:val="22"/>
                <w:szCs w:val="22"/>
              </w:rPr>
              <w:t>*)</w:t>
            </w:r>
          </w:p>
        </w:tc>
      </w:tr>
      <w:tr w:rsidR="00AB24B8" w:rsidRPr="00AB24B8" w14:paraId="4817344F" w14:textId="77777777" w:rsidTr="00CF57D9">
        <w:trPr>
          <w:trHeight w:val="572"/>
        </w:trPr>
        <w:tc>
          <w:tcPr>
            <w:tcW w:w="2981" w:type="dxa"/>
            <w:tcBorders>
              <w:top w:val="single" w:sz="12" w:space="0" w:color="auto"/>
            </w:tcBorders>
            <w:vAlign w:val="center"/>
          </w:tcPr>
          <w:p w14:paraId="54BE514E" w14:textId="77777777" w:rsidR="00F87883" w:rsidRPr="00AB24B8" w:rsidRDefault="00F87883" w:rsidP="00AB24B8">
            <w:pPr>
              <w:ind w:right="-1"/>
              <w:jc w:val="both"/>
              <w:rPr>
                <w:rFonts w:cs="Arial"/>
                <w:color w:val="000000" w:themeColor="text1"/>
                <w:sz w:val="22"/>
                <w:szCs w:val="22"/>
              </w:rPr>
            </w:pPr>
          </w:p>
        </w:tc>
        <w:tc>
          <w:tcPr>
            <w:tcW w:w="2970" w:type="dxa"/>
            <w:tcBorders>
              <w:top w:val="single" w:sz="12" w:space="0" w:color="auto"/>
            </w:tcBorders>
            <w:vAlign w:val="center"/>
          </w:tcPr>
          <w:p w14:paraId="24420DA8" w14:textId="77777777" w:rsidR="00F87883" w:rsidRPr="00AB24B8" w:rsidRDefault="00F87883" w:rsidP="00AB24B8">
            <w:pPr>
              <w:ind w:right="-1"/>
              <w:jc w:val="both"/>
              <w:rPr>
                <w:rFonts w:cs="Arial"/>
                <w:color w:val="000000" w:themeColor="text1"/>
                <w:sz w:val="22"/>
                <w:szCs w:val="22"/>
              </w:rPr>
            </w:pPr>
          </w:p>
        </w:tc>
        <w:tc>
          <w:tcPr>
            <w:tcW w:w="3667" w:type="dxa"/>
            <w:tcBorders>
              <w:top w:val="single" w:sz="12" w:space="0" w:color="auto"/>
            </w:tcBorders>
            <w:vAlign w:val="center"/>
          </w:tcPr>
          <w:p w14:paraId="1512A43A" w14:textId="77777777" w:rsidR="00F87883" w:rsidRPr="00AB24B8" w:rsidRDefault="00F87883" w:rsidP="00AB24B8">
            <w:pPr>
              <w:ind w:right="-1"/>
              <w:jc w:val="both"/>
              <w:rPr>
                <w:rFonts w:cs="Arial"/>
                <w:color w:val="000000" w:themeColor="text1"/>
                <w:sz w:val="22"/>
                <w:szCs w:val="22"/>
              </w:rPr>
            </w:pPr>
          </w:p>
          <w:p w14:paraId="0732EF69" w14:textId="77777777" w:rsidR="00F87883" w:rsidRPr="00AB24B8" w:rsidRDefault="00F87883" w:rsidP="00AB24B8">
            <w:pPr>
              <w:ind w:right="-1"/>
              <w:jc w:val="both"/>
              <w:rPr>
                <w:rFonts w:cs="Arial"/>
                <w:color w:val="000000" w:themeColor="text1"/>
                <w:sz w:val="22"/>
                <w:szCs w:val="22"/>
              </w:rPr>
            </w:pPr>
          </w:p>
        </w:tc>
      </w:tr>
      <w:tr w:rsidR="00AB24B8" w:rsidRPr="00AB24B8" w14:paraId="52977B13" w14:textId="77777777" w:rsidTr="00CF57D9">
        <w:trPr>
          <w:trHeight w:val="572"/>
        </w:trPr>
        <w:tc>
          <w:tcPr>
            <w:tcW w:w="2981" w:type="dxa"/>
            <w:vAlign w:val="center"/>
          </w:tcPr>
          <w:p w14:paraId="3D3E9823"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255F3D99"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51CAE9FA" w14:textId="77777777" w:rsidR="00F87883" w:rsidRPr="00AB24B8" w:rsidRDefault="00F87883" w:rsidP="00AB24B8">
            <w:pPr>
              <w:ind w:right="-1"/>
              <w:jc w:val="both"/>
              <w:rPr>
                <w:rFonts w:cs="Arial"/>
                <w:color w:val="000000" w:themeColor="text1"/>
                <w:sz w:val="22"/>
                <w:szCs w:val="22"/>
              </w:rPr>
            </w:pPr>
          </w:p>
          <w:p w14:paraId="707EFC07" w14:textId="77777777" w:rsidR="00F87883" w:rsidRPr="00AB24B8" w:rsidRDefault="00F87883" w:rsidP="00AB24B8">
            <w:pPr>
              <w:ind w:right="-1"/>
              <w:jc w:val="both"/>
              <w:rPr>
                <w:rFonts w:cs="Arial"/>
                <w:color w:val="000000" w:themeColor="text1"/>
                <w:sz w:val="22"/>
                <w:szCs w:val="22"/>
              </w:rPr>
            </w:pPr>
          </w:p>
        </w:tc>
      </w:tr>
      <w:tr w:rsidR="00AB24B8" w:rsidRPr="00AB24B8" w14:paraId="0123FA40" w14:textId="77777777" w:rsidTr="00CF57D9">
        <w:trPr>
          <w:trHeight w:val="557"/>
        </w:trPr>
        <w:tc>
          <w:tcPr>
            <w:tcW w:w="2981" w:type="dxa"/>
            <w:vAlign w:val="center"/>
          </w:tcPr>
          <w:p w14:paraId="18595C59"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37389102"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101FC8EE" w14:textId="77777777" w:rsidR="00F87883" w:rsidRPr="00AB24B8" w:rsidRDefault="00F87883" w:rsidP="00AB24B8">
            <w:pPr>
              <w:ind w:right="-1"/>
              <w:jc w:val="both"/>
              <w:rPr>
                <w:rFonts w:cs="Arial"/>
                <w:color w:val="000000" w:themeColor="text1"/>
                <w:sz w:val="22"/>
                <w:szCs w:val="22"/>
              </w:rPr>
            </w:pPr>
          </w:p>
          <w:p w14:paraId="2E6C05B7" w14:textId="77777777" w:rsidR="00F87883" w:rsidRPr="00AB24B8" w:rsidRDefault="00F87883" w:rsidP="00AB24B8">
            <w:pPr>
              <w:ind w:right="-1"/>
              <w:jc w:val="both"/>
              <w:rPr>
                <w:rFonts w:cs="Arial"/>
                <w:color w:val="000000" w:themeColor="text1"/>
                <w:sz w:val="22"/>
                <w:szCs w:val="22"/>
              </w:rPr>
            </w:pPr>
          </w:p>
        </w:tc>
      </w:tr>
      <w:tr w:rsidR="00AB24B8" w:rsidRPr="00AB24B8" w14:paraId="45B9A57E" w14:textId="77777777" w:rsidTr="00CF57D9">
        <w:trPr>
          <w:trHeight w:val="557"/>
        </w:trPr>
        <w:tc>
          <w:tcPr>
            <w:tcW w:w="2981" w:type="dxa"/>
            <w:vAlign w:val="center"/>
          </w:tcPr>
          <w:p w14:paraId="5C4428A3"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3DD7E8AE"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1F063CFF" w14:textId="77777777" w:rsidR="00F87883" w:rsidRPr="00AB24B8" w:rsidRDefault="00F87883" w:rsidP="00AB24B8">
            <w:pPr>
              <w:ind w:right="-1"/>
              <w:jc w:val="both"/>
              <w:rPr>
                <w:rFonts w:cs="Arial"/>
                <w:color w:val="000000" w:themeColor="text1"/>
                <w:sz w:val="22"/>
                <w:szCs w:val="22"/>
              </w:rPr>
            </w:pPr>
          </w:p>
          <w:p w14:paraId="4D5EB7AF" w14:textId="77777777" w:rsidR="00F87883" w:rsidRPr="00AB24B8" w:rsidRDefault="00F87883" w:rsidP="00AB24B8">
            <w:pPr>
              <w:ind w:right="-1"/>
              <w:jc w:val="both"/>
              <w:rPr>
                <w:rFonts w:cs="Arial"/>
                <w:color w:val="000000" w:themeColor="text1"/>
                <w:sz w:val="22"/>
                <w:szCs w:val="22"/>
              </w:rPr>
            </w:pPr>
          </w:p>
        </w:tc>
      </w:tr>
      <w:tr w:rsidR="00AB24B8" w:rsidRPr="00AB24B8" w14:paraId="6E158E36" w14:textId="77777777" w:rsidTr="00CF57D9">
        <w:trPr>
          <w:trHeight w:val="572"/>
        </w:trPr>
        <w:tc>
          <w:tcPr>
            <w:tcW w:w="2981" w:type="dxa"/>
            <w:vAlign w:val="center"/>
          </w:tcPr>
          <w:p w14:paraId="7E0EA258"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1277066E"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7B3E5232" w14:textId="77777777" w:rsidR="00F87883" w:rsidRPr="00AB24B8" w:rsidRDefault="00F87883" w:rsidP="00AB24B8">
            <w:pPr>
              <w:ind w:right="-1"/>
              <w:jc w:val="both"/>
              <w:rPr>
                <w:rFonts w:cs="Arial"/>
                <w:color w:val="000000" w:themeColor="text1"/>
                <w:sz w:val="22"/>
                <w:szCs w:val="22"/>
              </w:rPr>
            </w:pPr>
          </w:p>
          <w:p w14:paraId="20E436C3" w14:textId="77777777" w:rsidR="00F87883" w:rsidRPr="00AB24B8" w:rsidRDefault="00F87883" w:rsidP="00AB24B8">
            <w:pPr>
              <w:ind w:right="-1"/>
              <w:jc w:val="both"/>
              <w:rPr>
                <w:rFonts w:cs="Arial"/>
                <w:color w:val="000000" w:themeColor="text1"/>
                <w:sz w:val="22"/>
                <w:szCs w:val="22"/>
              </w:rPr>
            </w:pPr>
          </w:p>
        </w:tc>
      </w:tr>
      <w:tr w:rsidR="00AB24B8" w:rsidRPr="00AB24B8" w14:paraId="684CB588" w14:textId="77777777" w:rsidTr="00CF57D9">
        <w:trPr>
          <w:trHeight w:val="557"/>
        </w:trPr>
        <w:tc>
          <w:tcPr>
            <w:tcW w:w="2981" w:type="dxa"/>
            <w:vAlign w:val="center"/>
          </w:tcPr>
          <w:p w14:paraId="4BFD905F"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599875EF"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48F14178" w14:textId="77777777" w:rsidR="00F87883" w:rsidRPr="00AB24B8" w:rsidRDefault="00F87883" w:rsidP="00AB24B8">
            <w:pPr>
              <w:ind w:right="-1"/>
              <w:jc w:val="both"/>
              <w:rPr>
                <w:rFonts w:cs="Arial"/>
                <w:color w:val="000000" w:themeColor="text1"/>
                <w:sz w:val="22"/>
                <w:szCs w:val="22"/>
              </w:rPr>
            </w:pPr>
          </w:p>
          <w:p w14:paraId="6A6964CB" w14:textId="77777777" w:rsidR="00F87883" w:rsidRPr="00AB24B8" w:rsidRDefault="00F87883" w:rsidP="00AB24B8">
            <w:pPr>
              <w:ind w:right="-1"/>
              <w:jc w:val="both"/>
              <w:rPr>
                <w:rFonts w:cs="Arial"/>
                <w:color w:val="000000" w:themeColor="text1"/>
                <w:sz w:val="22"/>
                <w:szCs w:val="22"/>
              </w:rPr>
            </w:pPr>
          </w:p>
        </w:tc>
      </w:tr>
      <w:tr w:rsidR="00AB24B8" w:rsidRPr="00AB24B8" w14:paraId="2406A8D9" w14:textId="77777777" w:rsidTr="00CF57D9">
        <w:trPr>
          <w:trHeight w:val="572"/>
        </w:trPr>
        <w:tc>
          <w:tcPr>
            <w:tcW w:w="2981" w:type="dxa"/>
            <w:vAlign w:val="center"/>
          </w:tcPr>
          <w:p w14:paraId="61DD10EC"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78DF2ADD"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247C472A" w14:textId="77777777" w:rsidR="00F87883" w:rsidRPr="00AB24B8" w:rsidRDefault="00F87883" w:rsidP="00AB24B8">
            <w:pPr>
              <w:ind w:right="-1"/>
              <w:jc w:val="both"/>
              <w:rPr>
                <w:rFonts w:cs="Arial"/>
                <w:color w:val="000000" w:themeColor="text1"/>
                <w:sz w:val="22"/>
                <w:szCs w:val="22"/>
              </w:rPr>
            </w:pPr>
          </w:p>
          <w:p w14:paraId="4EC2D8DE" w14:textId="77777777" w:rsidR="00F87883" w:rsidRPr="00AB24B8" w:rsidRDefault="00F87883" w:rsidP="00AB24B8">
            <w:pPr>
              <w:ind w:right="-1"/>
              <w:jc w:val="both"/>
              <w:rPr>
                <w:rFonts w:cs="Arial"/>
                <w:color w:val="000000" w:themeColor="text1"/>
                <w:sz w:val="22"/>
                <w:szCs w:val="22"/>
              </w:rPr>
            </w:pPr>
          </w:p>
        </w:tc>
      </w:tr>
      <w:tr w:rsidR="00AB24B8" w:rsidRPr="00AB24B8" w14:paraId="5DCD1ACE" w14:textId="77777777" w:rsidTr="00CF57D9">
        <w:trPr>
          <w:trHeight w:val="557"/>
        </w:trPr>
        <w:tc>
          <w:tcPr>
            <w:tcW w:w="2981" w:type="dxa"/>
            <w:vAlign w:val="center"/>
          </w:tcPr>
          <w:p w14:paraId="2E884B66"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3DC1553B"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3CEF95B8" w14:textId="77777777" w:rsidR="00F87883" w:rsidRPr="00AB24B8" w:rsidRDefault="00F87883" w:rsidP="00AB24B8">
            <w:pPr>
              <w:ind w:right="-1"/>
              <w:jc w:val="both"/>
              <w:rPr>
                <w:rFonts w:cs="Arial"/>
                <w:color w:val="000000" w:themeColor="text1"/>
                <w:sz w:val="22"/>
                <w:szCs w:val="22"/>
              </w:rPr>
            </w:pPr>
          </w:p>
          <w:p w14:paraId="4E4F9327" w14:textId="77777777" w:rsidR="00F87883" w:rsidRPr="00AB24B8" w:rsidRDefault="00F87883" w:rsidP="00AB24B8">
            <w:pPr>
              <w:ind w:right="-1"/>
              <w:jc w:val="both"/>
              <w:rPr>
                <w:rFonts w:cs="Arial"/>
                <w:color w:val="000000" w:themeColor="text1"/>
                <w:sz w:val="22"/>
                <w:szCs w:val="22"/>
              </w:rPr>
            </w:pPr>
          </w:p>
        </w:tc>
      </w:tr>
      <w:tr w:rsidR="00AB24B8" w:rsidRPr="00AB24B8" w14:paraId="1D8BD99D" w14:textId="77777777" w:rsidTr="00CF57D9">
        <w:trPr>
          <w:trHeight w:val="572"/>
        </w:trPr>
        <w:tc>
          <w:tcPr>
            <w:tcW w:w="2981" w:type="dxa"/>
            <w:vAlign w:val="center"/>
          </w:tcPr>
          <w:p w14:paraId="208A304C"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706B96D1"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6A85CD81" w14:textId="77777777" w:rsidR="00F87883" w:rsidRPr="00AB24B8" w:rsidRDefault="00F87883" w:rsidP="00AB24B8">
            <w:pPr>
              <w:ind w:right="-1"/>
              <w:jc w:val="both"/>
              <w:rPr>
                <w:rFonts w:cs="Arial"/>
                <w:color w:val="000000" w:themeColor="text1"/>
                <w:sz w:val="22"/>
                <w:szCs w:val="22"/>
              </w:rPr>
            </w:pPr>
          </w:p>
          <w:p w14:paraId="2A29B830" w14:textId="77777777" w:rsidR="00F87883" w:rsidRPr="00AB24B8" w:rsidRDefault="00F87883" w:rsidP="00AB24B8">
            <w:pPr>
              <w:ind w:right="-1"/>
              <w:jc w:val="both"/>
              <w:rPr>
                <w:rFonts w:cs="Arial"/>
                <w:color w:val="000000" w:themeColor="text1"/>
                <w:sz w:val="22"/>
                <w:szCs w:val="22"/>
              </w:rPr>
            </w:pPr>
          </w:p>
        </w:tc>
      </w:tr>
      <w:tr w:rsidR="00AB24B8" w:rsidRPr="00AB24B8" w14:paraId="787FCACD" w14:textId="77777777" w:rsidTr="00CF57D9">
        <w:trPr>
          <w:trHeight w:val="557"/>
        </w:trPr>
        <w:tc>
          <w:tcPr>
            <w:tcW w:w="2981" w:type="dxa"/>
            <w:vAlign w:val="center"/>
          </w:tcPr>
          <w:p w14:paraId="19281D27"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32F30EBA"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3188B9D5" w14:textId="77777777" w:rsidR="00F87883" w:rsidRPr="00AB24B8" w:rsidRDefault="00F87883" w:rsidP="00AB24B8">
            <w:pPr>
              <w:ind w:right="-1"/>
              <w:jc w:val="both"/>
              <w:rPr>
                <w:rFonts w:cs="Arial"/>
                <w:color w:val="000000" w:themeColor="text1"/>
                <w:sz w:val="22"/>
                <w:szCs w:val="22"/>
              </w:rPr>
            </w:pPr>
          </w:p>
          <w:p w14:paraId="654DE60F" w14:textId="77777777" w:rsidR="00F87883" w:rsidRPr="00AB24B8" w:rsidRDefault="00F87883" w:rsidP="00AB24B8">
            <w:pPr>
              <w:ind w:right="-1"/>
              <w:jc w:val="both"/>
              <w:rPr>
                <w:rFonts w:cs="Arial"/>
                <w:color w:val="000000" w:themeColor="text1"/>
                <w:sz w:val="22"/>
                <w:szCs w:val="22"/>
              </w:rPr>
            </w:pPr>
          </w:p>
        </w:tc>
      </w:tr>
      <w:tr w:rsidR="00AB24B8" w:rsidRPr="00AB24B8" w14:paraId="36080E2B" w14:textId="77777777" w:rsidTr="00CF57D9">
        <w:trPr>
          <w:trHeight w:val="572"/>
        </w:trPr>
        <w:tc>
          <w:tcPr>
            <w:tcW w:w="2981" w:type="dxa"/>
            <w:tcBorders>
              <w:bottom w:val="single" w:sz="12" w:space="0" w:color="auto"/>
            </w:tcBorders>
            <w:vAlign w:val="center"/>
          </w:tcPr>
          <w:p w14:paraId="59941641" w14:textId="77777777" w:rsidR="00F87883" w:rsidRPr="00AB24B8" w:rsidRDefault="00F87883" w:rsidP="00AB24B8">
            <w:pPr>
              <w:ind w:right="-1"/>
              <w:jc w:val="both"/>
              <w:rPr>
                <w:rFonts w:cs="Arial"/>
                <w:color w:val="000000" w:themeColor="text1"/>
                <w:sz w:val="22"/>
                <w:szCs w:val="22"/>
              </w:rPr>
            </w:pPr>
          </w:p>
        </w:tc>
        <w:tc>
          <w:tcPr>
            <w:tcW w:w="2970" w:type="dxa"/>
            <w:tcBorders>
              <w:bottom w:val="single" w:sz="12" w:space="0" w:color="auto"/>
            </w:tcBorders>
            <w:vAlign w:val="center"/>
          </w:tcPr>
          <w:p w14:paraId="21269827" w14:textId="77777777" w:rsidR="00F87883" w:rsidRPr="00AB24B8" w:rsidRDefault="00F87883" w:rsidP="00AB24B8">
            <w:pPr>
              <w:ind w:right="-1"/>
              <w:jc w:val="both"/>
              <w:rPr>
                <w:rFonts w:cs="Arial"/>
                <w:color w:val="000000" w:themeColor="text1"/>
                <w:sz w:val="22"/>
                <w:szCs w:val="22"/>
              </w:rPr>
            </w:pPr>
          </w:p>
        </w:tc>
        <w:tc>
          <w:tcPr>
            <w:tcW w:w="3667" w:type="dxa"/>
            <w:tcBorders>
              <w:bottom w:val="single" w:sz="12" w:space="0" w:color="auto"/>
            </w:tcBorders>
            <w:vAlign w:val="center"/>
          </w:tcPr>
          <w:p w14:paraId="60A7D028" w14:textId="77777777" w:rsidR="00F87883" w:rsidRPr="00AB24B8" w:rsidRDefault="00F87883" w:rsidP="00AB24B8">
            <w:pPr>
              <w:ind w:right="-1"/>
              <w:jc w:val="both"/>
              <w:rPr>
                <w:rFonts w:cs="Arial"/>
                <w:color w:val="000000" w:themeColor="text1"/>
                <w:sz w:val="22"/>
                <w:szCs w:val="22"/>
              </w:rPr>
            </w:pPr>
          </w:p>
          <w:p w14:paraId="20E96D05" w14:textId="77777777" w:rsidR="00F87883" w:rsidRPr="00AB24B8" w:rsidRDefault="00F87883" w:rsidP="00AB24B8">
            <w:pPr>
              <w:ind w:right="-1"/>
              <w:jc w:val="both"/>
              <w:rPr>
                <w:rFonts w:cs="Arial"/>
                <w:color w:val="000000" w:themeColor="text1"/>
                <w:sz w:val="22"/>
                <w:szCs w:val="22"/>
              </w:rPr>
            </w:pPr>
          </w:p>
        </w:tc>
      </w:tr>
    </w:tbl>
    <w:p w14:paraId="6E1447AF" w14:textId="77777777" w:rsidR="00F87883" w:rsidRPr="00AB24B8" w:rsidRDefault="00F87883" w:rsidP="00AB24B8">
      <w:pPr>
        <w:ind w:right="-1"/>
        <w:jc w:val="both"/>
        <w:rPr>
          <w:rFonts w:cs="Arial"/>
          <w:color w:val="000000" w:themeColor="text1"/>
          <w:sz w:val="22"/>
          <w:szCs w:val="22"/>
        </w:rPr>
      </w:pPr>
    </w:p>
    <w:p w14:paraId="1B0EEA08" w14:textId="77777777" w:rsidR="00F87883" w:rsidRPr="00AB24B8" w:rsidRDefault="00F87883" w:rsidP="00AB24B8">
      <w:pPr>
        <w:ind w:right="-1"/>
        <w:jc w:val="both"/>
        <w:rPr>
          <w:color w:val="000000" w:themeColor="text1"/>
          <w:sz w:val="22"/>
          <w:szCs w:val="22"/>
        </w:rPr>
      </w:pPr>
      <w:r w:rsidRPr="00AB24B8">
        <w:rPr>
          <w:color w:val="000000" w:themeColor="text1"/>
          <w:sz w:val="22"/>
          <w:szCs w:val="22"/>
        </w:rPr>
        <w:t xml:space="preserve">*) Mit seiner Unterschrift bestätigt der/die Teilnehmer/in, dass der Inhalt der Schulung verstanden wurde. </w:t>
      </w:r>
    </w:p>
    <w:p w14:paraId="2634E649" w14:textId="77777777" w:rsidR="00F87883" w:rsidRPr="00AB24B8" w:rsidRDefault="00F87883" w:rsidP="00AB24B8">
      <w:pPr>
        <w:ind w:right="-1"/>
        <w:jc w:val="both"/>
        <w:rPr>
          <w:rFonts w:cs="Arial"/>
          <w:color w:val="000000" w:themeColor="text1"/>
          <w:sz w:val="22"/>
          <w:szCs w:val="22"/>
        </w:rPr>
      </w:pPr>
    </w:p>
    <w:p w14:paraId="6D67E25E" w14:textId="535A662D" w:rsidR="00B03014" w:rsidRDefault="00B03014" w:rsidP="00AB24B8">
      <w:pPr>
        <w:ind w:right="-1"/>
        <w:jc w:val="both"/>
        <w:rPr>
          <w:rFonts w:cs="Arial"/>
          <w:color w:val="000000" w:themeColor="text1"/>
          <w:sz w:val="22"/>
          <w:szCs w:val="22"/>
        </w:rPr>
      </w:pPr>
    </w:p>
    <w:p w14:paraId="10F34446" w14:textId="77777777" w:rsidR="00A86BFA" w:rsidRPr="00AB24B8" w:rsidRDefault="00A86BFA" w:rsidP="00A86BFA">
      <w:pPr>
        <w:ind w:right="-1"/>
        <w:jc w:val="both"/>
        <w:rPr>
          <w:rFonts w:cs="Arial"/>
          <w:color w:val="000000" w:themeColor="text1"/>
          <w:sz w:val="22"/>
          <w:szCs w:val="22"/>
        </w:rPr>
      </w:pPr>
      <w:r w:rsidRPr="008901B6">
        <w:rPr>
          <w:rFonts w:cs="Arial"/>
          <w:b/>
          <w:bCs/>
          <w:color w:val="000000" w:themeColor="text1"/>
          <w:sz w:val="22"/>
          <w:szCs w:val="22"/>
        </w:rPr>
        <w:t>Ablauf</w:t>
      </w:r>
      <w:r w:rsidRPr="008651BB">
        <w:rPr>
          <w:rFonts w:cs="Arial"/>
          <w:color w:val="000000" w:themeColor="text1"/>
          <w:sz w:val="22"/>
          <w:szCs w:val="22"/>
        </w:rPr>
        <w:t>: Die Elektrokurzschulungen sind für die verantwortlichen Elektrofachkräfte (VEFK) gedacht, um diese in Ihrer Schulungs- und Unterweisungsarbeit zu unterstützen. Die Kurzschulungen können von der VEFK selbst oder von entsprechend befähigten Beschäftigten durchgeführt werden. Es ist darauf zu achten, dass nicht nur die eigenen Elektro-Mitarbeiter, sondern auch die Leiharbeiter geschult werden.</w:t>
      </w:r>
    </w:p>
    <w:p w14:paraId="0E774734" w14:textId="77777777" w:rsidR="00A86BFA" w:rsidRPr="00AB24B8" w:rsidRDefault="00A86BFA" w:rsidP="00AB24B8">
      <w:pPr>
        <w:ind w:right="-1"/>
        <w:jc w:val="both"/>
        <w:rPr>
          <w:rFonts w:cs="Arial"/>
          <w:color w:val="000000" w:themeColor="text1"/>
          <w:sz w:val="22"/>
          <w:szCs w:val="22"/>
        </w:rPr>
      </w:pPr>
    </w:p>
    <w:sectPr w:rsidR="00A86BFA" w:rsidRPr="00AB24B8" w:rsidSect="000D0A32">
      <w:headerReference w:type="default" r:id="rId7"/>
      <w:footerReference w:type="default" r:id="rId8"/>
      <w:pgSz w:w="11906" w:h="16838"/>
      <w:pgMar w:top="1418" w:right="1134" w:bottom="1134" w:left="1134" w:header="709" w:footer="4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5B057" w14:textId="77777777" w:rsidR="002026AA" w:rsidRDefault="002026AA">
      <w:r>
        <w:separator/>
      </w:r>
    </w:p>
  </w:endnote>
  <w:endnote w:type="continuationSeparator" w:id="0">
    <w:p w14:paraId="4AAEF4AC" w14:textId="77777777" w:rsidR="002026AA" w:rsidRDefault="0020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1"/>
      <w:gridCol w:w="1113"/>
      <w:gridCol w:w="1114"/>
      <w:gridCol w:w="1114"/>
      <w:gridCol w:w="1114"/>
      <w:gridCol w:w="1114"/>
      <w:gridCol w:w="1114"/>
      <w:gridCol w:w="1114"/>
    </w:tblGrid>
    <w:tr w:rsidR="000D3F83" w:rsidRPr="00FA3A35" w14:paraId="380CFD4D" w14:textId="77777777" w:rsidTr="006618CF">
      <w:trPr>
        <w:trHeight w:val="132"/>
      </w:trPr>
      <w:tc>
        <w:tcPr>
          <w:tcW w:w="1811" w:type="dxa"/>
          <w:vAlign w:val="center"/>
        </w:tcPr>
        <w:p w14:paraId="454E0CE0" w14:textId="77777777" w:rsidR="000D3F83" w:rsidRPr="00FA3A35" w:rsidRDefault="000D3F83" w:rsidP="00474259">
          <w:pPr>
            <w:pStyle w:val="Fuzeile"/>
            <w:ind w:right="-83"/>
            <w:rPr>
              <w:rFonts w:cs="Arial"/>
              <w:sz w:val="16"/>
              <w:szCs w:val="16"/>
            </w:rPr>
          </w:pPr>
          <w:r w:rsidRPr="00FA3A35">
            <w:rPr>
              <w:rFonts w:cs="Arial"/>
              <w:sz w:val="16"/>
              <w:szCs w:val="16"/>
            </w:rPr>
            <w:t>Ausgabe/Revision:</w:t>
          </w:r>
        </w:p>
      </w:tc>
      <w:tc>
        <w:tcPr>
          <w:tcW w:w="1113" w:type="dxa"/>
          <w:vAlign w:val="center"/>
        </w:tcPr>
        <w:p w14:paraId="5E50C2F1" w14:textId="77777777" w:rsidR="000D3F83" w:rsidRPr="00FA3A35" w:rsidRDefault="00856444" w:rsidP="00474259">
          <w:pPr>
            <w:pStyle w:val="Fuzeile"/>
            <w:ind w:right="-83"/>
            <w:rPr>
              <w:rFonts w:cs="Arial"/>
              <w:sz w:val="16"/>
              <w:szCs w:val="16"/>
            </w:rPr>
          </w:pPr>
          <w:r w:rsidRPr="00FA3A35">
            <w:rPr>
              <w:rFonts w:cs="Arial"/>
              <w:sz w:val="16"/>
              <w:szCs w:val="16"/>
            </w:rPr>
            <w:t>0</w:t>
          </w:r>
        </w:p>
      </w:tc>
      <w:tc>
        <w:tcPr>
          <w:tcW w:w="1114" w:type="dxa"/>
          <w:vAlign w:val="center"/>
        </w:tcPr>
        <w:p w14:paraId="5B538206" w14:textId="3BDB01FB" w:rsidR="000D3F83" w:rsidRPr="00FA3A35" w:rsidRDefault="000D3F83" w:rsidP="00474259">
          <w:pPr>
            <w:pStyle w:val="Fuzeile"/>
            <w:ind w:right="-83"/>
            <w:rPr>
              <w:rFonts w:cs="Arial"/>
              <w:sz w:val="16"/>
              <w:szCs w:val="16"/>
            </w:rPr>
          </w:pPr>
        </w:p>
      </w:tc>
      <w:tc>
        <w:tcPr>
          <w:tcW w:w="1114" w:type="dxa"/>
          <w:vAlign w:val="center"/>
        </w:tcPr>
        <w:p w14:paraId="2DAFFE4B" w14:textId="77777777" w:rsidR="000D3F83" w:rsidRPr="00FA3A35" w:rsidRDefault="000D3F83" w:rsidP="00474259">
          <w:pPr>
            <w:pStyle w:val="Fuzeile"/>
            <w:ind w:right="-83"/>
            <w:rPr>
              <w:rFonts w:cs="Arial"/>
              <w:sz w:val="16"/>
              <w:szCs w:val="16"/>
            </w:rPr>
          </w:pPr>
        </w:p>
      </w:tc>
      <w:tc>
        <w:tcPr>
          <w:tcW w:w="1114" w:type="dxa"/>
          <w:vAlign w:val="center"/>
        </w:tcPr>
        <w:p w14:paraId="53BB3C1E" w14:textId="77777777" w:rsidR="000D3F83" w:rsidRPr="00FA3A35" w:rsidRDefault="000D3F83" w:rsidP="00474259">
          <w:pPr>
            <w:pStyle w:val="Fuzeile"/>
            <w:ind w:right="-83"/>
            <w:rPr>
              <w:rFonts w:cs="Arial"/>
              <w:sz w:val="16"/>
              <w:szCs w:val="16"/>
            </w:rPr>
          </w:pPr>
        </w:p>
      </w:tc>
      <w:tc>
        <w:tcPr>
          <w:tcW w:w="1114" w:type="dxa"/>
          <w:vAlign w:val="center"/>
        </w:tcPr>
        <w:p w14:paraId="50FE1F91" w14:textId="77777777" w:rsidR="000D3F83" w:rsidRPr="00FA3A35" w:rsidRDefault="000D3F83" w:rsidP="00474259">
          <w:pPr>
            <w:pStyle w:val="Fuzeile"/>
            <w:ind w:right="-83"/>
            <w:rPr>
              <w:rFonts w:cs="Arial"/>
              <w:sz w:val="16"/>
              <w:szCs w:val="16"/>
            </w:rPr>
          </w:pPr>
        </w:p>
      </w:tc>
      <w:tc>
        <w:tcPr>
          <w:tcW w:w="1114" w:type="dxa"/>
          <w:vAlign w:val="center"/>
        </w:tcPr>
        <w:p w14:paraId="400DE141" w14:textId="77777777" w:rsidR="000D3F83" w:rsidRPr="00FA3A35" w:rsidRDefault="000D3F83" w:rsidP="00474259">
          <w:pPr>
            <w:pStyle w:val="Fuzeile"/>
            <w:ind w:right="-83"/>
            <w:rPr>
              <w:rFonts w:cs="Arial"/>
              <w:sz w:val="16"/>
              <w:szCs w:val="16"/>
            </w:rPr>
          </w:pPr>
          <w:r w:rsidRPr="00FA3A35">
            <w:rPr>
              <w:rFonts w:cs="Arial"/>
              <w:sz w:val="16"/>
              <w:szCs w:val="16"/>
            </w:rPr>
            <w:t>Seite:</w:t>
          </w:r>
        </w:p>
      </w:tc>
      <w:tc>
        <w:tcPr>
          <w:tcW w:w="1114" w:type="dxa"/>
          <w:vAlign w:val="center"/>
        </w:tcPr>
        <w:p w14:paraId="6F8763CF" w14:textId="77777777" w:rsidR="000D3F83" w:rsidRPr="00FA3A35" w:rsidRDefault="000D3F83" w:rsidP="00474259">
          <w:pPr>
            <w:pStyle w:val="Fuzeile"/>
            <w:ind w:right="-83"/>
            <w:rPr>
              <w:rFonts w:cs="Arial"/>
              <w:sz w:val="16"/>
              <w:szCs w:val="16"/>
            </w:rPr>
          </w:pPr>
          <w:r w:rsidRPr="00FA3A35">
            <w:rPr>
              <w:rFonts w:cs="Arial"/>
              <w:sz w:val="16"/>
              <w:szCs w:val="16"/>
            </w:rPr>
            <w:fldChar w:fldCharType="begin"/>
          </w:r>
          <w:r w:rsidRPr="00FA3A35">
            <w:rPr>
              <w:rFonts w:cs="Arial"/>
              <w:sz w:val="16"/>
              <w:szCs w:val="16"/>
            </w:rPr>
            <w:instrText xml:space="preserve"> </w:instrText>
          </w:r>
          <w:r w:rsidR="00974928" w:rsidRPr="00FA3A35">
            <w:rPr>
              <w:rFonts w:cs="Arial"/>
              <w:sz w:val="16"/>
              <w:szCs w:val="16"/>
            </w:rPr>
            <w:instrText>PAGE</w:instrText>
          </w:r>
          <w:r w:rsidRPr="00FA3A35">
            <w:rPr>
              <w:rFonts w:cs="Arial"/>
              <w:sz w:val="16"/>
              <w:szCs w:val="16"/>
            </w:rPr>
            <w:instrText xml:space="preserve">  \* Arabic  \* MERGEFORMAT </w:instrText>
          </w:r>
          <w:r w:rsidRPr="00FA3A35">
            <w:rPr>
              <w:rFonts w:cs="Arial"/>
              <w:sz w:val="16"/>
              <w:szCs w:val="16"/>
            </w:rPr>
            <w:fldChar w:fldCharType="separate"/>
          </w:r>
          <w:r w:rsidR="00434A4B">
            <w:rPr>
              <w:rFonts w:cs="Arial"/>
              <w:noProof/>
              <w:sz w:val="16"/>
              <w:szCs w:val="16"/>
            </w:rPr>
            <w:t>1</w:t>
          </w:r>
          <w:r w:rsidRPr="00FA3A35">
            <w:rPr>
              <w:rFonts w:cs="Arial"/>
              <w:sz w:val="16"/>
              <w:szCs w:val="16"/>
            </w:rPr>
            <w:fldChar w:fldCharType="end"/>
          </w:r>
          <w:r w:rsidRPr="00FA3A35">
            <w:rPr>
              <w:rFonts w:cs="Arial"/>
              <w:sz w:val="16"/>
              <w:szCs w:val="16"/>
            </w:rPr>
            <w:t xml:space="preserve"> von </w:t>
          </w:r>
          <w:r w:rsidRPr="00FA3A35">
            <w:rPr>
              <w:rFonts w:cs="Arial"/>
              <w:sz w:val="16"/>
              <w:szCs w:val="16"/>
            </w:rPr>
            <w:fldChar w:fldCharType="begin"/>
          </w:r>
          <w:r w:rsidRPr="00FA3A35">
            <w:rPr>
              <w:rFonts w:cs="Arial"/>
              <w:sz w:val="16"/>
              <w:szCs w:val="16"/>
            </w:rPr>
            <w:instrText xml:space="preserve"> </w:instrText>
          </w:r>
          <w:r w:rsidR="00974928" w:rsidRPr="00FA3A35">
            <w:rPr>
              <w:rFonts w:cs="Arial"/>
              <w:sz w:val="16"/>
              <w:szCs w:val="16"/>
            </w:rPr>
            <w:instrText>NUMPAGES</w:instrText>
          </w:r>
          <w:r w:rsidRPr="00FA3A35">
            <w:rPr>
              <w:rFonts w:cs="Arial"/>
              <w:sz w:val="16"/>
              <w:szCs w:val="16"/>
            </w:rPr>
            <w:instrText xml:space="preserve">  \* Arabic  \* MERGEFORMAT </w:instrText>
          </w:r>
          <w:r w:rsidRPr="00FA3A35">
            <w:rPr>
              <w:rFonts w:cs="Arial"/>
              <w:sz w:val="16"/>
              <w:szCs w:val="16"/>
            </w:rPr>
            <w:fldChar w:fldCharType="separate"/>
          </w:r>
          <w:r w:rsidR="00434A4B">
            <w:rPr>
              <w:rFonts w:cs="Arial"/>
              <w:noProof/>
              <w:sz w:val="16"/>
              <w:szCs w:val="16"/>
            </w:rPr>
            <w:t>1</w:t>
          </w:r>
          <w:r w:rsidRPr="00FA3A35">
            <w:rPr>
              <w:rFonts w:cs="Arial"/>
              <w:sz w:val="16"/>
              <w:szCs w:val="16"/>
            </w:rPr>
            <w:fldChar w:fldCharType="end"/>
          </w:r>
        </w:p>
      </w:tc>
    </w:tr>
    <w:tr w:rsidR="000D3F83" w:rsidRPr="00FA3A35" w14:paraId="5456E345" w14:textId="77777777" w:rsidTr="006618CF">
      <w:tc>
        <w:tcPr>
          <w:tcW w:w="1811" w:type="dxa"/>
          <w:vAlign w:val="center"/>
        </w:tcPr>
        <w:p w14:paraId="655E4B9C" w14:textId="77777777" w:rsidR="000D3F83" w:rsidRPr="00FA3A35" w:rsidRDefault="000D3F83" w:rsidP="00474259">
          <w:pPr>
            <w:pStyle w:val="Fuzeile"/>
            <w:ind w:right="-83"/>
            <w:rPr>
              <w:rFonts w:cs="Arial"/>
              <w:sz w:val="16"/>
              <w:szCs w:val="16"/>
            </w:rPr>
          </w:pPr>
          <w:r w:rsidRPr="00FA3A35">
            <w:rPr>
              <w:rFonts w:cs="Arial"/>
              <w:sz w:val="16"/>
              <w:szCs w:val="16"/>
            </w:rPr>
            <w:t>Datum:</w:t>
          </w:r>
        </w:p>
      </w:tc>
      <w:tc>
        <w:tcPr>
          <w:tcW w:w="1113" w:type="dxa"/>
          <w:vAlign w:val="center"/>
        </w:tcPr>
        <w:p w14:paraId="6D879B4D" w14:textId="42C3165A" w:rsidR="000D3F83" w:rsidRPr="00FA3A35" w:rsidRDefault="00F40399" w:rsidP="00474259">
          <w:pPr>
            <w:pStyle w:val="Fuzeile"/>
            <w:ind w:right="-83"/>
            <w:rPr>
              <w:rFonts w:cs="Arial"/>
              <w:sz w:val="16"/>
              <w:szCs w:val="16"/>
            </w:rPr>
          </w:pPr>
          <w:r>
            <w:rPr>
              <w:rFonts w:cs="Arial"/>
              <w:sz w:val="16"/>
              <w:szCs w:val="16"/>
            </w:rPr>
            <w:t>04.2020</w:t>
          </w:r>
        </w:p>
      </w:tc>
      <w:tc>
        <w:tcPr>
          <w:tcW w:w="1114" w:type="dxa"/>
          <w:vAlign w:val="center"/>
        </w:tcPr>
        <w:p w14:paraId="065DCDF1" w14:textId="5BE7C6AF" w:rsidR="000D3F83" w:rsidRPr="00FA3A35" w:rsidRDefault="000D3F83" w:rsidP="00474259">
          <w:pPr>
            <w:pStyle w:val="Fuzeile"/>
            <w:ind w:right="-83"/>
            <w:rPr>
              <w:rFonts w:cs="Arial"/>
              <w:sz w:val="16"/>
              <w:szCs w:val="16"/>
            </w:rPr>
          </w:pPr>
        </w:p>
      </w:tc>
      <w:tc>
        <w:tcPr>
          <w:tcW w:w="1114" w:type="dxa"/>
          <w:vAlign w:val="center"/>
        </w:tcPr>
        <w:p w14:paraId="57B2387E" w14:textId="77777777" w:rsidR="000D3F83" w:rsidRPr="00FA3A35" w:rsidRDefault="000D3F83" w:rsidP="00474259">
          <w:pPr>
            <w:pStyle w:val="Fuzeile"/>
            <w:ind w:right="-83"/>
            <w:rPr>
              <w:rFonts w:cs="Arial"/>
              <w:sz w:val="16"/>
              <w:szCs w:val="16"/>
            </w:rPr>
          </w:pPr>
        </w:p>
      </w:tc>
      <w:tc>
        <w:tcPr>
          <w:tcW w:w="1114" w:type="dxa"/>
          <w:vAlign w:val="center"/>
        </w:tcPr>
        <w:p w14:paraId="6B2E1E7A" w14:textId="77777777" w:rsidR="000D3F83" w:rsidRPr="00FA3A35" w:rsidRDefault="000D3F83" w:rsidP="00474259">
          <w:pPr>
            <w:pStyle w:val="Fuzeile"/>
            <w:ind w:right="-83"/>
            <w:rPr>
              <w:rFonts w:cs="Arial"/>
              <w:sz w:val="16"/>
              <w:szCs w:val="16"/>
            </w:rPr>
          </w:pPr>
        </w:p>
      </w:tc>
      <w:tc>
        <w:tcPr>
          <w:tcW w:w="1114" w:type="dxa"/>
          <w:vAlign w:val="center"/>
        </w:tcPr>
        <w:p w14:paraId="63540CF4" w14:textId="77777777" w:rsidR="000D3F83" w:rsidRPr="00FA3A35" w:rsidRDefault="000D3F83" w:rsidP="00474259">
          <w:pPr>
            <w:pStyle w:val="Fuzeile"/>
            <w:ind w:right="-83"/>
            <w:rPr>
              <w:rFonts w:cs="Arial"/>
              <w:sz w:val="16"/>
              <w:szCs w:val="16"/>
            </w:rPr>
          </w:pPr>
        </w:p>
      </w:tc>
      <w:tc>
        <w:tcPr>
          <w:tcW w:w="1114" w:type="dxa"/>
          <w:vAlign w:val="center"/>
        </w:tcPr>
        <w:p w14:paraId="2A81D65E" w14:textId="77777777" w:rsidR="000D3F83" w:rsidRPr="00FA3A35" w:rsidRDefault="000D3F83" w:rsidP="00474259">
          <w:pPr>
            <w:pStyle w:val="Fuzeile"/>
            <w:ind w:right="-83"/>
            <w:rPr>
              <w:rFonts w:cs="Arial"/>
              <w:sz w:val="16"/>
              <w:szCs w:val="16"/>
            </w:rPr>
          </w:pPr>
          <w:r w:rsidRPr="00FA3A35">
            <w:rPr>
              <w:rFonts w:cs="Arial"/>
              <w:sz w:val="16"/>
              <w:szCs w:val="16"/>
            </w:rPr>
            <w:t>Gültig ab:</w:t>
          </w:r>
        </w:p>
      </w:tc>
      <w:tc>
        <w:tcPr>
          <w:tcW w:w="1114" w:type="dxa"/>
          <w:vAlign w:val="center"/>
        </w:tcPr>
        <w:p w14:paraId="520992F0" w14:textId="77777777" w:rsidR="000D3F83" w:rsidRPr="00FA3A35" w:rsidRDefault="000D3F83" w:rsidP="00474259">
          <w:pPr>
            <w:pStyle w:val="Fuzeile"/>
            <w:ind w:right="-83"/>
            <w:rPr>
              <w:rFonts w:cs="Arial"/>
              <w:sz w:val="16"/>
              <w:szCs w:val="16"/>
            </w:rPr>
          </w:pPr>
        </w:p>
      </w:tc>
    </w:tr>
    <w:tr w:rsidR="00107196" w:rsidRPr="00FA3A35" w14:paraId="02D8B56F" w14:textId="77777777" w:rsidTr="006618CF">
      <w:tc>
        <w:tcPr>
          <w:tcW w:w="1811" w:type="dxa"/>
          <w:vAlign w:val="center"/>
        </w:tcPr>
        <w:p w14:paraId="24599EFE" w14:textId="77777777" w:rsidR="00107196" w:rsidRPr="00FA3A35" w:rsidRDefault="00107196" w:rsidP="00107196">
          <w:pPr>
            <w:pStyle w:val="Fuzeile"/>
            <w:ind w:right="-83"/>
            <w:rPr>
              <w:rFonts w:cs="Arial"/>
              <w:sz w:val="16"/>
              <w:szCs w:val="16"/>
            </w:rPr>
          </w:pPr>
          <w:r w:rsidRPr="00FA3A35">
            <w:rPr>
              <w:rFonts w:cs="Arial"/>
              <w:sz w:val="16"/>
              <w:szCs w:val="16"/>
            </w:rPr>
            <w:t>Erstellt/geändert:</w:t>
          </w:r>
        </w:p>
      </w:tc>
      <w:tc>
        <w:tcPr>
          <w:tcW w:w="1113" w:type="dxa"/>
          <w:vAlign w:val="center"/>
        </w:tcPr>
        <w:p w14:paraId="1D353058" w14:textId="67ED9EA1" w:rsidR="00107196" w:rsidRPr="00FA3A35" w:rsidRDefault="00107196" w:rsidP="00107196">
          <w:pPr>
            <w:pStyle w:val="Fuzeile"/>
            <w:ind w:right="-83"/>
            <w:rPr>
              <w:rFonts w:cs="Arial"/>
              <w:sz w:val="15"/>
              <w:szCs w:val="16"/>
            </w:rPr>
          </w:pPr>
          <w:proofErr w:type="spellStart"/>
          <w:r w:rsidRPr="00FA3A35">
            <w:rPr>
              <w:rFonts w:cs="Arial"/>
              <w:sz w:val="15"/>
              <w:szCs w:val="16"/>
            </w:rPr>
            <w:t>R.O.E.GmbH</w:t>
          </w:r>
          <w:proofErr w:type="spellEnd"/>
        </w:p>
      </w:tc>
      <w:tc>
        <w:tcPr>
          <w:tcW w:w="1114" w:type="dxa"/>
          <w:vAlign w:val="center"/>
        </w:tcPr>
        <w:p w14:paraId="1C8C710B" w14:textId="65BE12DF" w:rsidR="00107196" w:rsidRPr="00FA3A35" w:rsidRDefault="00107196" w:rsidP="00107196">
          <w:pPr>
            <w:pStyle w:val="Fuzeile"/>
            <w:ind w:right="-83"/>
            <w:rPr>
              <w:rFonts w:cs="Arial"/>
              <w:sz w:val="16"/>
              <w:szCs w:val="16"/>
            </w:rPr>
          </w:pPr>
        </w:p>
      </w:tc>
      <w:tc>
        <w:tcPr>
          <w:tcW w:w="1114" w:type="dxa"/>
          <w:vAlign w:val="center"/>
        </w:tcPr>
        <w:p w14:paraId="52D97B00" w14:textId="77777777" w:rsidR="00107196" w:rsidRPr="00FA3A35" w:rsidRDefault="00107196" w:rsidP="00107196">
          <w:pPr>
            <w:pStyle w:val="Fuzeile"/>
            <w:ind w:right="-83"/>
            <w:rPr>
              <w:rFonts w:cs="Arial"/>
              <w:sz w:val="16"/>
              <w:szCs w:val="16"/>
            </w:rPr>
          </w:pPr>
        </w:p>
      </w:tc>
      <w:tc>
        <w:tcPr>
          <w:tcW w:w="1114" w:type="dxa"/>
          <w:vAlign w:val="center"/>
        </w:tcPr>
        <w:p w14:paraId="7C509E31" w14:textId="77777777" w:rsidR="00107196" w:rsidRPr="00FA3A35" w:rsidRDefault="00107196" w:rsidP="00107196">
          <w:pPr>
            <w:pStyle w:val="Fuzeile"/>
            <w:ind w:right="-83"/>
            <w:rPr>
              <w:rFonts w:cs="Arial"/>
              <w:sz w:val="16"/>
              <w:szCs w:val="16"/>
            </w:rPr>
          </w:pPr>
        </w:p>
      </w:tc>
      <w:tc>
        <w:tcPr>
          <w:tcW w:w="1114" w:type="dxa"/>
          <w:vAlign w:val="center"/>
        </w:tcPr>
        <w:p w14:paraId="3BD1ACEC" w14:textId="77777777" w:rsidR="00107196" w:rsidRPr="00FA3A35" w:rsidRDefault="00107196" w:rsidP="00107196">
          <w:pPr>
            <w:pStyle w:val="Fuzeile"/>
            <w:ind w:right="-83"/>
            <w:rPr>
              <w:rFonts w:cs="Arial"/>
              <w:sz w:val="16"/>
              <w:szCs w:val="16"/>
            </w:rPr>
          </w:pPr>
        </w:p>
      </w:tc>
      <w:tc>
        <w:tcPr>
          <w:tcW w:w="1114" w:type="dxa"/>
          <w:shd w:val="clear" w:color="auto" w:fill="auto"/>
          <w:vAlign w:val="center"/>
        </w:tcPr>
        <w:p w14:paraId="75E39B98" w14:textId="77777777" w:rsidR="00107196" w:rsidRPr="00FA3A35" w:rsidRDefault="00107196" w:rsidP="00107196">
          <w:pPr>
            <w:pStyle w:val="Fuzeile"/>
            <w:ind w:right="-83"/>
            <w:rPr>
              <w:rFonts w:cs="Arial"/>
              <w:sz w:val="16"/>
              <w:szCs w:val="16"/>
            </w:rPr>
          </w:pPr>
        </w:p>
      </w:tc>
      <w:tc>
        <w:tcPr>
          <w:tcW w:w="1114" w:type="dxa"/>
          <w:vAlign w:val="center"/>
        </w:tcPr>
        <w:p w14:paraId="37D50976" w14:textId="77777777" w:rsidR="00107196" w:rsidRPr="00FA3A35" w:rsidRDefault="00107196" w:rsidP="00107196">
          <w:pPr>
            <w:pStyle w:val="Fuzeile"/>
            <w:ind w:right="-83"/>
            <w:rPr>
              <w:rFonts w:cs="Arial"/>
              <w:sz w:val="16"/>
              <w:szCs w:val="16"/>
            </w:rPr>
          </w:pPr>
        </w:p>
      </w:tc>
    </w:tr>
    <w:tr w:rsidR="00107196" w:rsidRPr="00FA3A35" w14:paraId="6F58E370" w14:textId="77777777" w:rsidTr="006618CF">
      <w:tc>
        <w:tcPr>
          <w:tcW w:w="1811" w:type="dxa"/>
          <w:vAlign w:val="center"/>
        </w:tcPr>
        <w:p w14:paraId="4EB51454" w14:textId="77777777" w:rsidR="00107196" w:rsidRPr="00FA3A35" w:rsidRDefault="00107196" w:rsidP="00107196">
          <w:pPr>
            <w:pStyle w:val="Fuzeile"/>
            <w:ind w:right="-83"/>
            <w:rPr>
              <w:rFonts w:cs="Arial"/>
              <w:sz w:val="16"/>
              <w:szCs w:val="16"/>
            </w:rPr>
          </w:pPr>
          <w:r w:rsidRPr="00FA3A35">
            <w:rPr>
              <w:rFonts w:cs="Arial"/>
              <w:sz w:val="16"/>
              <w:szCs w:val="16"/>
            </w:rPr>
            <w:t>Genehmigt:</w:t>
          </w:r>
        </w:p>
      </w:tc>
      <w:tc>
        <w:tcPr>
          <w:tcW w:w="1113" w:type="dxa"/>
          <w:vAlign w:val="center"/>
        </w:tcPr>
        <w:p w14:paraId="13D9AC6B" w14:textId="77777777" w:rsidR="00107196" w:rsidRPr="00FA3A35" w:rsidRDefault="00107196" w:rsidP="00107196">
          <w:pPr>
            <w:pStyle w:val="Fuzeile"/>
            <w:ind w:right="-83"/>
            <w:rPr>
              <w:rFonts w:cs="Arial"/>
              <w:sz w:val="16"/>
              <w:szCs w:val="16"/>
            </w:rPr>
          </w:pPr>
        </w:p>
      </w:tc>
      <w:tc>
        <w:tcPr>
          <w:tcW w:w="1114" w:type="dxa"/>
          <w:vAlign w:val="center"/>
        </w:tcPr>
        <w:p w14:paraId="20B83D72" w14:textId="77777777" w:rsidR="00107196" w:rsidRPr="00FA3A35" w:rsidRDefault="00107196" w:rsidP="00107196">
          <w:pPr>
            <w:pStyle w:val="Fuzeile"/>
            <w:ind w:right="-83"/>
            <w:rPr>
              <w:rFonts w:cs="Arial"/>
              <w:sz w:val="16"/>
              <w:szCs w:val="16"/>
            </w:rPr>
          </w:pPr>
        </w:p>
      </w:tc>
      <w:tc>
        <w:tcPr>
          <w:tcW w:w="1114" w:type="dxa"/>
          <w:vAlign w:val="center"/>
        </w:tcPr>
        <w:p w14:paraId="5719F735" w14:textId="77777777" w:rsidR="00107196" w:rsidRPr="00FA3A35" w:rsidRDefault="00107196" w:rsidP="00107196">
          <w:pPr>
            <w:pStyle w:val="Fuzeile"/>
            <w:ind w:right="-83"/>
            <w:rPr>
              <w:rFonts w:cs="Arial"/>
              <w:sz w:val="16"/>
              <w:szCs w:val="16"/>
            </w:rPr>
          </w:pPr>
        </w:p>
      </w:tc>
      <w:tc>
        <w:tcPr>
          <w:tcW w:w="1114" w:type="dxa"/>
          <w:vAlign w:val="center"/>
        </w:tcPr>
        <w:p w14:paraId="1A2DA052" w14:textId="77777777" w:rsidR="00107196" w:rsidRPr="00FA3A35" w:rsidRDefault="00107196" w:rsidP="00107196">
          <w:pPr>
            <w:pStyle w:val="Fuzeile"/>
            <w:ind w:right="-83"/>
            <w:rPr>
              <w:rFonts w:cs="Arial"/>
              <w:sz w:val="16"/>
              <w:szCs w:val="16"/>
            </w:rPr>
          </w:pPr>
        </w:p>
      </w:tc>
      <w:tc>
        <w:tcPr>
          <w:tcW w:w="1114" w:type="dxa"/>
          <w:vAlign w:val="center"/>
        </w:tcPr>
        <w:p w14:paraId="636C2B20" w14:textId="77777777" w:rsidR="00107196" w:rsidRPr="00FA3A35" w:rsidRDefault="00107196" w:rsidP="00107196">
          <w:pPr>
            <w:pStyle w:val="Fuzeile"/>
            <w:ind w:right="-83"/>
            <w:rPr>
              <w:rFonts w:cs="Arial"/>
              <w:sz w:val="16"/>
              <w:szCs w:val="16"/>
            </w:rPr>
          </w:pPr>
        </w:p>
      </w:tc>
      <w:tc>
        <w:tcPr>
          <w:tcW w:w="1114" w:type="dxa"/>
          <w:shd w:val="clear" w:color="auto" w:fill="auto"/>
          <w:vAlign w:val="center"/>
        </w:tcPr>
        <w:p w14:paraId="47BF5373" w14:textId="77777777" w:rsidR="00107196" w:rsidRPr="00FA3A35" w:rsidRDefault="00107196" w:rsidP="00107196">
          <w:pPr>
            <w:pStyle w:val="Fuzeile"/>
            <w:ind w:right="-83"/>
            <w:rPr>
              <w:rFonts w:cs="Arial"/>
              <w:sz w:val="16"/>
              <w:szCs w:val="16"/>
            </w:rPr>
          </w:pPr>
        </w:p>
      </w:tc>
      <w:tc>
        <w:tcPr>
          <w:tcW w:w="1114" w:type="dxa"/>
          <w:vAlign w:val="center"/>
        </w:tcPr>
        <w:p w14:paraId="11F1410A" w14:textId="77777777" w:rsidR="00107196" w:rsidRPr="00FA3A35" w:rsidRDefault="00107196" w:rsidP="00107196">
          <w:pPr>
            <w:pStyle w:val="Fuzeile"/>
            <w:ind w:right="-83"/>
            <w:rPr>
              <w:rFonts w:cs="Arial"/>
              <w:sz w:val="16"/>
              <w:szCs w:val="16"/>
            </w:rPr>
          </w:pPr>
        </w:p>
      </w:tc>
    </w:tr>
  </w:tbl>
  <w:p w14:paraId="225F203C" w14:textId="477AA927" w:rsidR="008000E0" w:rsidRPr="006528B9" w:rsidRDefault="000D3F83" w:rsidP="006528B9">
    <w:pPr>
      <w:spacing w:before="60"/>
      <w:rPr>
        <w:rFonts w:cs="Arial"/>
      </w:rPr>
    </w:pPr>
    <w:r w:rsidRPr="00FA3A35">
      <w:rPr>
        <w:rFonts w:cs="Arial"/>
        <w:b/>
        <w:sz w:val="16"/>
      </w:rPr>
      <w:t xml:space="preserve">© Copyright </w:t>
    </w:r>
    <w:r w:rsidR="00C97BCF" w:rsidRPr="00FA3A35">
      <w:rPr>
        <w:rFonts w:cs="Arial"/>
        <w:b/>
        <w:sz w:val="16"/>
      </w:rPr>
      <w:t>R.O.E. Online GmbH</w:t>
    </w:r>
    <w:r w:rsidRPr="00FA3A35">
      <w:rPr>
        <w:rFonts w:cs="Arial"/>
        <w:b/>
        <w:sz w:val="16"/>
      </w:rPr>
      <w:t>, keine unerlaubte Vervielfältigung, auch nicht auszugsweise!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9C4E8" w14:textId="77777777" w:rsidR="002026AA" w:rsidRDefault="002026AA">
      <w:r>
        <w:separator/>
      </w:r>
    </w:p>
  </w:footnote>
  <w:footnote w:type="continuationSeparator" w:id="0">
    <w:p w14:paraId="02765B52" w14:textId="77777777" w:rsidR="002026AA" w:rsidRDefault="002026AA">
      <w:r>
        <w:continuationSeparator/>
      </w:r>
    </w:p>
  </w:footnote>
  <w:footnote w:id="1">
    <w:p w14:paraId="4DAB8BAF" w14:textId="77777777" w:rsidR="00662032" w:rsidRDefault="00662032" w:rsidP="00662032">
      <w:pPr>
        <w:pStyle w:val="Funotentext"/>
      </w:pPr>
      <w:r>
        <w:rPr>
          <w:rStyle w:val="Funotenzeichen"/>
        </w:rPr>
        <w:footnoteRef/>
      </w:r>
      <w:r>
        <w:t xml:space="preserve"> In Anlehnung an das GDV-Merkblatt zur Schadensverhüttung </w:t>
      </w:r>
      <w:proofErr w:type="spellStart"/>
      <w:r>
        <w:t>VdS</w:t>
      </w:r>
      <w:proofErr w:type="spellEnd"/>
      <w:r>
        <w:t xml:space="preserve"> 3103 „Lithium Batterien“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6"/>
      <w:gridCol w:w="5026"/>
      <w:gridCol w:w="2236"/>
    </w:tblGrid>
    <w:tr w:rsidR="000D3F83" w:rsidRPr="00A866DC" w14:paraId="5E7C5E53" w14:textId="77777777" w:rsidTr="006618CF">
      <w:trPr>
        <w:trHeight w:val="841"/>
      </w:trPr>
      <w:tc>
        <w:tcPr>
          <w:tcW w:w="2346" w:type="dxa"/>
          <w:vAlign w:val="center"/>
        </w:tcPr>
        <w:p w14:paraId="41ED86DD" w14:textId="433C6A28" w:rsidR="000D3F83" w:rsidRPr="00A866DC" w:rsidRDefault="0094407D" w:rsidP="00784E2E">
          <w:pPr>
            <w:pStyle w:val="MittleresRaster21"/>
            <w:jc w:val="center"/>
            <w:rPr>
              <w:rFonts w:ascii="Arial" w:hAnsi="Arial" w:cs="Arial"/>
              <w:sz w:val="18"/>
            </w:rPr>
          </w:pPr>
          <w:r>
            <w:rPr>
              <w:rFonts w:ascii="Arial" w:hAnsi="Arial" w:cs="Arial"/>
              <w:noProof/>
              <w:sz w:val="18"/>
            </w:rPr>
            <w:drawing>
              <wp:inline distT="0" distB="0" distL="0" distR="0" wp14:anchorId="7FC146BC" wp14:editId="75413510">
                <wp:extent cx="454025" cy="454025"/>
                <wp:effectExtent l="0" t="0" r="3175" b="3175"/>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54025" cy="454025"/>
                        </a:xfrm>
                        <a:prstGeom prst="rect">
                          <a:avLst/>
                        </a:prstGeom>
                      </pic:spPr>
                    </pic:pic>
                  </a:graphicData>
                </a:graphic>
              </wp:inline>
            </w:drawing>
          </w:r>
        </w:p>
      </w:tc>
      <w:tc>
        <w:tcPr>
          <w:tcW w:w="5026" w:type="dxa"/>
          <w:vAlign w:val="center"/>
        </w:tcPr>
        <w:p w14:paraId="505BA5E6" w14:textId="77777777" w:rsidR="000D3F83" w:rsidRPr="00A866DC" w:rsidRDefault="000D3F83" w:rsidP="00474259">
          <w:pPr>
            <w:jc w:val="center"/>
            <w:rPr>
              <w:rFonts w:cs="Arial"/>
              <w:b/>
              <w:sz w:val="36"/>
              <w:szCs w:val="36"/>
            </w:rPr>
          </w:pPr>
          <w:r w:rsidRPr="00A866DC">
            <w:rPr>
              <w:rFonts w:cs="Arial"/>
              <w:b/>
              <w:sz w:val="36"/>
              <w:szCs w:val="36"/>
            </w:rPr>
            <w:t>Kurzunterweisung</w:t>
          </w:r>
        </w:p>
      </w:tc>
      <w:tc>
        <w:tcPr>
          <w:tcW w:w="2236" w:type="dxa"/>
          <w:vAlign w:val="center"/>
        </w:tcPr>
        <w:p w14:paraId="66F84BAF" w14:textId="77777777" w:rsidR="000D3F83" w:rsidRPr="00A866DC" w:rsidRDefault="00C97BCF" w:rsidP="00C97BCF">
          <w:pPr>
            <w:jc w:val="center"/>
            <w:rPr>
              <w:rFonts w:cs="Arial"/>
            </w:rPr>
          </w:pPr>
          <w:r w:rsidRPr="0099744C">
            <w:rPr>
              <w:rFonts w:cs="Arial"/>
              <w:noProof/>
              <w:sz w:val="22"/>
            </w:rPr>
            <w:t>Firmenlogo</w:t>
          </w:r>
        </w:p>
      </w:tc>
    </w:tr>
    <w:tr w:rsidR="000D3F83" w:rsidRPr="00BC2EF4" w14:paraId="592200E8" w14:textId="77777777" w:rsidTr="006618CF">
      <w:trPr>
        <w:trHeight w:val="832"/>
      </w:trPr>
      <w:tc>
        <w:tcPr>
          <w:tcW w:w="2346" w:type="dxa"/>
          <w:vAlign w:val="center"/>
        </w:tcPr>
        <w:p w14:paraId="643B899D" w14:textId="7C6A04EC" w:rsidR="000D3F83" w:rsidRPr="0099744C" w:rsidRDefault="000D3F83" w:rsidP="00474259">
          <w:pPr>
            <w:jc w:val="center"/>
            <w:rPr>
              <w:rFonts w:cs="Arial"/>
              <w:sz w:val="22"/>
            </w:rPr>
          </w:pPr>
          <w:r w:rsidRPr="0099744C">
            <w:rPr>
              <w:rFonts w:cs="Arial"/>
              <w:b/>
              <w:sz w:val="22"/>
            </w:rPr>
            <w:t>UW_KU_</w:t>
          </w:r>
          <w:r w:rsidR="002058F1" w:rsidRPr="0099744C">
            <w:rPr>
              <w:rFonts w:cs="Arial"/>
              <w:b/>
              <w:sz w:val="22"/>
            </w:rPr>
            <w:t>1</w:t>
          </w:r>
          <w:r w:rsidR="00F40399">
            <w:rPr>
              <w:rFonts w:cs="Arial"/>
              <w:b/>
              <w:sz w:val="22"/>
            </w:rPr>
            <w:t>7</w:t>
          </w:r>
        </w:p>
      </w:tc>
      <w:tc>
        <w:tcPr>
          <w:tcW w:w="5026" w:type="dxa"/>
          <w:vAlign w:val="center"/>
        </w:tcPr>
        <w:p w14:paraId="5B1B48B7" w14:textId="634F829D" w:rsidR="000D3F83" w:rsidRPr="00BC2EF4" w:rsidRDefault="003C10F4" w:rsidP="00F40399">
          <w:pPr>
            <w:jc w:val="center"/>
            <w:rPr>
              <w:rFonts w:cs="Arial"/>
              <w:sz w:val="28"/>
              <w:szCs w:val="28"/>
            </w:rPr>
          </w:pPr>
          <w:r>
            <w:rPr>
              <w:szCs w:val="24"/>
            </w:rPr>
            <w:t>Umgang mit Lithium Energiespeicher</w:t>
          </w:r>
        </w:p>
      </w:tc>
      <w:tc>
        <w:tcPr>
          <w:tcW w:w="2236" w:type="dxa"/>
          <w:vAlign w:val="center"/>
        </w:tcPr>
        <w:p w14:paraId="40C177E9" w14:textId="77777777" w:rsidR="000D3F83" w:rsidRPr="00BC2EF4" w:rsidRDefault="000D3F83" w:rsidP="00474259">
          <w:pPr>
            <w:jc w:val="center"/>
            <w:rPr>
              <w:rFonts w:cs="Arial"/>
            </w:rPr>
          </w:pPr>
        </w:p>
      </w:tc>
    </w:tr>
  </w:tbl>
  <w:p w14:paraId="7AECEA50" w14:textId="77777777" w:rsidR="008000E0" w:rsidRDefault="008000E0" w:rsidP="00E653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3AA1"/>
    <w:multiLevelType w:val="hybridMultilevel"/>
    <w:tmpl w:val="5754CC8E"/>
    <w:lvl w:ilvl="0" w:tplc="D320FFD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AF1014"/>
    <w:multiLevelType w:val="hybridMultilevel"/>
    <w:tmpl w:val="FEDE4E18"/>
    <w:lvl w:ilvl="0" w:tplc="7B3C3C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FE2EDD"/>
    <w:multiLevelType w:val="hybridMultilevel"/>
    <w:tmpl w:val="333E4F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E4F2E"/>
    <w:multiLevelType w:val="hybridMultilevel"/>
    <w:tmpl w:val="165AC218"/>
    <w:lvl w:ilvl="0" w:tplc="04070001">
      <w:start w:val="1"/>
      <w:numFmt w:val="bullet"/>
      <w:lvlText w:val=""/>
      <w:lvlJc w:val="left"/>
      <w:pPr>
        <w:ind w:left="1584" w:hanging="360"/>
      </w:pPr>
      <w:rPr>
        <w:rFonts w:ascii="Symbol" w:hAnsi="Symbol" w:hint="default"/>
      </w:rPr>
    </w:lvl>
    <w:lvl w:ilvl="1" w:tplc="04070003">
      <w:start w:val="1"/>
      <w:numFmt w:val="bullet"/>
      <w:lvlText w:val="o"/>
      <w:lvlJc w:val="left"/>
      <w:pPr>
        <w:ind w:left="2304" w:hanging="360"/>
      </w:pPr>
      <w:rPr>
        <w:rFonts w:ascii="Courier New" w:hAnsi="Courier New" w:cs="Courier New" w:hint="default"/>
      </w:rPr>
    </w:lvl>
    <w:lvl w:ilvl="2" w:tplc="04070005">
      <w:start w:val="1"/>
      <w:numFmt w:val="bullet"/>
      <w:lvlText w:val=""/>
      <w:lvlJc w:val="left"/>
      <w:pPr>
        <w:ind w:left="3024" w:hanging="360"/>
      </w:pPr>
      <w:rPr>
        <w:rFonts w:ascii="Wingdings" w:hAnsi="Wingdings" w:hint="default"/>
      </w:rPr>
    </w:lvl>
    <w:lvl w:ilvl="3" w:tplc="04070001" w:tentative="1">
      <w:start w:val="1"/>
      <w:numFmt w:val="bullet"/>
      <w:lvlText w:val=""/>
      <w:lvlJc w:val="left"/>
      <w:pPr>
        <w:ind w:left="3744" w:hanging="360"/>
      </w:pPr>
      <w:rPr>
        <w:rFonts w:ascii="Symbol" w:hAnsi="Symbol" w:hint="default"/>
      </w:rPr>
    </w:lvl>
    <w:lvl w:ilvl="4" w:tplc="04070003" w:tentative="1">
      <w:start w:val="1"/>
      <w:numFmt w:val="bullet"/>
      <w:lvlText w:val="o"/>
      <w:lvlJc w:val="left"/>
      <w:pPr>
        <w:ind w:left="4464" w:hanging="360"/>
      </w:pPr>
      <w:rPr>
        <w:rFonts w:ascii="Courier New" w:hAnsi="Courier New" w:cs="Courier New" w:hint="default"/>
      </w:rPr>
    </w:lvl>
    <w:lvl w:ilvl="5" w:tplc="04070005" w:tentative="1">
      <w:start w:val="1"/>
      <w:numFmt w:val="bullet"/>
      <w:lvlText w:val=""/>
      <w:lvlJc w:val="left"/>
      <w:pPr>
        <w:ind w:left="5184" w:hanging="360"/>
      </w:pPr>
      <w:rPr>
        <w:rFonts w:ascii="Wingdings" w:hAnsi="Wingdings" w:hint="default"/>
      </w:rPr>
    </w:lvl>
    <w:lvl w:ilvl="6" w:tplc="04070001" w:tentative="1">
      <w:start w:val="1"/>
      <w:numFmt w:val="bullet"/>
      <w:lvlText w:val=""/>
      <w:lvlJc w:val="left"/>
      <w:pPr>
        <w:ind w:left="5904" w:hanging="360"/>
      </w:pPr>
      <w:rPr>
        <w:rFonts w:ascii="Symbol" w:hAnsi="Symbol" w:hint="default"/>
      </w:rPr>
    </w:lvl>
    <w:lvl w:ilvl="7" w:tplc="04070003" w:tentative="1">
      <w:start w:val="1"/>
      <w:numFmt w:val="bullet"/>
      <w:lvlText w:val="o"/>
      <w:lvlJc w:val="left"/>
      <w:pPr>
        <w:ind w:left="6624" w:hanging="360"/>
      </w:pPr>
      <w:rPr>
        <w:rFonts w:ascii="Courier New" w:hAnsi="Courier New" w:cs="Courier New" w:hint="default"/>
      </w:rPr>
    </w:lvl>
    <w:lvl w:ilvl="8" w:tplc="04070005" w:tentative="1">
      <w:start w:val="1"/>
      <w:numFmt w:val="bullet"/>
      <w:lvlText w:val=""/>
      <w:lvlJc w:val="left"/>
      <w:pPr>
        <w:ind w:left="7344" w:hanging="360"/>
      </w:pPr>
      <w:rPr>
        <w:rFonts w:ascii="Wingdings" w:hAnsi="Wingdings" w:hint="default"/>
      </w:rPr>
    </w:lvl>
  </w:abstractNum>
  <w:abstractNum w:abstractNumId="4" w15:restartNumberingAfterBreak="0">
    <w:nsid w:val="109549ED"/>
    <w:multiLevelType w:val="hybridMultilevel"/>
    <w:tmpl w:val="B17A377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5A01D0F"/>
    <w:multiLevelType w:val="hybridMultilevel"/>
    <w:tmpl w:val="0B70461C"/>
    <w:lvl w:ilvl="0" w:tplc="04070017">
      <w:start w:val="1"/>
      <w:numFmt w:val="lowerLetter"/>
      <w:lvlText w:val="%1)"/>
      <w:lvlJc w:val="left"/>
      <w:pPr>
        <w:ind w:left="360" w:hanging="360"/>
      </w:pPr>
    </w:lvl>
    <w:lvl w:ilvl="1" w:tplc="04070019" w:tentative="1">
      <w:start w:val="1"/>
      <w:numFmt w:val="lowerLetter"/>
      <w:lvlText w:val="%2."/>
      <w:lvlJc w:val="left"/>
      <w:pPr>
        <w:ind w:left="2226" w:hanging="360"/>
      </w:pPr>
    </w:lvl>
    <w:lvl w:ilvl="2" w:tplc="0407001B" w:tentative="1">
      <w:start w:val="1"/>
      <w:numFmt w:val="lowerRoman"/>
      <w:lvlText w:val="%3."/>
      <w:lvlJc w:val="right"/>
      <w:pPr>
        <w:ind w:left="2946" w:hanging="180"/>
      </w:pPr>
    </w:lvl>
    <w:lvl w:ilvl="3" w:tplc="0407000F" w:tentative="1">
      <w:start w:val="1"/>
      <w:numFmt w:val="decimal"/>
      <w:lvlText w:val="%4."/>
      <w:lvlJc w:val="left"/>
      <w:pPr>
        <w:ind w:left="3666" w:hanging="360"/>
      </w:pPr>
    </w:lvl>
    <w:lvl w:ilvl="4" w:tplc="04070019" w:tentative="1">
      <w:start w:val="1"/>
      <w:numFmt w:val="lowerLetter"/>
      <w:lvlText w:val="%5."/>
      <w:lvlJc w:val="left"/>
      <w:pPr>
        <w:ind w:left="4386" w:hanging="360"/>
      </w:pPr>
    </w:lvl>
    <w:lvl w:ilvl="5" w:tplc="0407001B" w:tentative="1">
      <w:start w:val="1"/>
      <w:numFmt w:val="lowerRoman"/>
      <w:lvlText w:val="%6."/>
      <w:lvlJc w:val="right"/>
      <w:pPr>
        <w:ind w:left="5106" w:hanging="180"/>
      </w:pPr>
    </w:lvl>
    <w:lvl w:ilvl="6" w:tplc="0407000F" w:tentative="1">
      <w:start w:val="1"/>
      <w:numFmt w:val="decimal"/>
      <w:lvlText w:val="%7."/>
      <w:lvlJc w:val="left"/>
      <w:pPr>
        <w:ind w:left="5826" w:hanging="360"/>
      </w:pPr>
    </w:lvl>
    <w:lvl w:ilvl="7" w:tplc="04070019" w:tentative="1">
      <w:start w:val="1"/>
      <w:numFmt w:val="lowerLetter"/>
      <w:lvlText w:val="%8."/>
      <w:lvlJc w:val="left"/>
      <w:pPr>
        <w:ind w:left="6546" w:hanging="360"/>
      </w:pPr>
    </w:lvl>
    <w:lvl w:ilvl="8" w:tplc="0407001B" w:tentative="1">
      <w:start w:val="1"/>
      <w:numFmt w:val="lowerRoman"/>
      <w:lvlText w:val="%9."/>
      <w:lvlJc w:val="right"/>
      <w:pPr>
        <w:ind w:left="7266" w:hanging="180"/>
      </w:pPr>
    </w:lvl>
  </w:abstractNum>
  <w:abstractNum w:abstractNumId="6" w15:restartNumberingAfterBreak="0">
    <w:nsid w:val="310F3891"/>
    <w:multiLevelType w:val="hybridMultilevel"/>
    <w:tmpl w:val="823A60F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4B695A"/>
    <w:multiLevelType w:val="hybridMultilevel"/>
    <w:tmpl w:val="D7DE1D8E"/>
    <w:lvl w:ilvl="0" w:tplc="04070001">
      <w:start w:val="1"/>
      <w:numFmt w:val="bullet"/>
      <w:lvlText w:val=""/>
      <w:lvlJc w:val="left"/>
      <w:pPr>
        <w:ind w:left="1584" w:hanging="360"/>
      </w:pPr>
      <w:rPr>
        <w:rFonts w:ascii="Symbol" w:hAnsi="Symbol" w:hint="default"/>
      </w:rPr>
    </w:lvl>
    <w:lvl w:ilvl="1" w:tplc="04070003">
      <w:start w:val="1"/>
      <w:numFmt w:val="bullet"/>
      <w:lvlText w:val="o"/>
      <w:lvlJc w:val="left"/>
      <w:pPr>
        <w:ind w:left="2304" w:hanging="360"/>
      </w:pPr>
      <w:rPr>
        <w:rFonts w:ascii="Courier New" w:hAnsi="Courier New" w:cs="Courier New" w:hint="default"/>
      </w:rPr>
    </w:lvl>
    <w:lvl w:ilvl="2" w:tplc="04070005" w:tentative="1">
      <w:start w:val="1"/>
      <w:numFmt w:val="bullet"/>
      <w:lvlText w:val=""/>
      <w:lvlJc w:val="left"/>
      <w:pPr>
        <w:ind w:left="3024" w:hanging="360"/>
      </w:pPr>
      <w:rPr>
        <w:rFonts w:ascii="Wingdings" w:hAnsi="Wingdings" w:hint="default"/>
      </w:rPr>
    </w:lvl>
    <w:lvl w:ilvl="3" w:tplc="04070001" w:tentative="1">
      <w:start w:val="1"/>
      <w:numFmt w:val="bullet"/>
      <w:lvlText w:val=""/>
      <w:lvlJc w:val="left"/>
      <w:pPr>
        <w:ind w:left="3744" w:hanging="360"/>
      </w:pPr>
      <w:rPr>
        <w:rFonts w:ascii="Symbol" w:hAnsi="Symbol" w:hint="default"/>
      </w:rPr>
    </w:lvl>
    <w:lvl w:ilvl="4" w:tplc="04070003" w:tentative="1">
      <w:start w:val="1"/>
      <w:numFmt w:val="bullet"/>
      <w:lvlText w:val="o"/>
      <w:lvlJc w:val="left"/>
      <w:pPr>
        <w:ind w:left="4464" w:hanging="360"/>
      </w:pPr>
      <w:rPr>
        <w:rFonts w:ascii="Courier New" w:hAnsi="Courier New" w:cs="Courier New" w:hint="default"/>
      </w:rPr>
    </w:lvl>
    <w:lvl w:ilvl="5" w:tplc="04070005" w:tentative="1">
      <w:start w:val="1"/>
      <w:numFmt w:val="bullet"/>
      <w:lvlText w:val=""/>
      <w:lvlJc w:val="left"/>
      <w:pPr>
        <w:ind w:left="5184" w:hanging="360"/>
      </w:pPr>
      <w:rPr>
        <w:rFonts w:ascii="Wingdings" w:hAnsi="Wingdings" w:hint="default"/>
      </w:rPr>
    </w:lvl>
    <w:lvl w:ilvl="6" w:tplc="04070001" w:tentative="1">
      <w:start w:val="1"/>
      <w:numFmt w:val="bullet"/>
      <w:lvlText w:val=""/>
      <w:lvlJc w:val="left"/>
      <w:pPr>
        <w:ind w:left="5904" w:hanging="360"/>
      </w:pPr>
      <w:rPr>
        <w:rFonts w:ascii="Symbol" w:hAnsi="Symbol" w:hint="default"/>
      </w:rPr>
    </w:lvl>
    <w:lvl w:ilvl="7" w:tplc="04070003" w:tentative="1">
      <w:start w:val="1"/>
      <w:numFmt w:val="bullet"/>
      <w:lvlText w:val="o"/>
      <w:lvlJc w:val="left"/>
      <w:pPr>
        <w:ind w:left="6624" w:hanging="360"/>
      </w:pPr>
      <w:rPr>
        <w:rFonts w:ascii="Courier New" w:hAnsi="Courier New" w:cs="Courier New" w:hint="default"/>
      </w:rPr>
    </w:lvl>
    <w:lvl w:ilvl="8" w:tplc="04070005" w:tentative="1">
      <w:start w:val="1"/>
      <w:numFmt w:val="bullet"/>
      <w:lvlText w:val=""/>
      <w:lvlJc w:val="left"/>
      <w:pPr>
        <w:ind w:left="7344" w:hanging="360"/>
      </w:pPr>
      <w:rPr>
        <w:rFonts w:ascii="Wingdings" w:hAnsi="Wingdings" w:hint="default"/>
      </w:rPr>
    </w:lvl>
  </w:abstractNum>
  <w:abstractNum w:abstractNumId="8" w15:restartNumberingAfterBreak="0">
    <w:nsid w:val="38AD7148"/>
    <w:multiLevelType w:val="hybridMultilevel"/>
    <w:tmpl w:val="F482C2F2"/>
    <w:lvl w:ilvl="0" w:tplc="04070001">
      <w:start w:val="1"/>
      <w:numFmt w:val="bullet"/>
      <w:lvlText w:val=""/>
      <w:lvlJc w:val="left"/>
      <w:pPr>
        <w:ind w:left="720" w:hanging="360"/>
      </w:pPr>
      <w:rPr>
        <w:rFonts w:ascii="Symbol" w:hAnsi="Symbol" w:hint="default"/>
        <w:color w:val="00000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E5510A8"/>
    <w:multiLevelType w:val="hybridMultilevel"/>
    <w:tmpl w:val="3CE20A8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A5D1611"/>
    <w:multiLevelType w:val="hybridMultilevel"/>
    <w:tmpl w:val="954611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D14335C"/>
    <w:multiLevelType w:val="hybridMultilevel"/>
    <w:tmpl w:val="B36014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0B27DE0"/>
    <w:multiLevelType w:val="hybridMultilevel"/>
    <w:tmpl w:val="79145202"/>
    <w:lvl w:ilvl="0" w:tplc="9F96D76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CD50E6B"/>
    <w:multiLevelType w:val="hybridMultilevel"/>
    <w:tmpl w:val="8966909A"/>
    <w:lvl w:ilvl="0" w:tplc="04070001">
      <w:start w:val="1"/>
      <w:numFmt w:val="bullet"/>
      <w:lvlText w:val=""/>
      <w:lvlJc w:val="left"/>
      <w:pPr>
        <w:ind w:left="720" w:hanging="360"/>
      </w:pPr>
      <w:rPr>
        <w:rFonts w:ascii="Symbol" w:hAnsi="Symbo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1F11AE7"/>
    <w:multiLevelType w:val="hybridMultilevel"/>
    <w:tmpl w:val="4FB8D2F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706F28A4"/>
    <w:multiLevelType w:val="hybridMultilevel"/>
    <w:tmpl w:val="94E4752A"/>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6" w15:restartNumberingAfterBreak="0">
    <w:nsid w:val="70E83F44"/>
    <w:multiLevelType w:val="hybridMultilevel"/>
    <w:tmpl w:val="C99ABF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7263DB0"/>
    <w:multiLevelType w:val="hybridMultilevel"/>
    <w:tmpl w:val="BDFE28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B041321"/>
    <w:multiLevelType w:val="hybridMultilevel"/>
    <w:tmpl w:val="32369360"/>
    <w:lvl w:ilvl="0" w:tplc="04070017">
      <w:start w:val="1"/>
      <w:numFmt w:val="lowerLetter"/>
      <w:lvlText w:val="%1)"/>
      <w:lvlJc w:val="left"/>
      <w:pPr>
        <w:ind w:left="1506" w:hanging="360"/>
      </w:pPr>
    </w:lvl>
    <w:lvl w:ilvl="1" w:tplc="04070019" w:tentative="1">
      <w:start w:val="1"/>
      <w:numFmt w:val="lowerLetter"/>
      <w:lvlText w:val="%2."/>
      <w:lvlJc w:val="left"/>
      <w:pPr>
        <w:ind w:left="2226" w:hanging="360"/>
      </w:pPr>
    </w:lvl>
    <w:lvl w:ilvl="2" w:tplc="0407001B" w:tentative="1">
      <w:start w:val="1"/>
      <w:numFmt w:val="lowerRoman"/>
      <w:lvlText w:val="%3."/>
      <w:lvlJc w:val="right"/>
      <w:pPr>
        <w:ind w:left="2946" w:hanging="180"/>
      </w:pPr>
    </w:lvl>
    <w:lvl w:ilvl="3" w:tplc="0407000F" w:tentative="1">
      <w:start w:val="1"/>
      <w:numFmt w:val="decimal"/>
      <w:lvlText w:val="%4."/>
      <w:lvlJc w:val="left"/>
      <w:pPr>
        <w:ind w:left="3666" w:hanging="360"/>
      </w:pPr>
    </w:lvl>
    <w:lvl w:ilvl="4" w:tplc="04070019" w:tentative="1">
      <w:start w:val="1"/>
      <w:numFmt w:val="lowerLetter"/>
      <w:lvlText w:val="%5."/>
      <w:lvlJc w:val="left"/>
      <w:pPr>
        <w:ind w:left="4386" w:hanging="360"/>
      </w:pPr>
    </w:lvl>
    <w:lvl w:ilvl="5" w:tplc="0407001B" w:tentative="1">
      <w:start w:val="1"/>
      <w:numFmt w:val="lowerRoman"/>
      <w:lvlText w:val="%6."/>
      <w:lvlJc w:val="right"/>
      <w:pPr>
        <w:ind w:left="5106" w:hanging="180"/>
      </w:pPr>
    </w:lvl>
    <w:lvl w:ilvl="6" w:tplc="0407000F" w:tentative="1">
      <w:start w:val="1"/>
      <w:numFmt w:val="decimal"/>
      <w:lvlText w:val="%7."/>
      <w:lvlJc w:val="left"/>
      <w:pPr>
        <w:ind w:left="5826" w:hanging="360"/>
      </w:pPr>
    </w:lvl>
    <w:lvl w:ilvl="7" w:tplc="04070019" w:tentative="1">
      <w:start w:val="1"/>
      <w:numFmt w:val="lowerLetter"/>
      <w:lvlText w:val="%8."/>
      <w:lvlJc w:val="left"/>
      <w:pPr>
        <w:ind w:left="6546" w:hanging="360"/>
      </w:pPr>
    </w:lvl>
    <w:lvl w:ilvl="8" w:tplc="0407001B" w:tentative="1">
      <w:start w:val="1"/>
      <w:numFmt w:val="lowerRoman"/>
      <w:lvlText w:val="%9."/>
      <w:lvlJc w:val="right"/>
      <w:pPr>
        <w:ind w:left="7266" w:hanging="180"/>
      </w:pPr>
    </w:lvl>
  </w:abstractNum>
  <w:abstractNum w:abstractNumId="19" w15:restartNumberingAfterBreak="0">
    <w:nsid w:val="7B651937"/>
    <w:multiLevelType w:val="multilevel"/>
    <w:tmpl w:val="2D08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0A4EC8"/>
    <w:multiLevelType w:val="hybridMultilevel"/>
    <w:tmpl w:val="0AAEF3BE"/>
    <w:lvl w:ilvl="0" w:tplc="04070001">
      <w:start w:val="1"/>
      <w:numFmt w:val="bullet"/>
      <w:lvlText w:val=""/>
      <w:lvlJc w:val="left"/>
      <w:pPr>
        <w:ind w:left="280" w:hanging="360"/>
      </w:pPr>
      <w:rPr>
        <w:rFonts w:ascii="Symbol" w:hAnsi="Symbol" w:hint="default"/>
      </w:rPr>
    </w:lvl>
    <w:lvl w:ilvl="1" w:tplc="04070003" w:tentative="1">
      <w:start w:val="1"/>
      <w:numFmt w:val="bullet"/>
      <w:lvlText w:val="o"/>
      <w:lvlJc w:val="left"/>
      <w:pPr>
        <w:ind w:left="1000" w:hanging="360"/>
      </w:pPr>
      <w:rPr>
        <w:rFonts w:ascii="Courier New" w:hAnsi="Courier New" w:cs="Courier New" w:hint="default"/>
      </w:rPr>
    </w:lvl>
    <w:lvl w:ilvl="2" w:tplc="04070005" w:tentative="1">
      <w:start w:val="1"/>
      <w:numFmt w:val="bullet"/>
      <w:lvlText w:val=""/>
      <w:lvlJc w:val="left"/>
      <w:pPr>
        <w:ind w:left="1720" w:hanging="360"/>
      </w:pPr>
      <w:rPr>
        <w:rFonts w:ascii="Wingdings" w:hAnsi="Wingdings" w:hint="default"/>
      </w:rPr>
    </w:lvl>
    <w:lvl w:ilvl="3" w:tplc="04070001" w:tentative="1">
      <w:start w:val="1"/>
      <w:numFmt w:val="bullet"/>
      <w:lvlText w:val=""/>
      <w:lvlJc w:val="left"/>
      <w:pPr>
        <w:ind w:left="2440" w:hanging="360"/>
      </w:pPr>
      <w:rPr>
        <w:rFonts w:ascii="Symbol" w:hAnsi="Symbol" w:hint="default"/>
      </w:rPr>
    </w:lvl>
    <w:lvl w:ilvl="4" w:tplc="04070003" w:tentative="1">
      <w:start w:val="1"/>
      <w:numFmt w:val="bullet"/>
      <w:lvlText w:val="o"/>
      <w:lvlJc w:val="left"/>
      <w:pPr>
        <w:ind w:left="3160" w:hanging="360"/>
      </w:pPr>
      <w:rPr>
        <w:rFonts w:ascii="Courier New" w:hAnsi="Courier New" w:cs="Courier New" w:hint="default"/>
      </w:rPr>
    </w:lvl>
    <w:lvl w:ilvl="5" w:tplc="04070005" w:tentative="1">
      <w:start w:val="1"/>
      <w:numFmt w:val="bullet"/>
      <w:lvlText w:val=""/>
      <w:lvlJc w:val="left"/>
      <w:pPr>
        <w:ind w:left="3880" w:hanging="360"/>
      </w:pPr>
      <w:rPr>
        <w:rFonts w:ascii="Wingdings" w:hAnsi="Wingdings" w:hint="default"/>
      </w:rPr>
    </w:lvl>
    <w:lvl w:ilvl="6" w:tplc="04070001" w:tentative="1">
      <w:start w:val="1"/>
      <w:numFmt w:val="bullet"/>
      <w:lvlText w:val=""/>
      <w:lvlJc w:val="left"/>
      <w:pPr>
        <w:ind w:left="4600" w:hanging="360"/>
      </w:pPr>
      <w:rPr>
        <w:rFonts w:ascii="Symbol" w:hAnsi="Symbol" w:hint="default"/>
      </w:rPr>
    </w:lvl>
    <w:lvl w:ilvl="7" w:tplc="04070003" w:tentative="1">
      <w:start w:val="1"/>
      <w:numFmt w:val="bullet"/>
      <w:lvlText w:val="o"/>
      <w:lvlJc w:val="left"/>
      <w:pPr>
        <w:ind w:left="5320" w:hanging="360"/>
      </w:pPr>
      <w:rPr>
        <w:rFonts w:ascii="Courier New" w:hAnsi="Courier New" w:cs="Courier New" w:hint="default"/>
      </w:rPr>
    </w:lvl>
    <w:lvl w:ilvl="8" w:tplc="04070005" w:tentative="1">
      <w:start w:val="1"/>
      <w:numFmt w:val="bullet"/>
      <w:lvlText w:val=""/>
      <w:lvlJc w:val="left"/>
      <w:pPr>
        <w:ind w:left="6040" w:hanging="360"/>
      </w:pPr>
      <w:rPr>
        <w:rFonts w:ascii="Wingdings" w:hAnsi="Wingdings" w:hint="default"/>
      </w:rPr>
    </w:lvl>
  </w:abstractNum>
  <w:num w:numId="1">
    <w:abstractNumId w:val="18"/>
  </w:num>
  <w:num w:numId="2">
    <w:abstractNumId w:val="20"/>
  </w:num>
  <w:num w:numId="3">
    <w:abstractNumId w:val="5"/>
  </w:num>
  <w:num w:numId="4">
    <w:abstractNumId w:val="0"/>
  </w:num>
  <w:num w:numId="5">
    <w:abstractNumId w:val="2"/>
  </w:num>
  <w:num w:numId="6">
    <w:abstractNumId w:val="17"/>
  </w:num>
  <w:num w:numId="7">
    <w:abstractNumId w:val="1"/>
  </w:num>
  <w:num w:numId="8">
    <w:abstractNumId w:val="15"/>
  </w:num>
  <w:num w:numId="9">
    <w:abstractNumId w:val="7"/>
  </w:num>
  <w:num w:numId="10">
    <w:abstractNumId w:val="10"/>
  </w:num>
  <w:num w:numId="11">
    <w:abstractNumId w:val="4"/>
  </w:num>
  <w:num w:numId="12">
    <w:abstractNumId w:val="3"/>
  </w:num>
  <w:num w:numId="13">
    <w:abstractNumId w:val="8"/>
  </w:num>
  <w:num w:numId="14">
    <w:abstractNumId w:val="13"/>
  </w:num>
  <w:num w:numId="15">
    <w:abstractNumId w:val="9"/>
  </w:num>
  <w:num w:numId="16">
    <w:abstractNumId w:val="19"/>
  </w:num>
  <w:num w:numId="17">
    <w:abstractNumId w:val="14"/>
  </w:num>
  <w:num w:numId="18">
    <w:abstractNumId w:val="11"/>
  </w:num>
  <w:num w:numId="19">
    <w:abstractNumId w:val="16"/>
  </w:num>
  <w:num w:numId="20">
    <w:abstractNumId w:val="6"/>
  </w:num>
  <w:num w:numId="2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485"/>
    <w:rsid w:val="0000677D"/>
    <w:rsid w:val="00007E03"/>
    <w:rsid w:val="00014CCE"/>
    <w:rsid w:val="00027F84"/>
    <w:rsid w:val="00032FDB"/>
    <w:rsid w:val="00033E2A"/>
    <w:rsid w:val="000353F4"/>
    <w:rsid w:val="00040E3F"/>
    <w:rsid w:val="00042C6C"/>
    <w:rsid w:val="00042CD4"/>
    <w:rsid w:val="00043813"/>
    <w:rsid w:val="00045D73"/>
    <w:rsid w:val="00047E60"/>
    <w:rsid w:val="00050B5F"/>
    <w:rsid w:val="00054DE8"/>
    <w:rsid w:val="00060250"/>
    <w:rsid w:val="000630CC"/>
    <w:rsid w:val="0006696B"/>
    <w:rsid w:val="00073D58"/>
    <w:rsid w:val="00080802"/>
    <w:rsid w:val="00081AF1"/>
    <w:rsid w:val="000857C9"/>
    <w:rsid w:val="000915AB"/>
    <w:rsid w:val="000931DA"/>
    <w:rsid w:val="00093697"/>
    <w:rsid w:val="000A2574"/>
    <w:rsid w:val="000A29B2"/>
    <w:rsid w:val="000A2BDE"/>
    <w:rsid w:val="000A3364"/>
    <w:rsid w:val="000A4040"/>
    <w:rsid w:val="000B0485"/>
    <w:rsid w:val="000B2871"/>
    <w:rsid w:val="000B5D66"/>
    <w:rsid w:val="000B63C1"/>
    <w:rsid w:val="000B728F"/>
    <w:rsid w:val="000C3F52"/>
    <w:rsid w:val="000D0A32"/>
    <w:rsid w:val="000D3F83"/>
    <w:rsid w:val="000E49B4"/>
    <w:rsid w:val="000E719E"/>
    <w:rsid w:val="000F2384"/>
    <w:rsid w:val="000F66A4"/>
    <w:rsid w:val="00103D8E"/>
    <w:rsid w:val="00107196"/>
    <w:rsid w:val="00107851"/>
    <w:rsid w:val="00107FF1"/>
    <w:rsid w:val="001122B9"/>
    <w:rsid w:val="00116C94"/>
    <w:rsid w:val="00117926"/>
    <w:rsid w:val="00117AA2"/>
    <w:rsid w:val="0012300F"/>
    <w:rsid w:val="00127406"/>
    <w:rsid w:val="00130BD6"/>
    <w:rsid w:val="001319BE"/>
    <w:rsid w:val="00133B78"/>
    <w:rsid w:val="00137228"/>
    <w:rsid w:val="00141349"/>
    <w:rsid w:val="00141F76"/>
    <w:rsid w:val="001441C9"/>
    <w:rsid w:val="0015462A"/>
    <w:rsid w:val="00156BFD"/>
    <w:rsid w:val="00162022"/>
    <w:rsid w:val="00165E85"/>
    <w:rsid w:val="00167B6C"/>
    <w:rsid w:val="00172154"/>
    <w:rsid w:val="001725EE"/>
    <w:rsid w:val="001824CF"/>
    <w:rsid w:val="0018338F"/>
    <w:rsid w:val="00183B14"/>
    <w:rsid w:val="001876DB"/>
    <w:rsid w:val="00192817"/>
    <w:rsid w:val="00195B36"/>
    <w:rsid w:val="00195CB3"/>
    <w:rsid w:val="001A0446"/>
    <w:rsid w:val="001A732A"/>
    <w:rsid w:val="001B09EE"/>
    <w:rsid w:val="001B22A5"/>
    <w:rsid w:val="001B48BE"/>
    <w:rsid w:val="001C2B0E"/>
    <w:rsid w:val="001C3A89"/>
    <w:rsid w:val="001C525F"/>
    <w:rsid w:val="001C6E01"/>
    <w:rsid w:val="001D1C35"/>
    <w:rsid w:val="001D6090"/>
    <w:rsid w:val="001E1FCD"/>
    <w:rsid w:val="001E509A"/>
    <w:rsid w:val="001F3EEB"/>
    <w:rsid w:val="001F4C03"/>
    <w:rsid w:val="002015C7"/>
    <w:rsid w:val="002026AA"/>
    <w:rsid w:val="00204E30"/>
    <w:rsid w:val="00205708"/>
    <w:rsid w:val="002058F1"/>
    <w:rsid w:val="00205ED0"/>
    <w:rsid w:val="00217045"/>
    <w:rsid w:val="0023088A"/>
    <w:rsid w:val="0023562E"/>
    <w:rsid w:val="00235D66"/>
    <w:rsid w:val="002406C5"/>
    <w:rsid w:val="002414FA"/>
    <w:rsid w:val="0024427B"/>
    <w:rsid w:val="002503CF"/>
    <w:rsid w:val="0025264C"/>
    <w:rsid w:val="00256AC2"/>
    <w:rsid w:val="0026056C"/>
    <w:rsid w:val="00261D61"/>
    <w:rsid w:val="002663EA"/>
    <w:rsid w:val="002678D9"/>
    <w:rsid w:val="00267971"/>
    <w:rsid w:val="002752FD"/>
    <w:rsid w:val="00283128"/>
    <w:rsid w:val="0028586B"/>
    <w:rsid w:val="00290A38"/>
    <w:rsid w:val="00292EF3"/>
    <w:rsid w:val="002A7BDE"/>
    <w:rsid w:val="002B486C"/>
    <w:rsid w:val="002B5C14"/>
    <w:rsid w:val="002C6960"/>
    <w:rsid w:val="002C7232"/>
    <w:rsid w:val="002D1D3A"/>
    <w:rsid w:val="002D36E6"/>
    <w:rsid w:val="002E0C47"/>
    <w:rsid w:val="002E1457"/>
    <w:rsid w:val="002E1591"/>
    <w:rsid w:val="002E71DE"/>
    <w:rsid w:val="002F04E7"/>
    <w:rsid w:val="002F2217"/>
    <w:rsid w:val="002F5C00"/>
    <w:rsid w:val="0030385F"/>
    <w:rsid w:val="00303C23"/>
    <w:rsid w:val="00303CEF"/>
    <w:rsid w:val="00304654"/>
    <w:rsid w:val="00307FF4"/>
    <w:rsid w:val="00310D11"/>
    <w:rsid w:val="00311044"/>
    <w:rsid w:val="00312BA5"/>
    <w:rsid w:val="00320179"/>
    <w:rsid w:val="00331B49"/>
    <w:rsid w:val="00334624"/>
    <w:rsid w:val="0033562E"/>
    <w:rsid w:val="00337677"/>
    <w:rsid w:val="00337B00"/>
    <w:rsid w:val="0034095C"/>
    <w:rsid w:val="00341B65"/>
    <w:rsid w:val="003560BF"/>
    <w:rsid w:val="0036642C"/>
    <w:rsid w:val="0037026C"/>
    <w:rsid w:val="00371429"/>
    <w:rsid w:val="00381DA4"/>
    <w:rsid w:val="0038435E"/>
    <w:rsid w:val="00387F03"/>
    <w:rsid w:val="00392DF9"/>
    <w:rsid w:val="003A47A4"/>
    <w:rsid w:val="003A5CBA"/>
    <w:rsid w:val="003A766C"/>
    <w:rsid w:val="003B33E3"/>
    <w:rsid w:val="003B39EF"/>
    <w:rsid w:val="003C10F4"/>
    <w:rsid w:val="003C16CD"/>
    <w:rsid w:val="003C31C2"/>
    <w:rsid w:val="003C370C"/>
    <w:rsid w:val="003C496C"/>
    <w:rsid w:val="003C5641"/>
    <w:rsid w:val="003C7031"/>
    <w:rsid w:val="003D008D"/>
    <w:rsid w:val="003D1BE1"/>
    <w:rsid w:val="003D4C3F"/>
    <w:rsid w:val="003E60A4"/>
    <w:rsid w:val="003E749D"/>
    <w:rsid w:val="003F1134"/>
    <w:rsid w:val="003F147E"/>
    <w:rsid w:val="003F216A"/>
    <w:rsid w:val="004029A6"/>
    <w:rsid w:val="00402EA6"/>
    <w:rsid w:val="00407955"/>
    <w:rsid w:val="00416285"/>
    <w:rsid w:val="00416D6B"/>
    <w:rsid w:val="00423473"/>
    <w:rsid w:val="0042498C"/>
    <w:rsid w:val="00424E9E"/>
    <w:rsid w:val="00427C17"/>
    <w:rsid w:val="004302D1"/>
    <w:rsid w:val="00434A4B"/>
    <w:rsid w:val="00446822"/>
    <w:rsid w:val="004475DA"/>
    <w:rsid w:val="00456569"/>
    <w:rsid w:val="00457F21"/>
    <w:rsid w:val="004628FC"/>
    <w:rsid w:val="004630E8"/>
    <w:rsid w:val="00467344"/>
    <w:rsid w:val="00473B28"/>
    <w:rsid w:val="00474259"/>
    <w:rsid w:val="004875F3"/>
    <w:rsid w:val="00491D35"/>
    <w:rsid w:val="00497325"/>
    <w:rsid w:val="004A0C51"/>
    <w:rsid w:val="004A1D63"/>
    <w:rsid w:val="004A3198"/>
    <w:rsid w:val="004A6B04"/>
    <w:rsid w:val="004B0FB2"/>
    <w:rsid w:val="004B6F6E"/>
    <w:rsid w:val="004C44CA"/>
    <w:rsid w:val="004D5C8D"/>
    <w:rsid w:val="004D7CFA"/>
    <w:rsid w:val="004E00DC"/>
    <w:rsid w:val="004E0A8F"/>
    <w:rsid w:val="004E7494"/>
    <w:rsid w:val="004F1600"/>
    <w:rsid w:val="004F4F0C"/>
    <w:rsid w:val="00500585"/>
    <w:rsid w:val="0050558F"/>
    <w:rsid w:val="0050674D"/>
    <w:rsid w:val="00507717"/>
    <w:rsid w:val="0051077A"/>
    <w:rsid w:val="00521FA9"/>
    <w:rsid w:val="0052250B"/>
    <w:rsid w:val="005245CC"/>
    <w:rsid w:val="00527AAE"/>
    <w:rsid w:val="00530673"/>
    <w:rsid w:val="00531F9F"/>
    <w:rsid w:val="0053483C"/>
    <w:rsid w:val="00537549"/>
    <w:rsid w:val="00537F44"/>
    <w:rsid w:val="005450C3"/>
    <w:rsid w:val="005545FD"/>
    <w:rsid w:val="00567EC3"/>
    <w:rsid w:val="00575529"/>
    <w:rsid w:val="0058031B"/>
    <w:rsid w:val="00592FA3"/>
    <w:rsid w:val="00594590"/>
    <w:rsid w:val="005A3597"/>
    <w:rsid w:val="005B470F"/>
    <w:rsid w:val="005C2CBA"/>
    <w:rsid w:val="005D6A3B"/>
    <w:rsid w:val="005D6FD5"/>
    <w:rsid w:val="005D7A8F"/>
    <w:rsid w:val="005E092B"/>
    <w:rsid w:val="005E0C09"/>
    <w:rsid w:val="005E60FE"/>
    <w:rsid w:val="005F0730"/>
    <w:rsid w:val="005F2262"/>
    <w:rsid w:val="005F47F3"/>
    <w:rsid w:val="005F4D8C"/>
    <w:rsid w:val="005F4E81"/>
    <w:rsid w:val="00600B37"/>
    <w:rsid w:val="00601F09"/>
    <w:rsid w:val="006058CE"/>
    <w:rsid w:val="00615F8A"/>
    <w:rsid w:val="00616683"/>
    <w:rsid w:val="00617FE6"/>
    <w:rsid w:val="006207B4"/>
    <w:rsid w:val="00625C19"/>
    <w:rsid w:val="006262F6"/>
    <w:rsid w:val="0062688B"/>
    <w:rsid w:val="00633E79"/>
    <w:rsid w:val="0063544C"/>
    <w:rsid w:val="00650470"/>
    <w:rsid w:val="0065056D"/>
    <w:rsid w:val="006528B9"/>
    <w:rsid w:val="0065754A"/>
    <w:rsid w:val="006614D5"/>
    <w:rsid w:val="006618CF"/>
    <w:rsid w:val="00662032"/>
    <w:rsid w:val="00675494"/>
    <w:rsid w:val="006775DC"/>
    <w:rsid w:val="00686CBC"/>
    <w:rsid w:val="00690D18"/>
    <w:rsid w:val="00694B02"/>
    <w:rsid w:val="006B7BE6"/>
    <w:rsid w:val="006C31D6"/>
    <w:rsid w:val="006C37F6"/>
    <w:rsid w:val="006D0820"/>
    <w:rsid w:val="006D0B5D"/>
    <w:rsid w:val="006D6C64"/>
    <w:rsid w:val="006E0D57"/>
    <w:rsid w:val="006E12F0"/>
    <w:rsid w:val="006E410E"/>
    <w:rsid w:val="006E468E"/>
    <w:rsid w:val="006F0E69"/>
    <w:rsid w:val="006F2CAA"/>
    <w:rsid w:val="006F7C51"/>
    <w:rsid w:val="00700677"/>
    <w:rsid w:val="00712A05"/>
    <w:rsid w:val="00713E4A"/>
    <w:rsid w:val="00716634"/>
    <w:rsid w:val="00716BB9"/>
    <w:rsid w:val="00717452"/>
    <w:rsid w:val="007221CB"/>
    <w:rsid w:val="00724074"/>
    <w:rsid w:val="00726559"/>
    <w:rsid w:val="00731FDD"/>
    <w:rsid w:val="00743FCC"/>
    <w:rsid w:val="00746D1A"/>
    <w:rsid w:val="00752650"/>
    <w:rsid w:val="00754F27"/>
    <w:rsid w:val="00757336"/>
    <w:rsid w:val="00773149"/>
    <w:rsid w:val="00773E6E"/>
    <w:rsid w:val="00781915"/>
    <w:rsid w:val="00782F69"/>
    <w:rsid w:val="00784E2E"/>
    <w:rsid w:val="00787B06"/>
    <w:rsid w:val="00792272"/>
    <w:rsid w:val="00795256"/>
    <w:rsid w:val="00797AB6"/>
    <w:rsid w:val="00797FEE"/>
    <w:rsid w:val="007A1F0C"/>
    <w:rsid w:val="007A3F0B"/>
    <w:rsid w:val="007A4B38"/>
    <w:rsid w:val="007A74D5"/>
    <w:rsid w:val="007B05BA"/>
    <w:rsid w:val="007B219D"/>
    <w:rsid w:val="007B3CAF"/>
    <w:rsid w:val="007C0CB6"/>
    <w:rsid w:val="007C3AAD"/>
    <w:rsid w:val="007D04FD"/>
    <w:rsid w:val="007D1DBA"/>
    <w:rsid w:val="007D43AB"/>
    <w:rsid w:val="007E348A"/>
    <w:rsid w:val="007E3510"/>
    <w:rsid w:val="007E543B"/>
    <w:rsid w:val="007E6378"/>
    <w:rsid w:val="007F3BF2"/>
    <w:rsid w:val="007F4293"/>
    <w:rsid w:val="007F58E2"/>
    <w:rsid w:val="007F7A63"/>
    <w:rsid w:val="007F7C77"/>
    <w:rsid w:val="008000E0"/>
    <w:rsid w:val="0080323B"/>
    <w:rsid w:val="008066E5"/>
    <w:rsid w:val="008118EF"/>
    <w:rsid w:val="008119DD"/>
    <w:rsid w:val="00811ED0"/>
    <w:rsid w:val="0081285D"/>
    <w:rsid w:val="00812D72"/>
    <w:rsid w:val="00822C58"/>
    <w:rsid w:val="008256FC"/>
    <w:rsid w:val="00827614"/>
    <w:rsid w:val="0083499E"/>
    <w:rsid w:val="00834C22"/>
    <w:rsid w:val="008350F4"/>
    <w:rsid w:val="008352BA"/>
    <w:rsid w:val="008372B7"/>
    <w:rsid w:val="00837BAD"/>
    <w:rsid w:val="00837E37"/>
    <w:rsid w:val="00842447"/>
    <w:rsid w:val="00846D90"/>
    <w:rsid w:val="0085425E"/>
    <w:rsid w:val="00855CA6"/>
    <w:rsid w:val="00855DC9"/>
    <w:rsid w:val="00856444"/>
    <w:rsid w:val="008575D0"/>
    <w:rsid w:val="00861BBB"/>
    <w:rsid w:val="00862CF0"/>
    <w:rsid w:val="00874BE6"/>
    <w:rsid w:val="00874C81"/>
    <w:rsid w:val="008760A6"/>
    <w:rsid w:val="008804B4"/>
    <w:rsid w:val="00882F9F"/>
    <w:rsid w:val="008856C2"/>
    <w:rsid w:val="008862EB"/>
    <w:rsid w:val="0089014B"/>
    <w:rsid w:val="0089137C"/>
    <w:rsid w:val="008931EB"/>
    <w:rsid w:val="008A33CC"/>
    <w:rsid w:val="008A5910"/>
    <w:rsid w:val="008B23A9"/>
    <w:rsid w:val="008B325F"/>
    <w:rsid w:val="008B3859"/>
    <w:rsid w:val="008B4CE3"/>
    <w:rsid w:val="008E2D70"/>
    <w:rsid w:val="008E3078"/>
    <w:rsid w:val="008E50FC"/>
    <w:rsid w:val="008E6A21"/>
    <w:rsid w:val="008E6AEC"/>
    <w:rsid w:val="008F2B7A"/>
    <w:rsid w:val="008F675F"/>
    <w:rsid w:val="008F7FAC"/>
    <w:rsid w:val="00900CD9"/>
    <w:rsid w:val="009079BE"/>
    <w:rsid w:val="00914754"/>
    <w:rsid w:val="009150F8"/>
    <w:rsid w:val="009165C2"/>
    <w:rsid w:val="00916B2F"/>
    <w:rsid w:val="00923E3D"/>
    <w:rsid w:val="00924D11"/>
    <w:rsid w:val="009332A9"/>
    <w:rsid w:val="009341F3"/>
    <w:rsid w:val="0093476C"/>
    <w:rsid w:val="00936359"/>
    <w:rsid w:val="0094407D"/>
    <w:rsid w:val="0094768E"/>
    <w:rsid w:val="00950A9C"/>
    <w:rsid w:val="009513D6"/>
    <w:rsid w:val="0095259F"/>
    <w:rsid w:val="009536A0"/>
    <w:rsid w:val="00954493"/>
    <w:rsid w:val="009606B2"/>
    <w:rsid w:val="00966214"/>
    <w:rsid w:val="009712F5"/>
    <w:rsid w:val="00974928"/>
    <w:rsid w:val="00977F63"/>
    <w:rsid w:val="009809F8"/>
    <w:rsid w:val="0099071E"/>
    <w:rsid w:val="0099151C"/>
    <w:rsid w:val="00994EEC"/>
    <w:rsid w:val="009964C6"/>
    <w:rsid w:val="00996AA4"/>
    <w:rsid w:val="009970F1"/>
    <w:rsid w:val="0099744C"/>
    <w:rsid w:val="009A1EA9"/>
    <w:rsid w:val="009A31F5"/>
    <w:rsid w:val="009A37B2"/>
    <w:rsid w:val="009A3E8D"/>
    <w:rsid w:val="009B14E3"/>
    <w:rsid w:val="009B4674"/>
    <w:rsid w:val="009B5BB1"/>
    <w:rsid w:val="009B64A6"/>
    <w:rsid w:val="009C3C8F"/>
    <w:rsid w:val="009C5B3A"/>
    <w:rsid w:val="009E030A"/>
    <w:rsid w:val="009E0DA2"/>
    <w:rsid w:val="009E503E"/>
    <w:rsid w:val="009F49DF"/>
    <w:rsid w:val="00A03648"/>
    <w:rsid w:val="00A0422A"/>
    <w:rsid w:val="00A16C64"/>
    <w:rsid w:val="00A23AA2"/>
    <w:rsid w:val="00A23B10"/>
    <w:rsid w:val="00A25DB9"/>
    <w:rsid w:val="00A277A3"/>
    <w:rsid w:val="00A30CDA"/>
    <w:rsid w:val="00A318EA"/>
    <w:rsid w:val="00A32764"/>
    <w:rsid w:val="00A361B2"/>
    <w:rsid w:val="00A36FF0"/>
    <w:rsid w:val="00A52431"/>
    <w:rsid w:val="00A613D4"/>
    <w:rsid w:val="00A6785E"/>
    <w:rsid w:val="00A72C0D"/>
    <w:rsid w:val="00A74C06"/>
    <w:rsid w:val="00A7661F"/>
    <w:rsid w:val="00A861B5"/>
    <w:rsid w:val="00A86382"/>
    <w:rsid w:val="00A866DC"/>
    <w:rsid w:val="00A86BFA"/>
    <w:rsid w:val="00A909C9"/>
    <w:rsid w:val="00A9306E"/>
    <w:rsid w:val="00AA33F2"/>
    <w:rsid w:val="00AA67D9"/>
    <w:rsid w:val="00AB21AF"/>
    <w:rsid w:val="00AB24B8"/>
    <w:rsid w:val="00AC3DB8"/>
    <w:rsid w:val="00AD2D69"/>
    <w:rsid w:val="00AD4FA1"/>
    <w:rsid w:val="00AE205E"/>
    <w:rsid w:val="00AE25F5"/>
    <w:rsid w:val="00AE70E3"/>
    <w:rsid w:val="00AF2FBA"/>
    <w:rsid w:val="00AF4DD5"/>
    <w:rsid w:val="00B03014"/>
    <w:rsid w:val="00B1047F"/>
    <w:rsid w:val="00B15B95"/>
    <w:rsid w:val="00B167FC"/>
    <w:rsid w:val="00B178D2"/>
    <w:rsid w:val="00B260AF"/>
    <w:rsid w:val="00B40A66"/>
    <w:rsid w:val="00B41813"/>
    <w:rsid w:val="00B41A77"/>
    <w:rsid w:val="00B458FB"/>
    <w:rsid w:val="00B460AB"/>
    <w:rsid w:val="00B519D3"/>
    <w:rsid w:val="00B5318B"/>
    <w:rsid w:val="00B54173"/>
    <w:rsid w:val="00B541FC"/>
    <w:rsid w:val="00B54223"/>
    <w:rsid w:val="00B55DFA"/>
    <w:rsid w:val="00B63509"/>
    <w:rsid w:val="00B67D13"/>
    <w:rsid w:val="00B75CE1"/>
    <w:rsid w:val="00B764C8"/>
    <w:rsid w:val="00B84AFB"/>
    <w:rsid w:val="00B84C97"/>
    <w:rsid w:val="00B85E03"/>
    <w:rsid w:val="00B957EF"/>
    <w:rsid w:val="00BB250E"/>
    <w:rsid w:val="00BB5B2B"/>
    <w:rsid w:val="00BC2EF4"/>
    <w:rsid w:val="00BC5E35"/>
    <w:rsid w:val="00BD06FE"/>
    <w:rsid w:val="00BE3C39"/>
    <w:rsid w:val="00BF1F48"/>
    <w:rsid w:val="00BF4E9B"/>
    <w:rsid w:val="00BF6448"/>
    <w:rsid w:val="00BF6CAD"/>
    <w:rsid w:val="00C02836"/>
    <w:rsid w:val="00C10E74"/>
    <w:rsid w:val="00C11825"/>
    <w:rsid w:val="00C134F0"/>
    <w:rsid w:val="00C16FD0"/>
    <w:rsid w:val="00C1760D"/>
    <w:rsid w:val="00C176DD"/>
    <w:rsid w:val="00C233F4"/>
    <w:rsid w:val="00C24532"/>
    <w:rsid w:val="00C33C10"/>
    <w:rsid w:val="00C33D72"/>
    <w:rsid w:val="00C34332"/>
    <w:rsid w:val="00C361C7"/>
    <w:rsid w:val="00C36FBA"/>
    <w:rsid w:val="00C40060"/>
    <w:rsid w:val="00C420A2"/>
    <w:rsid w:val="00C424A9"/>
    <w:rsid w:val="00C441F0"/>
    <w:rsid w:val="00C46F17"/>
    <w:rsid w:val="00C51FD5"/>
    <w:rsid w:val="00C55654"/>
    <w:rsid w:val="00C5623E"/>
    <w:rsid w:val="00C5747C"/>
    <w:rsid w:val="00C60762"/>
    <w:rsid w:val="00C664F4"/>
    <w:rsid w:val="00C67109"/>
    <w:rsid w:val="00C71616"/>
    <w:rsid w:val="00C725CB"/>
    <w:rsid w:val="00C740C3"/>
    <w:rsid w:val="00C76F57"/>
    <w:rsid w:val="00C90655"/>
    <w:rsid w:val="00C94250"/>
    <w:rsid w:val="00C97BCF"/>
    <w:rsid w:val="00CA1C65"/>
    <w:rsid w:val="00CA6B5A"/>
    <w:rsid w:val="00CA7579"/>
    <w:rsid w:val="00CB2536"/>
    <w:rsid w:val="00CC0B71"/>
    <w:rsid w:val="00CC743C"/>
    <w:rsid w:val="00CD671E"/>
    <w:rsid w:val="00CD6727"/>
    <w:rsid w:val="00CD67CA"/>
    <w:rsid w:val="00CD7C97"/>
    <w:rsid w:val="00CD7EB4"/>
    <w:rsid w:val="00CE495C"/>
    <w:rsid w:val="00CE628D"/>
    <w:rsid w:val="00CE6485"/>
    <w:rsid w:val="00CE7E6B"/>
    <w:rsid w:val="00CF0AB6"/>
    <w:rsid w:val="00CF2ABD"/>
    <w:rsid w:val="00CF2C00"/>
    <w:rsid w:val="00CF4868"/>
    <w:rsid w:val="00CF57D9"/>
    <w:rsid w:val="00CF6574"/>
    <w:rsid w:val="00D0216B"/>
    <w:rsid w:val="00D03DF4"/>
    <w:rsid w:val="00D04E33"/>
    <w:rsid w:val="00D050DE"/>
    <w:rsid w:val="00D056F6"/>
    <w:rsid w:val="00D06C67"/>
    <w:rsid w:val="00D14014"/>
    <w:rsid w:val="00D15947"/>
    <w:rsid w:val="00D15DA8"/>
    <w:rsid w:val="00D20D7B"/>
    <w:rsid w:val="00D2120B"/>
    <w:rsid w:val="00D339B8"/>
    <w:rsid w:val="00D350D5"/>
    <w:rsid w:val="00D41DD2"/>
    <w:rsid w:val="00D4317D"/>
    <w:rsid w:val="00D44CE5"/>
    <w:rsid w:val="00D52FF6"/>
    <w:rsid w:val="00D543A8"/>
    <w:rsid w:val="00D55457"/>
    <w:rsid w:val="00D60F5C"/>
    <w:rsid w:val="00D62E1E"/>
    <w:rsid w:val="00D637E9"/>
    <w:rsid w:val="00D705B4"/>
    <w:rsid w:val="00D70AD7"/>
    <w:rsid w:val="00D7240E"/>
    <w:rsid w:val="00D809BC"/>
    <w:rsid w:val="00D81BBB"/>
    <w:rsid w:val="00D833F3"/>
    <w:rsid w:val="00D86C7E"/>
    <w:rsid w:val="00D95850"/>
    <w:rsid w:val="00D967C2"/>
    <w:rsid w:val="00DA4E5E"/>
    <w:rsid w:val="00DA6C96"/>
    <w:rsid w:val="00DB127A"/>
    <w:rsid w:val="00DB16AE"/>
    <w:rsid w:val="00DB4DA2"/>
    <w:rsid w:val="00DB4F32"/>
    <w:rsid w:val="00DC396F"/>
    <w:rsid w:val="00DC6AF3"/>
    <w:rsid w:val="00DD1921"/>
    <w:rsid w:val="00DD2B28"/>
    <w:rsid w:val="00DD5368"/>
    <w:rsid w:val="00DD6181"/>
    <w:rsid w:val="00DD785C"/>
    <w:rsid w:val="00DE18CE"/>
    <w:rsid w:val="00DE58F5"/>
    <w:rsid w:val="00DE62FC"/>
    <w:rsid w:val="00DF0998"/>
    <w:rsid w:val="00E1134E"/>
    <w:rsid w:val="00E174BB"/>
    <w:rsid w:val="00E17EBF"/>
    <w:rsid w:val="00E22259"/>
    <w:rsid w:val="00E23310"/>
    <w:rsid w:val="00E25936"/>
    <w:rsid w:val="00E265F4"/>
    <w:rsid w:val="00E26C5D"/>
    <w:rsid w:val="00E320AE"/>
    <w:rsid w:val="00E35267"/>
    <w:rsid w:val="00E418AB"/>
    <w:rsid w:val="00E420A0"/>
    <w:rsid w:val="00E5198F"/>
    <w:rsid w:val="00E525C7"/>
    <w:rsid w:val="00E53D50"/>
    <w:rsid w:val="00E55DBE"/>
    <w:rsid w:val="00E570D3"/>
    <w:rsid w:val="00E653DB"/>
    <w:rsid w:val="00E65F8E"/>
    <w:rsid w:val="00E747CA"/>
    <w:rsid w:val="00E7666A"/>
    <w:rsid w:val="00E81DDB"/>
    <w:rsid w:val="00E84FD2"/>
    <w:rsid w:val="00E85313"/>
    <w:rsid w:val="00E94B8A"/>
    <w:rsid w:val="00E94BCD"/>
    <w:rsid w:val="00EA078F"/>
    <w:rsid w:val="00EA135F"/>
    <w:rsid w:val="00EA1B36"/>
    <w:rsid w:val="00EA216A"/>
    <w:rsid w:val="00EA6087"/>
    <w:rsid w:val="00EB11A4"/>
    <w:rsid w:val="00EB4592"/>
    <w:rsid w:val="00EC172B"/>
    <w:rsid w:val="00EC7378"/>
    <w:rsid w:val="00ED277A"/>
    <w:rsid w:val="00EF0331"/>
    <w:rsid w:val="00F02DAC"/>
    <w:rsid w:val="00F22519"/>
    <w:rsid w:val="00F31511"/>
    <w:rsid w:val="00F35089"/>
    <w:rsid w:val="00F36887"/>
    <w:rsid w:val="00F40399"/>
    <w:rsid w:val="00F4058E"/>
    <w:rsid w:val="00F408B2"/>
    <w:rsid w:val="00F45DB9"/>
    <w:rsid w:val="00F532DA"/>
    <w:rsid w:val="00F57E17"/>
    <w:rsid w:val="00F62D41"/>
    <w:rsid w:val="00F705DB"/>
    <w:rsid w:val="00F72A9D"/>
    <w:rsid w:val="00F74177"/>
    <w:rsid w:val="00F749EB"/>
    <w:rsid w:val="00F7600E"/>
    <w:rsid w:val="00F7726A"/>
    <w:rsid w:val="00F7734E"/>
    <w:rsid w:val="00F827FC"/>
    <w:rsid w:val="00F85185"/>
    <w:rsid w:val="00F859A0"/>
    <w:rsid w:val="00F87883"/>
    <w:rsid w:val="00F909B4"/>
    <w:rsid w:val="00F90D14"/>
    <w:rsid w:val="00F946C9"/>
    <w:rsid w:val="00F95041"/>
    <w:rsid w:val="00F9646A"/>
    <w:rsid w:val="00FA1E6B"/>
    <w:rsid w:val="00FA3A35"/>
    <w:rsid w:val="00FB365C"/>
    <w:rsid w:val="00FB4B47"/>
    <w:rsid w:val="00FB7230"/>
    <w:rsid w:val="00FC099F"/>
    <w:rsid w:val="00FC1AFA"/>
    <w:rsid w:val="00FC623E"/>
    <w:rsid w:val="00FD30A0"/>
    <w:rsid w:val="00FD6667"/>
    <w:rsid w:val="00FE1344"/>
    <w:rsid w:val="00FE1D76"/>
    <w:rsid w:val="00FE68FA"/>
    <w:rsid w:val="00FE6ECC"/>
    <w:rsid w:val="00FE7894"/>
    <w:rsid w:val="00FF0F75"/>
    <w:rsid w:val="00FF25BD"/>
    <w:rsid w:val="00FF2A91"/>
    <w:rsid w:val="00FF4C67"/>
    <w:rsid w:val="00FF7F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88BE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5F2262"/>
    <w:rPr>
      <w:rFonts w:ascii="Arial" w:hAnsi="Arial"/>
      <w:sz w:val="24"/>
    </w:rPr>
  </w:style>
  <w:style w:type="paragraph" w:styleId="berschrift1">
    <w:name w:val="heading 1"/>
    <w:basedOn w:val="Standard"/>
    <w:next w:val="Standard"/>
    <w:link w:val="berschrift1Zchn"/>
    <w:qFormat/>
    <w:locked/>
    <w:rsid w:val="00E320AE"/>
    <w:pPr>
      <w:keepNext/>
      <w:spacing w:before="240" w:after="60"/>
      <w:outlineLvl w:val="0"/>
    </w:pPr>
    <w:rPr>
      <w:rFonts w:ascii="Cambria" w:hAnsi="Cambria"/>
      <w:b/>
      <w:bCs/>
      <w:kern w:val="32"/>
      <w:sz w:val="32"/>
      <w:szCs w:val="32"/>
    </w:rPr>
  </w:style>
  <w:style w:type="paragraph" w:styleId="berschrift3">
    <w:name w:val="heading 3"/>
    <w:basedOn w:val="Standard"/>
    <w:next w:val="Standard"/>
    <w:link w:val="berschrift3Zchn"/>
    <w:semiHidden/>
    <w:unhideWhenUsed/>
    <w:qFormat/>
    <w:locked/>
    <w:rsid w:val="0033562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F2262"/>
    <w:pPr>
      <w:tabs>
        <w:tab w:val="center" w:pos="4536"/>
        <w:tab w:val="right" w:pos="9072"/>
      </w:tabs>
    </w:pPr>
  </w:style>
  <w:style w:type="character" w:customStyle="1" w:styleId="KopfzeileZchn">
    <w:name w:val="Kopfzeile Zchn"/>
    <w:link w:val="Kopfzeile"/>
    <w:uiPriority w:val="99"/>
    <w:rsid w:val="00881458"/>
    <w:rPr>
      <w:rFonts w:ascii="Arial" w:hAnsi="Arial"/>
      <w:sz w:val="24"/>
      <w:szCs w:val="20"/>
    </w:rPr>
  </w:style>
  <w:style w:type="paragraph" w:styleId="Fuzeile">
    <w:name w:val="footer"/>
    <w:basedOn w:val="Standard"/>
    <w:link w:val="FuzeileZchn"/>
    <w:rsid w:val="005F2262"/>
    <w:pPr>
      <w:tabs>
        <w:tab w:val="center" w:pos="4536"/>
        <w:tab w:val="right" w:pos="9072"/>
      </w:tabs>
    </w:pPr>
  </w:style>
  <w:style w:type="character" w:customStyle="1" w:styleId="FuzeileZchn">
    <w:name w:val="Fußzeile Zchn"/>
    <w:link w:val="Fuzeile"/>
    <w:rsid w:val="00881458"/>
    <w:rPr>
      <w:rFonts w:ascii="Arial" w:hAnsi="Arial"/>
      <w:sz w:val="24"/>
      <w:szCs w:val="20"/>
    </w:rPr>
  </w:style>
  <w:style w:type="table" w:styleId="Tabellenraster">
    <w:name w:val="Table Grid"/>
    <w:basedOn w:val="NormaleTabelle"/>
    <w:rsid w:val="005F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uiPriority w:val="99"/>
    <w:rsid w:val="00A52431"/>
    <w:rPr>
      <w:rFonts w:cs="Times New Roman"/>
    </w:rPr>
  </w:style>
  <w:style w:type="paragraph" w:styleId="Dokumentstruktur">
    <w:name w:val="Document Map"/>
    <w:basedOn w:val="Standard"/>
    <w:link w:val="DokumentstrukturZchn"/>
    <w:uiPriority w:val="99"/>
    <w:semiHidden/>
    <w:rsid w:val="00855DC9"/>
    <w:pPr>
      <w:shd w:val="clear" w:color="auto" w:fill="000080"/>
    </w:pPr>
    <w:rPr>
      <w:rFonts w:ascii="Tahoma" w:hAnsi="Tahoma" w:cs="Tahoma"/>
      <w:sz w:val="20"/>
    </w:rPr>
  </w:style>
  <w:style w:type="character" w:customStyle="1" w:styleId="DokumentstrukturZchn">
    <w:name w:val="Dokumentstruktur Zchn"/>
    <w:link w:val="Dokumentstruktur"/>
    <w:uiPriority w:val="99"/>
    <w:semiHidden/>
    <w:rsid w:val="00881458"/>
    <w:rPr>
      <w:sz w:val="0"/>
      <w:szCs w:val="0"/>
    </w:rPr>
  </w:style>
  <w:style w:type="paragraph" w:customStyle="1" w:styleId="FarbigeSchattierung-Akzent11">
    <w:name w:val="Farbige Schattierung - Akzent 11"/>
    <w:hidden/>
    <w:uiPriority w:val="99"/>
    <w:semiHidden/>
    <w:rsid w:val="008804B4"/>
    <w:rPr>
      <w:rFonts w:ascii="Arial" w:hAnsi="Arial"/>
      <w:sz w:val="24"/>
    </w:rPr>
  </w:style>
  <w:style w:type="paragraph" w:styleId="Sprechblasentext">
    <w:name w:val="Balloon Text"/>
    <w:basedOn w:val="Standard"/>
    <w:link w:val="SprechblasentextZchn"/>
    <w:uiPriority w:val="99"/>
    <w:rsid w:val="008804B4"/>
    <w:rPr>
      <w:rFonts w:ascii="Tahoma" w:hAnsi="Tahoma" w:cs="Tahoma"/>
      <w:sz w:val="16"/>
      <w:szCs w:val="16"/>
    </w:rPr>
  </w:style>
  <w:style w:type="character" w:customStyle="1" w:styleId="SprechblasentextZchn">
    <w:name w:val="Sprechblasentext Zchn"/>
    <w:link w:val="Sprechblasentext"/>
    <w:uiPriority w:val="99"/>
    <w:locked/>
    <w:rsid w:val="008804B4"/>
    <w:rPr>
      <w:rFonts w:ascii="Tahoma" w:hAnsi="Tahoma" w:cs="Tahoma"/>
      <w:sz w:val="16"/>
      <w:szCs w:val="16"/>
    </w:rPr>
  </w:style>
  <w:style w:type="paragraph" w:customStyle="1" w:styleId="FarbigeListe-Akzent11">
    <w:name w:val="Farbige Liste - Akzent 11"/>
    <w:basedOn w:val="Standard"/>
    <w:uiPriority w:val="99"/>
    <w:qFormat/>
    <w:rsid w:val="00B167FC"/>
    <w:pPr>
      <w:ind w:left="708"/>
    </w:pPr>
  </w:style>
  <w:style w:type="character" w:styleId="Hervorhebung">
    <w:name w:val="Emphasis"/>
    <w:uiPriority w:val="99"/>
    <w:qFormat/>
    <w:rsid w:val="00042C6C"/>
    <w:rPr>
      <w:rFonts w:cs="Times New Roman"/>
      <w:i/>
      <w:iCs/>
    </w:rPr>
  </w:style>
  <w:style w:type="paragraph" w:customStyle="1" w:styleId="MittleresRaster21">
    <w:name w:val="Mittleres Raster 21"/>
    <w:uiPriority w:val="1"/>
    <w:qFormat/>
    <w:rsid w:val="00712A05"/>
    <w:rPr>
      <w:rFonts w:ascii="Calibri" w:eastAsia="Calibri" w:hAnsi="Calibri"/>
      <w:sz w:val="22"/>
      <w:szCs w:val="22"/>
      <w:lang w:eastAsia="en-US"/>
    </w:rPr>
  </w:style>
  <w:style w:type="character" w:customStyle="1" w:styleId="berschrift1Zchn">
    <w:name w:val="Überschrift 1 Zchn"/>
    <w:link w:val="berschrift1"/>
    <w:rsid w:val="00E320AE"/>
    <w:rPr>
      <w:rFonts w:ascii="Cambria" w:hAnsi="Cambria"/>
      <w:b/>
      <w:bCs/>
      <w:kern w:val="32"/>
      <w:sz w:val="32"/>
      <w:szCs w:val="32"/>
    </w:rPr>
  </w:style>
  <w:style w:type="paragraph" w:styleId="StandardWeb">
    <w:name w:val="Normal (Web)"/>
    <w:basedOn w:val="Standard"/>
    <w:uiPriority w:val="99"/>
    <w:unhideWhenUsed/>
    <w:rsid w:val="00E320AE"/>
    <w:pPr>
      <w:spacing w:before="100" w:beforeAutospacing="1" w:after="100" w:afterAutospacing="1"/>
    </w:pPr>
    <w:rPr>
      <w:rFonts w:ascii="Times New Roman" w:hAnsi="Times New Roman"/>
      <w:szCs w:val="24"/>
    </w:rPr>
  </w:style>
  <w:style w:type="character" w:customStyle="1" w:styleId="mw-headline">
    <w:name w:val="mw-headline"/>
    <w:rsid w:val="00E320AE"/>
  </w:style>
  <w:style w:type="character" w:customStyle="1" w:styleId="highlightedsearchterm">
    <w:name w:val="highlightedsearchterm"/>
    <w:rsid w:val="00E320AE"/>
  </w:style>
  <w:style w:type="character" w:customStyle="1" w:styleId="plainlinks-print">
    <w:name w:val="plainlinks-print"/>
    <w:rsid w:val="00E320AE"/>
  </w:style>
  <w:style w:type="paragraph" w:styleId="KeinLeerraum">
    <w:name w:val="No Spacing"/>
    <w:uiPriority w:val="1"/>
    <w:qFormat/>
    <w:rsid w:val="00B03014"/>
    <w:rPr>
      <w:rFonts w:ascii="Calibri" w:eastAsia="Calibri" w:hAnsi="Calibri"/>
      <w:sz w:val="22"/>
      <w:szCs w:val="22"/>
      <w:lang w:eastAsia="en-US"/>
    </w:rPr>
  </w:style>
  <w:style w:type="paragraph" w:styleId="Listenabsatz">
    <w:name w:val="List Paragraph"/>
    <w:basedOn w:val="Standard"/>
    <w:uiPriority w:val="34"/>
    <w:qFormat/>
    <w:rsid w:val="00D44CE5"/>
    <w:pPr>
      <w:ind w:left="720"/>
      <w:contextualSpacing/>
    </w:pPr>
  </w:style>
  <w:style w:type="paragraph" w:styleId="Funotentext">
    <w:name w:val="footnote text"/>
    <w:basedOn w:val="Standard"/>
    <w:link w:val="FunotentextZchn"/>
    <w:uiPriority w:val="99"/>
    <w:semiHidden/>
    <w:unhideWhenUsed/>
    <w:rsid w:val="00F87883"/>
    <w:rPr>
      <w:sz w:val="20"/>
      <w:lang w:val="x-none" w:eastAsia="x-none"/>
    </w:rPr>
  </w:style>
  <w:style w:type="character" w:customStyle="1" w:styleId="FunotentextZchn">
    <w:name w:val="Fußnotentext Zchn"/>
    <w:basedOn w:val="Absatz-Standardschriftart"/>
    <w:link w:val="Funotentext"/>
    <w:uiPriority w:val="99"/>
    <w:semiHidden/>
    <w:rsid w:val="00F87883"/>
    <w:rPr>
      <w:rFonts w:ascii="Arial" w:hAnsi="Arial"/>
      <w:lang w:val="x-none" w:eastAsia="x-none"/>
    </w:rPr>
  </w:style>
  <w:style w:type="character" w:styleId="Funotenzeichen">
    <w:name w:val="footnote reference"/>
    <w:uiPriority w:val="99"/>
    <w:semiHidden/>
    <w:unhideWhenUsed/>
    <w:rsid w:val="00F87883"/>
    <w:rPr>
      <w:vertAlign w:val="superscript"/>
    </w:rPr>
  </w:style>
  <w:style w:type="paragraph" w:customStyle="1" w:styleId="Default">
    <w:name w:val="Default"/>
    <w:rsid w:val="00FA3A35"/>
    <w:pPr>
      <w:autoSpaceDE w:val="0"/>
      <w:autoSpaceDN w:val="0"/>
      <w:adjustRightInd w:val="0"/>
    </w:pPr>
    <w:rPr>
      <w:rFonts w:ascii="Cambria" w:hAnsi="Cambria" w:cs="Cambria"/>
      <w:color w:val="000000"/>
      <w:sz w:val="24"/>
      <w:szCs w:val="24"/>
    </w:rPr>
  </w:style>
  <w:style w:type="paragraph" w:styleId="Beschriftung">
    <w:name w:val="caption"/>
    <w:basedOn w:val="Standard"/>
    <w:next w:val="Standard"/>
    <w:unhideWhenUsed/>
    <w:qFormat/>
    <w:locked/>
    <w:rsid w:val="00FA3A35"/>
    <w:pPr>
      <w:spacing w:after="200"/>
    </w:pPr>
    <w:rPr>
      <w:i/>
      <w:iCs/>
      <w:color w:val="44546A" w:themeColor="text2"/>
      <w:sz w:val="18"/>
      <w:szCs w:val="18"/>
    </w:rPr>
  </w:style>
  <w:style w:type="character" w:styleId="Fett">
    <w:name w:val="Strong"/>
    <w:uiPriority w:val="22"/>
    <w:qFormat/>
    <w:locked/>
    <w:rsid w:val="009712F5"/>
    <w:rPr>
      <w:b/>
      <w:bCs/>
    </w:rPr>
  </w:style>
  <w:style w:type="paragraph" w:customStyle="1" w:styleId="Formatvorlage1">
    <w:name w:val="Formatvorlage1"/>
    <w:basedOn w:val="Titel"/>
    <w:link w:val="Formatvorlage1Zchn"/>
    <w:qFormat/>
    <w:rsid w:val="009712F5"/>
    <w:pPr>
      <w:spacing w:before="240" w:after="60"/>
      <w:contextualSpacing w:val="0"/>
      <w:outlineLvl w:val="0"/>
    </w:pPr>
    <w:rPr>
      <w:rFonts w:ascii="Arial" w:eastAsia="Times New Roman" w:hAnsi="Arial" w:cs="Arial"/>
      <w:b/>
      <w:bCs/>
      <w:spacing w:val="0"/>
      <w:sz w:val="24"/>
      <w:szCs w:val="32"/>
      <w:u w:val="single"/>
    </w:rPr>
  </w:style>
  <w:style w:type="character" w:customStyle="1" w:styleId="Formatvorlage1Zchn">
    <w:name w:val="Formatvorlage1 Zchn"/>
    <w:link w:val="Formatvorlage1"/>
    <w:rsid w:val="009712F5"/>
    <w:rPr>
      <w:rFonts w:ascii="Arial" w:hAnsi="Arial" w:cs="Arial"/>
      <w:b/>
      <w:bCs/>
      <w:kern w:val="28"/>
      <w:sz w:val="24"/>
      <w:szCs w:val="32"/>
      <w:u w:val="single"/>
    </w:rPr>
  </w:style>
  <w:style w:type="paragraph" w:styleId="Titel">
    <w:name w:val="Title"/>
    <w:basedOn w:val="Standard"/>
    <w:next w:val="Standard"/>
    <w:link w:val="TitelZchn"/>
    <w:qFormat/>
    <w:locked/>
    <w:rsid w:val="009712F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9712F5"/>
    <w:rPr>
      <w:rFonts w:asciiTheme="majorHAnsi" w:eastAsiaTheme="majorEastAsia" w:hAnsiTheme="majorHAnsi" w:cstheme="majorBidi"/>
      <w:spacing w:val="-10"/>
      <w:kern w:val="28"/>
      <w:sz w:val="56"/>
      <w:szCs w:val="56"/>
    </w:rPr>
  </w:style>
  <w:style w:type="character" w:styleId="Hyperlink">
    <w:name w:val="Hyperlink"/>
    <w:uiPriority w:val="99"/>
    <w:unhideWhenUsed/>
    <w:rsid w:val="006618CF"/>
    <w:rPr>
      <w:color w:val="0000FF"/>
      <w:u w:val="single"/>
    </w:rPr>
  </w:style>
  <w:style w:type="character" w:customStyle="1" w:styleId="berschrift3Zchn">
    <w:name w:val="Überschrift 3 Zchn"/>
    <w:basedOn w:val="Absatz-Standardschriftart"/>
    <w:link w:val="berschrift3"/>
    <w:semiHidden/>
    <w:rsid w:val="0033562E"/>
    <w:rPr>
      <w:rFonts w:asciiTheme="majorHAnsi" w:eastAsiaTheme="majorEastAsia" w:hAnsiTheme="majorHAnsi" w:cstheme="majorBidi"/>
      <w:color w:val="1F4D78" w:themeColor="accent1" w:themeShade="7F"/>
      <w:sz w:val="24"/>
      <w:szCs w:val="24"/>
    </w:rPr>
  </w:style>
  <w:style w:type="table" w:customStyle="1" w:styleId="Tabellenraster2">
    <w:name w:val="Tabellenraster2"/>
    <w:basedOn w:val="NormaleTabelle"/>
    <w:next w:val="Tabellenraster"/>
    <w:rsid w:val="00E53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094138">
      <w:bodyDiv w:val="1"/>
      <w:marLeft w:val="0"/>
      <w:marRight w:val="0"/>
      <w:marTop w:val="0"/>
      <w:marBottom w:val="0"/>
      <w:divBdr>
        <w:top w:val="none" w:sz="0" w:space="0" w:color="auto"/>
        <w:left w:val="none" w:sz="0" w:space="0" w:color="auto"/>
        <w:bottom w:val="none" w:sz="0" w:space="0" w:color="auto"/>
        <w:right w:val="none" w:sz="0" w:space="0" w:color="auto"/>
      </w:divBdr>
    </w:div>
    <w:div w:id="802842903">
      <w:marLeft w:val="0"/>
      <w:marRight w:val="0"/>
      <w:marTop w:val="0"/>
      <w:marBottom w:val="0"/>
      <w:divBdr>
        <w:top w:val="none" w:sz="0" w:space="0" w:color="auto"/>
        <w:left w:val="none" w:sz="0" w:space="0" w:color="auto"/>
        <w:bottom w:val="none" w:sz="0" w:space="0" w:color="auto"/>
        <w:right w:val="none" w:sz="0" w:space="0" w:color="auto"/>
      </w:divBdr>
      <w:divsChild>
        <w:div w:id="802842913">
          <w:marLeft w:val="562"/>
          <w:marRight w:val="0"/>
          <w:marTop w:val="0"/>
          <w:marBottom w:val="0"/>
          <w:divBdr>
            <w:top w:val="none" w:sz="0" w:space="0" w:color="auto"/>
            <w:left w:val="none" w:sz="0" w:space="0" w:color="auto"/>
            <w:bottom w:val="none" w:sz="0" w:space="0" w:color="auto"/>
            <w:right w:val="none" w:sz="0" w:space="0" w:color="auto"/>
          </w:divBdr>
        </w:div>
      </w:divsChild>
    </w:div>
    <w:div w:id="802842904">
      <w:marLeft w:val="0"/>
      <w:marRight w:val="0"/>
      <w:marTop w:val="0"/>
      <w:marBottom w:val="0"/>
      <w:divBdr>
        <w:top w:val="none" w:sz="0" w:space="0" w:color="auto"/>
        <w:left w:val="none" w:sz="0" w:space="0" w:color="auto"/>
        <w:bottom w:val="none" w:sz="0" w:space="0" w:color="auto"/>
        <w:right w:val="none" w:sz="0" w:space="0" w:color="auto"/>
      </w:divBdr>
      <w:divsChild>
        <w:div w:id="802842917">
          <w:marLeft w:val="547"/>
          <w:marRight w:val="0"/>
          <w:marTop w:val="115"/>
          <w:marBottom w:val="0"/>
          <w:divBdr>
            <w:top w:val="none" w:sz="0" w:space="0" w:color="auto"/>
            <w:left w:val="none" w:sz="0" w:space="0" w:color="auto"/>
            <w:bottom w:val="none" w:sz="0" w:space="0" w:color="auto"/>
            <w:right w:val="none" w:sz="0" w:space="0" w:color="auto"/>
          </w:divBdr>
        </w:div>
      </w:divsChild>
    </w:div>
    <w:div w:id="802842906">
      <w:marLeft w:val="0"/>
      <w:marRight w:val="0"/>
      <w:marTop w:val="0"/>
      <w:marBottom w:val="0"/>
      <w:divBdr>
        <w:top w:val="none" w:sz="0" w:space="0" w:color="auto"/>
        <w:left w:val="none" w:sz="0" w:space="0" w:color="auto"/>
        <w:bottom w:val="none" w:sz="0" w:space="0" w:color="auto"/>
        <w:right w:val="none" w:sz="0" w:space="0" w:color="auto"/>
      </w:divBdr>
    </w:div>
    <w:div w:id="802842907">
      <w:marLeft w:val="0"/>
      <w:marRight w:val="0"/>
      <w:marTop w:val="0"/>
      <w:marBottom w:val="0"/>
      <w:divBdr>
        <w:top w:val="none" w:sz="0" w:space="0" w:color="auto"/>
        <w:left w:val="none" w:sz="0" w:space="0" w:color="auto"/>
        <w:bottom w:val="none" w:sz="0" w:space="0" w:color="auto"/>
        <w:right w:val="none" w:sz="0" w:space="0" w:color="auto"/>
      </w:divBdr>
      <w:divsChild>
        <w:div w:id="802842905">
          <w:marLeft w:val="547"/>
          <w:marRight w:val="0"/>
          <w:marTop w:val="86"/>
          <w:marBottom w:val="0"/>
          <w:divBdr>
            <w:top w:val="none" w:sz="0" w:space="0" w:color="auto"/>
            <w:left w:val="none" w:sz="0" w:space="0" w:color="auto"/>
            <w:bottom w:val="none" w:sz="0" w:space="0" w:color="auto"/>
            <w:right w:val="none" w:sz="0" w:space="0" w:color="auto"/>
          </w:divBdr>
        </w:div>
        <w:div w:id="802842911">
          <w:marLeft w:val="547"/>
          <w:marRight w:val="0"/>
          <w:marTop w:val="86"/>
          <w:marBottom w:val="0"/>
          <w:divBdr>
            <w:top w:val="none" w:sz="0" w:space="0" w:color="auto"/>
            <w:left w:val="none" w:sz="0" w:space="0" w:color="auto"/>
            <w:bottom w:val="none" w:sz="0" w:space="0" w:color="auto"/>
            <w:right w:val="none" w:sz="0" w:space="0" w:color="auto"/>
          </w:divBdr>
        </w:div>
      </w:divsChild>
    </w:div>
    <w:div w:id="802842908">
      <w:marLeft w:val="0"/>
      <w:marRight w:val="0"/>
      <w:marTop w:val="0"/>
      <w:marBottom w:val="0"/>
      <w:divBdr>
        <w:top w:val="none" w:sz="0" w:space="0" w:color="auto"/>
        <w:left w:val="none" w:sz="0" w:space="0" w:color="auto"/>
        <w:bottom w:val="none" w:sz="0" w:space="0" w:color="auto"/>
        <w:right w:val="none" w:sz="0" w:space="0" w:color="auto"/>
      </w:divBdr>
      <w:divsChild>
        <w:div w:id="802842912">
          <w:marLeft w:val="547"/>
          <w:marRight w:val="0"/>
          <w:marTop w:val="86"/>
          <w:marBottom w:val="0"/>
          <w:divBdr>
            <w:top w:val="none" w:sz="0" w:space="0" w:color="auto"/>
            <w:left w:val="none" w:sz="0" w:space="0" w:color="auto"/>
            <w:bottom w:val="none" w:sz="0" w:space="0" w:color="auto"/>
            <w:right w:val="none" w:sz="0" w:space="0" w:color="auto"/>
          </w:divBdr>
        </w:div>
      </w:divsChild>
    </w:div>
    <w:div w:id="802842910">
      <w:marLeft w:val="0"/>
      <w:marRight w:val="0"/>
      <w:marTop w:val="0"/>
      <w:marBottom w:val="0"/>
      <w:divBdr>
        <w:top w:val="none" w:sz="0" w:space="0" w:color="auto"/>
        <w:left w:val="none" w:sz="0" w:space="0" w:color="auto"/>
        <w:bottom w:val="none" w:sz="0" w:space="0" w:color="auto"/>
        <w:right w:val="none" w:sz="0" w:space="0" w:color="auto"/>
      </w:divBdr>
    </w:div>
    <w:div w:id="802842914">
      <w:marLeft w:val="0"/>
      <w:marRight w:val="0"/>
      <w:marTop w:val="0"/>
      <w:marBottom w:val="0"/>
      <w:divBdr>
        <w:top w:val="none" w:sz="0" w:space="0" w:color="auto"/>
        <w:left w:val="none" w:sz="0" w:space="0" w:color="auto"/>
        <w:bottom w:val="none" w:sz="0" w:space="0" w:color="auto"/>
        <w:right w:val="none" w:sz="0" w:space="0" w:color="auto"/>
      </w:divBdr>
    </w:div>
    <w:div w:id="802842915">
      <w:marLeft w:val="0"/>
      <w:marRight w:val="0"/>
      <w:marTop w:val="0"/>
      <w:marBottom w:val="0"/>
      <w:divBdr>
        <w:top w:val="none" w:sz="0" w:space="0" w:color="auto"/>
        <w:left w:val="none" w:sz="0" w:space="0" w:color="auto"/>
        <w:bottom w:val="none" w:sz="0" w:space="0" w:color="auto"/>
        <w:right w:val="none" w:sz="0" w:space="0" w:color="auto"/>
      </w:divBdr>
    </w:div>
    <w:div w:id="802842916">
      <w:marLeft w:val="0"/>
      <w:marRight w:val="0"/>
      <w:marTop w:val="0"/>
      <w:marBottom w:val="0"/>
      <w:divBdr>
        <w:top w:val="none" w:sz="0" w:space="0" w:color="auto"/>
        <w:left w:val="none" w:sz="0" w:space="0" w:color="auto"/>
        <w:bottom w:val="none" w:sz="0" w:space="0" w:color="auto"/>
        <w:right w:val="none" w:sz="0" w:space="0" w:color="auto"/>
      </w:divBdr>
      <w:divsChild>
        <w:div w:id="802842909">
          <w:marLeft w:val="547"/>
          <w:marRight w:val="0"/>
          <w:marTop w:val="86"/>
          <w:marBottom w:val="0"/>
          <w:divBdr>
            <w:top w:val="none" w:sz="0" w:space="0" w:color="auto"/>
            <w:left w:val="none" w:sz="0" w:space="0" w:color="auto"/>
            <w:bottom w:val="none" w:sz="0" w:space="0" w:color="auto"/>
            <w:right w:val="none" w:sz="0" w:space="0" w:color="auto"/>
          </w:divBdr>
        </w:div>
      </w:divsChild>
    </w:div>
    <w:div w:id="880364685">
      <w:bodyDiv w:val="1"/>
      <w:marLeft w:val="0"/>
      <w:marRight w:val="0"/>
      <w:marTop w:val="0"/>
      <w:marBottom w:val="0"/>
      <w:divBdr>
        <w:top w:val="none" w:sz="0" w:space="0" w:color="auto"/>
        <w:left w:val="none" w:sz="0" w:space="0" w:color="auto"/>
        <w:bottom w:val="none" w:sz="0" w:space="0" w:color="auto"/>
        <w:right w:val="none" w:sz="0" w:space="0" w:color="auto"/>
      </w:divBdr>
    </w:div>
    <w:div w:id="1476526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2014</Words>
  <Characters>12694</Characters>
  <Application>Microsoft Office Word</Application>
  <DocSecurity>0</DocSecurity>
  <Lines>105</Lines>
  <Paragraphs>29</Paragraphs>
  <ScaleCrop>false</ScaleCrop>
  <HeadingPairs>
    <vt:vector size="4" baseType="variant">
      <vt:variant>
        <vt:lpstr>Titel</vt:lpstr>
      </vt:variant>
      <vt:variant>
        <vt:i4>1</vt:i4>
      </vt:variant>
      <vt:variant>
        <vt:lpstr>Headings</vt:lpstr>
      </vt:variant>
      <vt:variant>
        <vt:i4>5</vt:i4>
      </vt:variant>
    </vt:vector>
  </HeadingPairs>
  <TitlesOfParts>
    <vt:vector size="6" baseType="lpstr">
      <vt:lpstr>Sicherheitsunterweisung 02_2010</vt:lpstr>
      <vt:lpstr>Auswahl von Stromerzeugern </vt:lpstr>
      <vt:lpstr/>
      <vt:lpstr>Bauartnormen</vt:lpstr>
      <vt:lpstr/>
      <vt:lpstr>Die Schutzmaßnahem und Ausführungen gemäß DGUV-Information 203-032</vt:lpstr>
    </vt:vector>
  </TitlesOfParts>
  <Company>Axima GmbH</Company>
  <LinksUpToDate>false</LinksUpToDate>
  <CharactersWithSpaces>14679</CharactersWithSpaces>
  <SharedDoc>false</SharedDoc>
  <HLinks>
    <vt:vector size="18" baseType="variant">
      <vt:variant>
        <vt:i4>6357094</vt:i4>
      </vt:variant>
      <vt:variant>
        <vt:i4>3058</vt:i4>
      </vt:variant>
      <vt:variant>
        <vt:i4>1027</vt:i4>
      </vt:variant>
      <vt:variant>
        <vt:i4>1</vt:i4>
      </vt:variant>
      <vt:variant>
        <vt:lpwstr>Strommarke</vt:lpwstr>
      </vt:variant>
      <vt:variant>
        <vt:lpwstr/>
      </vt:variant>
      <vt:variant>
        <vt:i4>655486</vt:i4>
      </vt:variant>
      <vt:variant>
        <vt:i4>12696</vt:i4>
      </vt:variant>
      <vt:variant>
        <vt:i4>1029</vt:i4>
      </vt:variant>
      <vt:variant>
        <vt:i4>1</vt:i4>
      </vt:variant>
      <vt:variant>
        <vt:lpwstr>SmallLogo</vt:lpwstr>
      </vt:variant>
      <vt:variant>
        <vt:lpwstr/>
      </vt:variant>
      <vt:variant>
        <vt:i4>3866677</vt:i4>
      </vt:variant>
      <vt:variant>
        <vt:i4>-1</vt:i4>
      </vt:variant>
      <vt:variant>
        <vt:i4>1027</vt:i4>
      </vt:variant>
      <vt:variant>
        <vt:i4>1</vt:i4>
      </vt:variant>
      <vt:variant>
        <vt:lpwstr>http://www.feuerwehr-wilster.de/media/feuerwehr/erste_hilfe/rettungskette.gif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Sicherheitsunterweisung 02_2010</dc:title>
  <dc:subject/>
  <dc:creator>Stefan Euler</dc:creator>
  <cp:keywords/>
  <cp:lastModifiedBy>René Brünn</cp:lastModifiedBy>
  <cp:revision>3</cp:revision>
  <cp:lastPrinted>2016-03-18T13:13:00Z</cp:lastPrinted>
  <dcterms:created xsi:type="dcterms:W3CDTF">2020-05-05T15:43:00Z</dcterms:created>
  <dcterms:modified xsi:type="dcterms:W3CDTF">2020-05-05T15:53:00Z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611546853</vt:i4>
  </property>
  <property fmtid="{D5CDD505-2E9C-101B-9397-08002B2CF9AE}" pid="4" name="_ReviewCycleID">
    <vt:i4>611546853</vt:i4>
  </property>
  <property fmtid="{D5CDD505-2E9C-101B-9397-08002B2CF9AE}" pid="5" name="_EmailEntryID">
    <vt:lpwstr>00000000FD98DB2319F6474D9B823A195AE9C4AC0700F2B95EEF1C614448BE8D11219884B76F0000004FD3150000F2B95EEF1C614448BE8D11219884B76F0000004FD5F30000</vt:lpwstr>
  </property>
  <property fmtid="{D5CDD505-2E9C-101B-9397-08002B2CF9AE}" pid="6" name="_EmailStoreID0">
    <vt:lpwstr>0000000038A1BB1005E5101AA1BB08002B2A56C20000454D534D44422E444C4C00000000000000001B55FA20AA6611CD9BC800AA002FC45A0C0000005342533031002F6F3D4D454245444F2F6F753D66697273742061646D696E6973747261746976652067726F75702F636E3D526563697069656E74732F636E3D627275656</vt:lpwstr>
  </property>
  <property fmtid="{D5CDD505-2E9C-101B-9397-08002B2CF9AE}" pid="7" name="_EmailStoreID1">
    <vt:lpwstr>E6E00</vt:lpwstr>
  </property>
  <property fmtid="{D5CDD505-2E9C-101B-9397-08002B2CF9AE}" pid="8" name="_ReviewingToolsShownOnce">
    <vt:lpwstr/>
  </property>
</Properties>
</file>