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EB7B" w14:textId="77777777" w:rsidR="00A51D59" w:rsidRPr="005721B6" w:rsidRDefault="00A51D59" w:rsidP="0063372E">
      <w:pPr>
        <w:pStyle w:val="KeinLeerraum"/>
        <w:spacing w:after="60"/>
        <w:jc w:val="both"/>
        <w:rPr>
          <w:rFonts w:ascii="Arial" w:hAnsi="Arial" w:cs="Arial"/>
          <w:b/>
          <w:sz w:val="24"/>
          <w:szCs w:val="24"/>
        </w:rPr>
      </w:pPr>
      <w:r w:rsidRPr="005721B6">
        <w:rPr>
          <w:rFonts w:ascii="Arial" w:hAnsi="Arial" w:cs="Arial"/>
          <w:b/>
          <w:sz w:val="24"/>
          <w:szCs w:val="24"/>
        </w:rPr>
        <w:t>Instandhaltung</w:t>
      </w:r>
      <w:r>
        <w:rPr>
          <w:rFonts w:ascii="Arial" w:hAnsi="Arial" w:cs="Arial"/>
          <w:b/>
          <w:sz w:val="24"/>
          <w:szCs w:val="24"/>
        </w:rPr>
        <w:t>:</w:t>
      </w:r>
      <w:r w:rsidRPr="005721B6">
        <w:rPr>
          <w:rFonts w:ascii="Arial" w:hAnsi="Arial" w:cs="Arial"/>
          <w:b/>
          <w:sz w:val="24"/>
          <w:szCs w:val="24"/>
        </w:rPr>
        <w:t xml:space="preserve"> </w:t>
      </w:r>
    </w:p>
    <w:p w14:paraId="54BAA772" w14:textId="113C52FD" w:rsidR="00A51D59" w:rsidRDefault="00A51D59" w:rsidP="0063372E">
      <w:pPr>
        <w:jc w:val="both"/>
      </w:pPr>
      <w:r w:rsidRPr="00CB6307">
        <w:t>Instandhaltung ist die Gesamtheit aller Maßnahmen zur Erhaltung des sicheren Zustands oder der Rückführung in diesen. Instandhaltung umfasst insbesondere Inspektion, Wartung und Instandsetzung (§ 2 Absatz 7 BetrSichV).</w:t>
      </w:r>
    </w:p>
    <w:p w14:paraId="17B6B17C" w14:textId="77777777" w:rsidR="00A51D59" w:rsidRDefault="00A51D59" w:rsidP="0063372E">
      <w:pPr>
        <w:jc w:val="both"/>
      </w:pPr>
    </w:p>
    <w:p w14:paraId="56C39931" w14:textId="77777777" w:rsidR="00A51D59" w:rsidRDefault="00A51D59" w:rsidP="0063372E">
      <w:pPr>
        <w:jc w:val="both"/>
      </w:pPr>
      <w:r>
        <w:t>Folgende Punkte sind als Oberbegriff in Abs. 2 der Instandhaltung untergliedert:</w:t>
      </w:r>
      <w:r w:rsidRPr="00C97829">
        <w:t xml:space="preserve"> </w:t>
      </w:r>
    </w:p>
    <w:p w14:paraId="28D8E104" w14:textId="77777777" w:rsidR="00A51D59" w:rsidRDefault="00A51D59" w:rsidP="00922E49">
      <w:pPr>
        <w:pStyle w:val="Listenabsatz"/>
        <w:numPr>
          <w:ilvl w:val="0"/>
          <w:numId w:val="6"/>
        </w:numPr>
        <w:spacing w:before="120"/>
        <w:ind w:left="426" w:hanging="357"/>
        <w:jc w:val="both"/>
      </w:pPr>
      <w:r>
        <w:t xml:space="preserve">Wartung </w:t>
      </w:r>
    </w:p>
    <w:p w14:paraId="233D25BB" w14:textId="77777777" w:rsidR="00A51D59" w:rsidRDefault="00A51D59" w:rsidP="00922E49">
      <w:pPr>
        <w:pStyle w:val="Listenabsatz"/>
        <w:numPr>
          <w:ilvl w:val="0"/>
          <w:numId w:val="6"/>
        </w:numPr>
        <w:spacing w:before="120"/>
        <w:ind w:left="426" w:hanging="357"/>
        <w:jc w:val="both"/>
      </w:pPr>
      <w:r>
        <w:t>Inspektion</w:t>
      </w:r>
    </w:p>
    <w:p w14:paraId="7BDD3126" w14:textId="77777777" w:rsidR="00A51D59" w:rsidRDefault="00A51D59" w:rsidP="00922E49">
      <w:pPr>
        <w:pStyle w:val="Listenabsatz"/>
        <w:numPr>
          <w:ilvl w:val="0"/>
          <w:numId w:val="6"/>
        </w:numPr>
        <w:spacing w:before="120"/>
        <w:ind w:left="426" w:hanging="357"/>
        <w:jc w:val="both"/>
      </w:pPr>
      <w:r>
        <w:t xml:space="preserve">Instandsetzung </w:t>
      </w:r>
    </w:p>
    <w:p w14:paraId="6FB3842D" w14:textId="77777777" w:rsidR="00A51D59" w:rsidRPr="003350B3" w:rsidRDefault="00A51D59" w:rsidP="00922E49">
      <w:pPr>
        <w:pStyle w:val="Listenabsatz"/>
        <w:numPr>
          <w:ilvl w:val="0"/>
          <w:numId w:val="6"/>
        </w:numPr>
        <w:spacing w:before="120"/>
        <w:ind w:left="426" w:hanging="357"/>
        <w:jc w:val="both"/>
      </w:pPr>
      <w:r>
        <w:t>Erprobung (in der DIN 31051 wird an dieser Stelle die Verbesserung genannt)</w:t>
      </w:r>
    </w:p>
    <w:p w14:paraId="54E29879" w14:textId="77777777" w:rsidR="00A51D59" w:rsidRPr="007C022C" w:rsidRDefault="00A51D59" w:rsidP="0063372E">
      <w:pPr>
        <w:pStyle w:val="Titel"/>
        <w:spacing w:before="360"/>
        <w:jc w:val="both"/>
        <w:rPr>
          <w:rFonts w:ascii="Arial" w:hAnsi="Arial" w:cs="Arial"/>
          <w:sz w:val="24"/>
          <w:szCs w:val="24"/>
        </w:rPr>
      </w:pPr>
      <w:r w:rsidRPr="007C022C">
        <w:rPr>
          <w:rFonts w:ascii="Arial" w:hAnsi="Arial" w:cs="Arial"/>
          <w:sz w:val="24"/>
          <w:szCs w:val="24"/>
        </w:rPr>
        <w:t>Begriffsbestimmung:</w:t>
      </w:r>
    </w:p>
    <w:p w14:paraId="140049FA" w14:textId="77777777" w:rsidR="00A51D59" w:rsidRDefault="00A51D59" w:rsidP="0063372E">
      <w:pPr>
        <w:spacing w:before="60" w:after="60"/>
        <w:jc w:val="both"/>
      </w:pPr>
      <w:r w:rsidRPr="00350E61">
        <w:rPr>
          <w:b/>
        </w:rPr>
        <w:t>Wartung:</w:t>
      </w:r>
      <w:r>
        <w:t xml:space="preserve"> </w:t>
      </w:r>
      <w:r w:rsidRPr="00CB6307">
        <w:t>Maßnahmen zur Erhaltung des Sollzustandes eines Arbeitsmittels. Hierbei kann der Sollzustand, z.</w:t>
      </w:r>
      <w:r>
        <w:t> </w:t>
      </w:r>
      <w:r w:rsidRPr="00CB6307">
        <w:t>B. durch Reinigung und Schmierung des Arbeitsmittels, sowie Ergänzung oder Austausch von Arbeitsstoffen aufrechterhalten werden.</w:t>
      </w:r>
    </w:p>
    <w:p w14:paraId="6A22C480" w14:textId="77777777" w:rsidR="00A51D59" w:rsidRPr="00350E61" w:rsidRDefault="00A51D59" w:rsidP="0063372E">
      <w:pPr>
        <w:spacing w:before="60" w:after="60"/>
        <w:jc w:val="both"/>
      </w:pPr>
      <w:r w:rsidRPr="00350E61">
        <w:rPr>
          <w:b/>
        </w:rPr>
        <w:t>Inspektion:</w:t>
      </w:r>
      <w:r w:rsidRPr="00350E61">
        <w:rPr>
          <w:rFonts w:cs="Arial"/>
          <w:sz w:val="30"/>
          <w:szCs w:val="30"/>
        </w:rPr>
        <w:t xml:space="preserve"> </w:t>
      </w:r>
      <w:r w:rsidRPr="00350E61">
        <w:t>Maßnahmen zur Feststellung und Beurteilung des Istzustandes eines Arbeitsmittels, einschließlich der Bestimmung der Ursachen der Abnutzung oder Schädigung und der</w:t>
      </w:r>
      <w:r>
        <w:t xml:space="preserve"> </w:t>
      </w:r>
      <w:r w:rsidRPr="00350E61">
        <w:t>Ableitung der notwendigen Konsequenzen für eine künftige Nutzung.</w:t>
      </w:r>
    </w:p>
    <w:p w14:paraId="52D943AE" w14:textId="411FF6B4" w:rsidR="00A51D59" w:rsidRDefault="00A51D59" w:rsidP="0063372E">
      <w:pPr>
        <w:spacing w:before="60" w:after="60"/>
        <w:jc w:val="both"/>
      </w:pPr>
      <w:r>
        <w:rPr>
          <w:b/>
        </w:rPr>
        <w:t>Instandsetzung</w:t>
      </w:r>
      <w:r w:rsidRPr="00350E61">
        <w:rPr>
          <w:b/>
        </w:rPr>
        <w:t>:</w:t>
      </w:r>
      <w:r w:rsidRPr="00350E61">
        <w:rPr>
          <w:rFonts w:cs="Arial"/>
          <w:sz w:val="30"/>
          <w:szCs w:val="30"/>
        </w:rPr>
        <w:t xml:space="preserve"> </w:t>
      </w:r>
      <w:r w:rsidRPr="00350E61">
        <w:t>Maßnahmen zur Rückführung eines Arbeitsmittels in den Sollzustand, z.</w:t>
      </w:r>
      <w:r>
        <w:t> </w:t>
      </w:r>
      <w:r w:rsidRPr="00350E61">
        <w:t>B. Austausch von abgenutzten oder defekten Teilen gegen vorgegebene Ersatzteile.</w:t>
      </w:r>
      <w:r>
        <w:t xml:space="preserve"> </w:t>
      </w:r>
      <w:r w:rsidRPr="00350E61">
        <w:t>Vorgegebene Ersatzteile sind insbesondere diejenigen, die den Herstellerspezifikationen entsprechen.</w:t>
      </w:r>
    </w:p>
    <w:p w14:paraId="74065A9A" w14:textId="77777777" w:rsidR="00A51D59" w:rsidRDefault="00A51D59" w:rsidP="0063372E">
      <w:pPr>
        <w:spacing w:before="60" w:after="60"/>
        <w:jc w:val="both"/>
      </w:pPr>
      <w:r w:rsidRPr="00350E61">
        <w:rPr>
          <w:b/>
        </w:rPr>
        <w:t>Erprobung</w:t>
      </w:r>
      <w:r>
        <w:t>:</w:t>
      </w:r>
      <w:r w:rsidRPr="00350E61">
        <w:rPr>
          <w:rFonts w:cs="Arial"/>
          <w:sz w:val="30"/>
          <w:szCs w:val="30"/>
        </w:rPr>
        <w:t xml:space="preserve"> </w:t>
      </w:r>
      <w:r w:rsidRPr="00350E61">
        <w:t xml:space="preserve">Jedes </w:t>
      </w:r>
      <w:proofErr w:type="spellStart"/>
      <w:r w:rsidRPr="00350E61">
        <w:t>Ingangsetzen</w:t>
      </w:r>
      <w:proofErr w:type="spellEnd"/>
      <w:r w:rsidRPr="00350E61">
        <w:t xml:space="preserve"> eines Arbeitsmittels nach einer Instandsetzung zum Zweck der Funktionsprüfung, der Feststellung und Überprüfung v</w:t>
      </w:r>
      <w:r>
        <w:t>on sicherheitstechnisch relevan</w:t>
      </w:r>
      <w:r w:rsidRPr="00350E61">
        <w:t>ten Betriebsdaten (z.</w:t>
      </w:r>
      <w:r>
        <w:t> </w:t>
      </w:r>
      <w:r w:rsidRPr="00350E61">
        <w:t>B. Testläufe) sowie der Vornahme von Einstellungsarbeiten an Arbeitsmitteln und deren Ausrüstungsteilen</w:t>
      </w:r>
      <w:r>
        <w:t>.</w:t>
      </w:r>
    </w:p>
    <w:p w14:paraId="32CEB178" w14:textId="77777777" w:rsidR="00A51D59" w:rsidRDefault="00A51D59" w:rsidP="0063372E">
      <w:pPr>
        <w:ind w:left="709"/>
        <w:jc w:val="both"/>
      </w:pPr>
    </w:p>
    <w:p w14:paraId="3E7B153F" w14:textId="77777777" w:rsidR="00A51D59" w:rsidRPr="0003674B" w:rsidRDefault="00A51D59" w:rsidP="0063372E">
      <w:pPr>
        <w:pStyle w:val="Titel"/>
        <w:spacing w:before="120"/>
        <w:jc w:val="both"/>
        <w:rPr>
          <w:rFonts w:ascii="Arial" w:hAnsi="Arial" w:cs="Arial"/>
          <w:sz w:val="24"/>
          <w:szCs w:val="24"/>
        </w:rPr>
      </w:pPr>
      <w:r>
        <w:rPr>
          <w:rFonts w:ascii="Arial" w:hAnsi="Arial" w:cs="Arial"/>
          <w:sz w:val="24"/>
          <w:szCs w:val="24"/>
        </w:rPr>
        <w:t xml:space="preserve">Als </w:t>
      </w:r>
      <w:r w:rsidRPr="0003674B">
        <w:rPr>
          <w:rFonts w:ascii="Arial" w:hAnsi="Arial" w:cs="Arial"/>
          <w:sz w:val="24"/>
          <w:szCs w:val="24"/>
        </w:rPr>
        <w:t>Voraussetzun</w:t>
      </w:r>
      <w:r>
        <w:rPr>
          <w:rFonts w:ascii="Arial" w:hAnsi="Arial" w:cs="Arial"/>
          <w:sz w:val="24"/>
          <w:szCs w:val="24"/>
        </w:rPr>
        <w:t>gen zur Durchführung von Instand</w:t>
      </w:r>
      <w:r w:rsidRPr="0003674B">
        <w:rPr>
          <w:rFonts w:ascii="Arial" w:hAnsi="Arial" w:cs="Arial"/>
          <w:sz w:val="24"/>
          <w:szCs w:val="24"/>
        </w:rPr>
        <w:t>haltungsmaßnahmen gemäß der TRBS 1112</w:t>
      </w:r>
      <w:r>
        <w:rPr>
          <w:rFonts w:ascii="Arial" w:hAnsi="Arial" w:cs="Arial"/>
          <w:sz w:val="24"/>
          <w:szCs w:val="24"/>
        </w:rPr>
        <w:t xml:space="preserve"> sind folgende Schritte erforderlich:</w:t>
      </w:r>
    </w:p>
    <w:p w14:paraId="12EAE4C3" w14:textId="77777777" w:rsidR="00A51D59" w:rsidRPr="00922E49" w:rsidRDefault="00A51D59" w:rsidP="00922E49">
      <w:pPr>
        <w:pStyle w:val="Listenabsatz"/>
        <w:numPr>
          <w:ilvl w:val="0"/>
          <w:numId w:val="6"/>
        </w:numPr>
        <w:spacing w:before="120"/>
        <w:ind w:left="426" w:hanging="357"/>
        <w:jc w:val="both"/>
      </w:pPr>
      <w:r w:rsidRPr="00922E49">
        <w:t xml:space="preserve">Art, Umfang und Abfolge der Instandhaltungsmaßnahmen festlegen </w:t>
      </w:r>
    </w:p>
    <w:p w14:paraId="5856BC45" w14:textId="77777777" w:rsidR="00A51D59" w:rsidRPr="00922E49" w:rsidRDefault="00A51D59" w:rsidP="00922E49">
      <w:pPr>
        <w:pStyle w:val="Listenabsatz"/>
        <w:numPr>
          <w:ilvl w:val="0"/>
          <w:numId w:val="6"/>
        </w:numPr>
        <w:spacing w:before="120"/>
        <w:ind w:left="426" w:hanging="357"/>
        <w:jc w:val="both"/>
      </w:pPr>
      <w:r w:rsidRPr="00922E49">
        <w:t>auftretende Gefährdungen ermitteln und beurteilen</w:t>
      </w:r>
    </w:p>
    <w:p w14:paraId="12817C16" w14:textId="77777777" w:rsidR="00A51D59" w:rsidRPr="00922E49" w:rsidRDefault="00A51D59" w:rsidP="00922E49">
      <w:pPr>
        <w:pStyle w:val="Listenabsatz"/>
        <w:numPr>
          <w:ilvl w:val="0"/>
          <w:numId w:val="6"/>
        </w:numPr>
        <w:spacing w:before="120"/>
        <w:ind w:left="426" w:hanging="357"/>
        <w:jc w:val="both"/>
      </w:pPr>
      <w:r w:rsidRPr="00922E49">
        <w:t>die erforderlichen Schutzmaßnahmen festlegen</w:t>
      </w:r>
    </w:p>
    <w:p w14:paraId="0C820361" w14:textId="77777777" w:rsidR="00A51D59" w:rsidRPr="00922E49" w:rsidRDefault="00A51D59" w:rsidP="00922E49">
      <w:pPr>
        <w:pStyle w:val="Listenabsatz"/>
        <w:numPr>
          <w:ilvl w:val="0"/>
          <w:numId w:val="6"/>
        </w:numPr>
        <w:spacing w:before="120"/>
        <w:ind w:left="426" w:hanging="357"/>
        <w:jc w:val="both"/>
      </w:pPr>
      <w:r w:rsidRPr="00922E49">
        <w:t>vor der Vergabe an Fremdfirmen die Sicherheitsanforderungen sowie Anforderungen an die Qualifikation des Instandhaltungspersonals festlegen</w:t>
      </w:r>
    </w:p>
    <w:p w14:paraId="72C85A3B" w14:textId="77777777" w:rsidR="00A51D59" w:rsidRPr="00BA77F8" w:rsidRDefault="00A51D59" w:rsidP="0063372E">
      <w:pPr>
        <w:spacing w:after="60"/>
        <w:jc w:val="both"/>
        <w:rPr>
          <w:b/>
          <w:color w:val="FF0000"/>
          <w:szCs w:val="24"/>
          <w:highlight w:val="yellow"/>
        </w:rPr>
      </w:pPr>
    </w:p>
    <w:p w14:paraId="3DA4BCA2" w14:textId="77777777" w:rsidR="00922E49" w:rsidRDefault="00922E49" w:rsidP="0063372E">
      <w:pPr>
        <w:spacing w:after="60"/>
        <w:jc w:val="both"/>
        <w:rPr>
          <w:b/>
          <w:szCs w:val="24"/>
        </w:rPr>
      </w:pPr>
      <w:r>
        <w:rPr>
          <w:b/>
          <w:szCs w:val="24"/>
        </w:rPr>
        <w:br w:type="page"/>
      </w:r>
    </w:p>
    <w:p w14:paraId="0B3A79E8" w14:textId="63A14A1A" w:rsidR="00A51D59" w:rsidRPr="007C022C" w:rsidRDefault="00A51D59" w:rsidP="0063372E">
      <w:pPr>
        <w:spacing w:after="60"/>
        <w:jc w:val="both"/>
        <w:rPr>
          <w:b/>
          <w:szCs w:val="24"/>
        </w:rPr>
      </w:pPr>
      <w:r w:rsidRPr="007C022C">
        <w:rPr>
          <w:b/>
          <w:szCs w:val="24"/>
        </w:rPr>
        <w:lastRenderedPageBreak/>
        <w:t>Anwendungsbereich der TRBS 1112</w:t>
      </w:r>
      <w:r>
        <w:rPr>
          <w:b/>
          <w:szCs w:val="24"/>
        </w:rPr>
        <w:t>:</w:t>
      </w:r>
    </w:p>
    <w:p w14:paraId="5D635F1E" w14:textId="77777777" w:rsidR="00A51D59" w:rsidRPr="00DE5D32" w:rsidRDefault="00A51D59" w:rsidP="0063372E">
      <w:pPr>
        <w:pStyle w:val="Listenabsatz"/>
        <w:numPr>
          <w:ilvl w:val="0"/>
          <w:numId w:val="7"/>
        </w:numPr>
        <w:spacing w:line="276" w:lineRule="auto"/>
        <w:ind w:left="567"/>
        <w:jc w:val="both"/>
        <w:rPr>
          <w:szCs w:val="24"/>
        </w:rPr>
      </w:pPr>
      <w:r w:rsidRPr="00DE5D32">
        <w:rPr>
          <w:szCs w:val="24"/>
        </w:rPr>
        <w:t>Bei der Planung und Ausführung von Instandhaltungstätigkeiten.</w:t>
      </w:r>
    </w:p>
    <w:p w14:paraId="4844F7AF" w14:textId="77777777" w:rsidR="00A51D59" w:rsidRPr="00DE5D32" w:rsidRDefault="00A51D59" w:rsidP="0063372E">
      <w:pPr>
        <w:pStyle w:val="Listenabsatz"/>
        <w:numPr>
          <w:ilvl w:val="0"/>
          <w:numId w:val="7"/>
        </w:numPr>
        <w:spacing w:line="276" w:lineRule="auto"/>
        <w:ind w:left="567"/>
        <w:jc w:val="both"/>
        <w:rPr>
          <w:szCs w:val="24"/>
        </w:rPr>
      </w:pPr>
      <w:r w:rsidRPr="00DE5D32">
        <w:rPr>
          <w:szCs w:val="24"/>
        </w:rPr>
        <w:t>Bei der Störungssuche.</w:t>
      </w:r>
    </w:p>
    <w:p w14:paraId="18DEE319" w14:textId="77777777" w:rsidR="00A51D59" w:rsidRPr="00DE5D32" w:rsidRDefault="00A51D59" w:rsidP="0063372E">
      <w:pPr>
        <w:pStyle w:val="Listenabsatz"/>
        <w:numPr>
          <w:ilvl w:val="0"/>
          <w:numId w:val="7"/>
        </w:numPr>
        <w:spacing w:line="276" w:lineRule="auto"/>
        <w:ind w:left="567"/>
        <w:jc w:val="both"/>
        <w:rPr>
          <w:szCs w:val="24"/>
        </w:rPr>
      </w:pPr>
      <w:r w:rsidRPr="00DE5D32">
        <w:rPr>
          <w:szCs w:val="24"/>
        </w:rPr>
        <w:t xml:space="preserve">Bei der Erprobung nach Instandsetzung. </w:t>
      </w:r>
    </w:p>
    <w:p w14:paraId="39BAE67D" w14:textId="77777777" w:rsidR="00A51D59" w:rsidRPr="009D0089" w:rsidRDefault="00A51D59" w:rsidP="0063372E">
      <w:pPr>
        <w:ind w:left="207"/>
        <w:jc w:val="both"/>
        <w:rPr>
          <w:sz w:val="20"/>
        </w:rPr>
      </w:pPr>
    </w:p>
    <w:p w14:paraId="522909EC" w14:textId="77777777" w:rsidR="00A51D59" w:rsidRPr="007C022C" w:rsidRDefault="00A51D59" w:rsidP="0063372E">
      <w:pPr>
        <w:spacing w:after="60"/>
        <w:jc w:val="both"/>
        <w:rPr>
          <w:b/>
          <w:szCs w:val="24"/>
        </w:rPr>
      </w:pPr>
      <w:r w:rsidRPr="007C022C">
        <w:rPr>
          <w:b/>
          <w:szCs w:val="24"/>
        </w:rPr>
        <w:t>Voraussetzung zur Durchführung von Instandhaltungstätigkeiten</w:t>
      </w:r>
      <w:r>
        <w:rPr>
          <w:b/>
          <w:szCs w:val="24"/>
        </w:rPr>
        <w:t>:</w:t>
      </w:r>
    </w:p>
    <w:p w14:paraId="0B6E8BA3" w14:textId="77777777" w:rsidR="00A51D59" w:rsidRPr="00922E49" w:rsidRDefault="00A51D59" w:rsidP="0063372E">
      <w:pPr>
        <w:jc w:val="both"/>
      </w:pPr>
      <w:r w:rsidRPr="00922E49">
        <w:t xml:space="preserve">Gemäß TRBS 1112 (Abs. 3.2) Instandhaltungsmaßnahmen dürfen nur von fachkundigen, beauftragten und unterwiesenen Beschäftigten oder von sonstigen für die Durchführung der Instandhaltungsarbeiten geeigneten Auftragnehmern mit vergleichbarer Qualifikation </w:t>
      </w:r>
    </w:p>
    <w:p w14:paraId="2AEFAB15" w14:textId="77777777" w:rsidR="00A51D59" w:rsidRPr="00922E49" w:rsidRDefault="00A51D59" w:rsidP="0063372E">
      <w:pPr>
        <w:jc w:val="both"/>
      </w:pPr>
      <w:r w:rsidRPr="00922E49">
        <w:t>durchgeführt werden (§ 10 Absatz 2 Satz 2 BetrSichV).</w:t>
      </w:r>
    </w:p>
    <w:p w14:paraId="47830751" w14:textId="77777777" w:rsidR="00A51D59" w:rsidRPr="00922E49" w:rsidRDefault="00A51D59" w:rsidP="00922E49">
      <w:pPr>
        <w:jc w:val="both"/>
      </w:pPr>
    </w:p>
    <w:p w14:paraId="08BC7B3B" w14:textId="77777777" w:rsidR="00A51D59" w:rsidRPr="00922E49" w:rsidRDefault="00A51D59" w:rsidP="0063372E">
      <w:pPr>
        <w:jc w:val="both"/>
      </w:pPr>
      <w:r w:rsidRPr="00922E49">
        <w:t>Fremdfirmenmitarbeiter, nicht nur die Firmen als solche, müssen auf die erforderliche Fachkunde vom Auftraggeber nachweislich überprüft werden!</w:t>
      </w:r>
    </w:p>
    <w:p w14:paraId="26408829" w14:textId="375EC430" w:rsidR="00A51D59" w:rsidRPr="00922E49" w:rsidRDefault="00A51D59" w:rsidP="00922E49">
      <w:pPr>
        <w:jc w:val="both"/>
      </w:pPr>
    </w:p>
    <w:p w14:paraId="14B451FB" w14:textId="77777777" w:rsidR="00A51D59" w:rsidRPr="005721B6" w:rsidRDefault="00A51D59" w:rsidP="0063372E">
      <w:pPr>
        <w:spacing w:after="60"/>
        <w:jc w:val="both"/>
        <w:rPr>
          <w:b/>
          <w:szCs w:val="24"/>
        </w:rPr>
      </w:pPr>
      <w:r w:rsidRPr="005721B6">
        <w:rPr>
          <w:b/>
          <w:szCs w:val="24"/>
        </w:rPr>
        <w:t>Fazit:</w:t>
      </w:r>
    </w:p>
    <w:p w14:paraId="64B9CFCA" w14:textId="77777777" w:rsidR="00A51D59" w:rsidRPr="00922E49" w:rsidRDefault="00A51D59" w:rsidP="00922E49">
      <w:pPr>
        <w:jc w:val="both"/>
      </w:pPr>
      <w:bookmarkStart w:id="0" w:name="_GoBack"/>
      <w:r w:rsidRPr="00922E49">
        <w:t>Die Instandhaltung ist die Summe von Maßnahmen, welche zur Gewährleistung des sicheren Betriebs und der Gesundheit der Mitarbeiter getroffen und auf deren Wirksamkeit überprüft werden müssen. Die Anforderungen an eine Instandhaltung gemäß den zuvor beschriebenen Regelwerksanforderungen gehen damit weit über eine rein ereignisorientierte Instandsetzung durch den Arbeitgeber hinaus.</w:t>
      </w:r>
    </w:p>
    <w:bookmarkEnd w:id="0"/>
    <w:p w14:paraId="7CB3613D" w14:textId="006A12C9" w:rsidR="009A73D6" w:rsidRPr="00A51D59" w:rsidRDefault="009A73D6" w:rsidP="0063372E">
      <w:pPr>
        <w:jc w:val="both"/>
      </w:pPr>
    </w:p>
    <w:sectPr w:rsidR="009A73D6" w:rsidRPr="00A51D59" w:rsidSect="00D75291">
      <w:headerReference w:type="default" r:id="rId8"/>
      <w:footerReference w:type="default" r:id="rId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95FE" w14:textId="77777777" w:rsidR="00342CD9" w:rsidRDefault="00342CD9">
      <w:r>
        <w:separator/>
      </w:r>
    </w:p>
  </w:endnote>
  <w:endnote w:type="continuationSeparator" w:id="0">
    <w:p w14:paraId="66D2D433" w14:textId="77777777" w:rsidR="00342CD9" w:rsidRDefault="0034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4B87BD2C" w:rsidR="004F0DC2" w:rsidRPr="004C1C05" w:rsidRDefault="00393F84" w:rsidP="004F0DC2">
          <w:pPr>
            <w:pStyle w:val="Fuzeile"/>
            <w:ind w:right="-83"/>
            <w:rPr>
              <w:sz w:val="16"/>
              <w:szCs w:val="16"/>
            </w:rPr>
          </w:pPr>
          <w:r>
            <w:rPr>
              <w:sz w:val="16"/>
              <w:szCs w:val="16"/>
            </w:rPr>
            <w:t>0</w:t>
          </w:r>
          <w:r w:rsidR="00921189">
            <w:rPr>
              <w:sz w:val="16"/>
              <w:szCs w:val="16"/>
            </w:rPr>
            <w:t>2</w:t>
          </w:r>
          <w:r w:rsidR="007A3D26">
            <w:rPr>
              <w:sz w:val="16"/>
              <w:szCs w:val="16"/>
            </w:rPr>
            <w:t>.20</w:t>
          </w:r>
          <w:r>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0636" w14:textId="77777777" w:rsidR="00342CD9" w:rsidRDefault="00342CD9">
      <w:r>
        <w:separator/>
      </w:r>
    </w:p>
  </w:footnote>
  <w:footnote w:type="continuationSeparator" w:id="0">
    <w:p w14:paraId="5A71A582" w14:textId="77777777" w:rsidR="00342CD9" w:rsidRDefault="0034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72F16FA9" w:rsidR="004F0DC2" w:rsidRPr="00E21DC0" w:rsidRDefault="004F0DC2" w:rsidP="004F0DC2">
          <w:pPr>
            <w:jc w:val="center"/>
          </w:pPr>
          <w:r w:rsidRPr="00E21DC0">
            <w:rPr>
              <w:b/>
            </w:rPr>
            <w:t>UW_ET_</w:t>
          </w:r>
          <w:r w:rsidR="00697A12">
            <w:rPr>
              <w:b/>
            </w:rPr>
            <w:t>5</w:t>
          </w:r>
          <w:r w:rsidR="00921189">
            <w:rPr>
              <w:b/>
            </w:rPr>
            <w:t>4</w:t>
          </w:r>
        </w:p>
      </w:tc>
      <w:tc>
        <w:tcPr>
          <w:tcW w:w="5026" w:type="dxa"/>
          <w:vAlign w:val="center"/>
        </w:tcPr>
        <w:p w14:paraId="63D167E9" w14:textId="6D614E44" w:rsidR="004F0DC2" w:rsidRPr="00B2005A" w:rsidRDefault="00921189" w:rsidP="004F0DC2">
          <w:pPr>
            <w:jc w:val="center"/>
            <w:rPr>
              <w:sz w:val="28"/>
              <w:szCs w:val="28"/>
            </w:rPr>
          </w:pPr>
          <w:r w:rsidRPr="00921189">
            <w:rPr>
              <w:sz w:val="28"/>
              <w:szCs w:val="28"/>
            </w:rPr>
            <w:t>Instandhaltung</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D5F"/>
    <w:multiLevelType w:val="hybridMultilevel"/>
    <w:tmpl w:val="F416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11EA8"/>
    <w:multiLevelType w:val="hybridMultilevel"/>
    <w:tmpl w:val="7DF45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9615A"/>
    <w:multiLevelType w:val="hybridMultilevel"/>
    <w:tmpl w:val="23E09578"/>
    <w:lvl w:ilvl="0" w:tplc="A94C6CD4">
      <w:start w:val="1"/>
      <w:numFmt w:val="bullet"/>
      <w:lvlText w:val=""/>
      <w:lvlJc w:val="left"/>
      <w:pPr>
        <w:tabs>
          <w:tab w:val="num" w:pos="720"/>
        </w:tabs>
        <w:ind w:left="720" w:hanging="360"/>
      </w:pPr>
      <w:rPr>
        <w:rFonts w:ascii="Symbol" w:hAnsi="Symbol" w:hint="default"/>
      </w:rPr>
    </w:lvl>
    <w:lvl w:ilvl="1" w:tplc="821CFA40">
      <w:start w:val="1"/>
      <w:numFmt w:val="bullet"/>
      <w:lvlText w:val=""/>
      <w:lvlJc w:val="left"/>
      <w:pPr>
        <w:tabs>
          <w:tab w:val="num" w:pos="1440"/>
        </w:tabs>
        <w:ind w:left="1440" w:hanging="360"/>
      </w:pPr>
      <w:rPr>
        <w:rFonts w:ascii="Symbol" w:hAnsi="Symbol" w:hint="default"/>
      </w:rPr>
    </w:lvl>
    <w:lvl w:ilvl="2" w:tplc="F042A8C8" w:tentative="1">
      <w:start w:val="1"/>
      <w:numFmt w:val="bullet"/>
      <w:lvlText w:val=""/>
      <w:lvlJc w:val="left"/>
      <w:pPr>
        <w:tabs>
          <w:tab w:val="num" w:pos="2160"/>
        </w:tabs>
        <w:ind w:left="2160" w:hanging="360"/>
      </w:pPr>
      <w:rPr>
        <w:rFonts w:ascii="Symbol" w:hAnsi="Symbol" w:hint="default"/>
      </w:rPr>
    </w:lvl>
    <w:lvl w:ilvl="3" w:tplc="893E7E92" w:tentative="1">
      <w:start w:val="1"/>
      <w:numFmt w:val="bullet"/>
      <w:lvlText w:val=""/>
      <w:lvlJc w:val="left"/>
      <w:pPr>
        <w:tabs>
          <w:tab w:val="num" w:pos="2880"/>
        </w:tabs>
        <w:ind w:left="2880" w:hanging="360"/>
      </w:pPr>
      <w:rPr>
        <w:rFonts w:ascii="Symbol" w:hAnsi="Symbol" w:hint="default"/>
      </w:rPr>
    </w:lvl>
    <w:lvl w:ilvl="4" w:tplc="3ED24862" w:tentative="1">
      <w:start w:val="1"/>
      <w:numFmt w:val="bullet"/>
      <w:lvlText w:val=""/>
      <w:lvlJc w:val="left"/>
      <w:pPr>
        <w:tabs>
          <w:tab w:val="num" w:pos="3600"/>
        </w:tabs>
        <w:ind w:left="3600" w:hanging="360"/>
      </w:pPr>
      <w:rPr>
        <w:rFonts w:ascii="Symbol" w:hAnsi="Symbol" w:hint="default"/>
      </w:rPr>
    </w:lvl>
    <w:lvl w:ilvl="5" w:tplc="4A96CFAC" w:tentative="1">
      <w:start w:val="1"/>
      <w:numFmt w:val="bullet"/>
      <w:lvlText w:val=""/>
      <w:lvlJc w:val="left"/>
      <w:pPr>
        <w:tabs>
          <w:tab w:val="num" w:pos="4320"/>
        </w:tabs>
        <w:ind w:left="4320" w:hanging="360"/>
      </w:pPr>
      <w:rPr>
        <w:rFonts w:ascii="Symbol" w:hAnsi="Symbol" w:hint="default"/>
      </w:rPr>
    </w:lvl>
    <w:lvl w:ilvl="6" w:tplc="80B2B5C2" w:tentative="1">
      <w:start w:val="1"/>
      <w:numFmt w:val="bullet"/>
      <w:lvlText w:val=""/>
      <w:lvlJc w:val="left"/>
      <w:pPr>
        <w:tabs>
          <w:tab w:val="num" w:pos="5040"/>
        </w:tabs>
        <w:ind w:left="5040" w:hanging="360"/>
      </w:pPr>
      <w:rPr>
        <w:rFonts w:ascii="Symbol" w:hAnsi="Symbol" w:hint="default"/>
      </w:rPr>
    </w:lvl>
    <w:lvl w:ilvl="7" w:tplc="403CC162" w:tentative="1">
      <w:start w:val="1"/>
      <w:numFmt w:val="bullet"/>
      <w:lvlText w:val=""/>
      <w:lvlJc w:val="left"/>
      <w:pPr>
        <w:tabs>
          <w:tab w:val="num" w:pos="5760"/>
        </w:tabs>
        <w:ind w:left="5760" w:hanging="360"/>
      </w:pPr>
      <w:rPr>
        <w:rFonts w:ascii="Symbol" w:hAnsi="Symbol" w:hint="default"/>
      </w:rPr>
    </w:lvl>
    <w:lvl w:ilvl="8" w:tplc="4094C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A2555C"/>
    <w:multiLevelType w:val="hybridMultilevel"/>
    <w:tmpl w:val="D33C62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28952A9"/>
    <w:multiLevelType w:val="hybridMultilevel"/>
    <w:tmpl w:val="859E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7C1841"/>
    <w:multiLevelType w:val="hybridMultilevel"/>
    <w:tmpl w:val="6960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E0584"/>
    <w:multiLevelType w:val="hybridMultilevel"/>
    <w:tmpl w:val="7A020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951165"/>
    <w:multiLevelType w:val="hybridMultilevel"/>
    <w:tmpl w:val="E51E3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42CD9"/>
    <w:rsid w:val="003524AB"/>
    <w:rsid w:val="00353D59"/>
    <w:rsid w:val="0036642C"/>
    <w:rsid w:val="0037026C"/>
    <w:rsid w:val="00372E27"/>
    <w:rsid w:val="003810DA"/>
    <w:rsid w:val="00381DA4"/>
    <w:rsid w:val="003826A8"/>
    <w:rsid w:val="0038435E"/>
    <w:rsid w:val="00387658"/>
    <w:rsid w:val="0039050A"/>
    <w:rsid w:val="00392DF9"/>
    <w:rsid w:val="00393F84"/>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49E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35F1"/>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E6FC4"/>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2D2"/>
    <w:rsid w:val="00625C19"/>
    <w:rsid w:val="006262F6"/>
    <w:rsid w:val="0062688B"/>
    <w:rsid w:val="00626E05"/>
    <w:rsid w:val="0063075F"/>
    <w:rsid w:val="0063372E"/>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A12"/>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76208"/>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189"/>
    <w:rsid w:val="00921691"/>
    <w:rsid w:val="00922E49"/>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A73D6"/>
    <w:rsid w:val="009B4674"/>
    <w:rsid w:val="009B64A6"/>
    <w:rsid w:val="009C1BDA"/>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1D59"/>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1D89"/>
    <w:rsid w:val="00C664F4"/>
    <w:rsid w:val="00C67109"/>
    <w:rsid w:val="00C725CB"/>
    <w:rsid w:val="00C740C3"/>
    <w:rsid w:val="00C76F57"/>
    <w:rsid w:val="00C8238B"/>
    <w:rsid w:val="00C90655"/>
    <w:rsid w:val="00C92AA8"/>
    <w:rsid w:val="00C94250"/>
    <w:rsid w:val="00C94F41"/>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36E"/>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6771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9A73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semiHidden/>
    <w:rsid w:val="009A73D6"/>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qFormat/>
    <w:locked/>
    <w:rsid w:val="00A51D59"/>
    <w:pPr>
      <w:spacing w:before="240" w:after="60"/>
      <w:jc w:val="center"/>
      <w:outlineLvl w:val="0"/>
    </w:pPr>
    <w:rPr>
      <w:rFonts w:ascii="Calibri Light" w:hAnsi="Calibri Light"/>
      <w:b/>
      <w:bCs/>
      <w:kern w:val="28"/>
      <w:sz w:val="32"/>
      <w:szCs w:val="32"/>
    </w:rPr>
  </w:style>
  <w:style w:type="character" w:customStyle="1" w:styleId="TitelZchn">
    <w:name w:val="Titel Zchn"/>
    <w:basedOn w:val="Absatz-Standardschriftart"/>
    <w:link w:val="Titel"/>
    <w:rsid w:val="00A51D5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A113-7B8C-2E43-995F-99C61EC8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2020-03-03T10:02:00Z</dcterms:created>
  <dcterms:modified xsi:type="dcterms:W3CDTF">2020-03-03T10:46:00Z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