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BA8E" w14:textId="46037C3C" w:rsidR="009A73D6" w:rsidRPr="009A73D6" w:rsidRDefault="009A73D6" w:rsidP="009A73D6">
      <w:pPr>
        <w:pStyle w:val="KeinLeerraum"/>
        <w:spacing w:before="60" w:after="120"/>
        <w:rPr>
          <w:rFonts w:ascii="Arial" w:hAnsi="Arial" w:cs="Arial"/>
          <w:b/>
          <w:color w:val="000000" w:themeColor="text1"/>
        </w:rPr>
      </w:pPr>
      <w:r w:rsidRPr="009A73D6">
        <w:rPr>
          <w:rFonts w:ascii="Arial" w:hAnsi="Arial" w:cs="Arial"/>
          <w:b/>
          <w:color w:val="000000" w:themeColor="text1"/>
        </w:rPr>
        <w:t>Was ist beim Zugang zu „Abgeschlossenen elektrischen Betriebsstätten“ zu beachten?</w:t>
      </w:r>
    </w:p>
    <w:p w14:paraId="30B8BC61" w14:textId="10109C00" w:rsidR="009A73D6" w:rsidRPr="009A73D6" w:rsidRDefault="009A73D6" w:rsidP="009A73D6">
      <w:pPr>
        <w:pStyle w:val="KeinLeerraum"/>
        <w:spacing w:before="240" w:after="120"/>
        <w:rPr>
          <w:rFonts w:ascii="Arial" w:hAnsi="Arial" w:cs="Arial"/>
          <w:color w:val="000000" w:themeColor="text1"/>
        </w:rPr>
      </w:pPr>
      <w:r w:rsidRPr="009A73D6">
        <w:rPr>
          <w:rFonts w:ascii="Arial" w:hAnsi="Arial" w:cs="Arial"/>
          <w:b/>
          <w:color w:val="000000" w:themeColor="text1"/>
        </w:rPr>
        <w:t>Allgemein gilt:</w:t>
      </w:r>
      <w:r w:rsidRPr="009A73D6">
        <w:rPr>
          <w:rFonts w:ascii="Arial" w:hAnsi="Arial" w:cs="Arial"/>
          <w:color w:val="000000" w:themeColor="text1"/>
        </w:rPr>
        <w:t xml:space="preserve"> An den Zugängen zu den abgeschlossenen elektrischen Betriebsstätte</w:t>
      </w:r>
      <w:r w:rsidRPr="009A73D6">
        <w:rPr>
          <w:rFonts w:ascii="Arial" w:hAnsi="Arial" w:cs="Arial"/>
          <w:color w:val="000000" w:themeColor="text1"/>
        </w:rPr>
        <w:t>n</w:t>
      </w:r>
      <w:r w:rsidRPr="009A73D6">
        <w:rPr>
          <w:rFonts w:ascii="Arial" w:hAnsi="Arial" w:cs="Arial"/>
          <w:color w:val="000000" w:themeColor="text1"/>
        </w:rPr>
        <w:t xml:space="preserve"> ist das Warnzeichen W012 (siehe </w:t>
      </w:r>
      <w:r w:rsidRPr="009A73D6">
        <w:rPr>
          <w:rFonts w:ascii="Arial" w:hAnsi="Arial" w:cs="Arial"/>
          <w:color w:val="000000" w:themeColor="text1"/>
        </w:rPr>
        <w:fldChar w:fldCharType="begin"/>
      </w:r>
      <w:r w:rsidRPr="009A73D6">
        <w:rPr>
          <w:rFonts w:ascii="Arial" w:hAnsi="Arial" w:cs="Arial"/>
          <w:color w:val="000000" w:themeColor="text1"/>
        </w:rPr>
        <w:instrText xml:space="preserve"> REF _Ref6226190 \h  \* MERGEFORMAT </w:instrText>
      </w:r>
      <w:r w:rsidRPr="009A73D6">
        <w:rPr>
          <w:rFonts w:ascii="Arial" w:hAnsi="Arial" w:cs="Arial"/>
          <w:color w:val="000000" w:themeColor="text1"/>
        </w:rPr>
      </w:r>
      <w:r w:rsidRPr="009A73D6">
        <w:rPr>
          <w:rFonts w:ascii="Arial" w:hAnsi="Arial" w:cs="Arial"/>
          <w:color w:val="000000" w:themeColor="text1"/>
        </w:rPr>
        <w:fldChar w:fldCharType="separate"/>
      </w:r>
      <w:r w:rsidRPr="009A73D6">
        <w:rPr>
          <w:rFonts w:ascii="Arial" w:hAnsi="Arial" w:cs="Arial"/>
          <w:color w:val="000000" w:themeColor="text1"/>
        </w:rPr>
        <w:t>Abbildung 1</w:t>
      </w:r>
      <w:r w:rsidRPr="009A73D6">
        <w:rPr>
          <w:rFonts w:ascii="Arial" w:hAnsi="Arial" w:cs="Arial"/>
          <w:color w:val="000000" w:themeColor="text1"/>
        </w:rPr>
        <w:fldChar w:fldCharType="end"/>
      </w:r>
      <w:r w:rsidRPr="009A73D6">
        <w:rPr>
          <w:rFonts w:ascii="Arial" w:hAnsi="Arial" w:cs="Arial"/>
          <w:color w:val="000000" w:themeColor="text1"/>
        </w:rPr>
        <w:t>) anzubringen.</w:t>
      </w:r>
      <w:r w:rsidRPr="009A73D6">
        <w:rPr>
          <w:rFonts w:ascii="Arial" w:hAnsi="Arial" w:cs="Arial"/>
          <w:color w:val="000000" w:themeColor="text1"/>
        </w:rPr>
        <w:t xml:space="preserve"> </w:t>
      </w:r>
      <w:r w:rsidRPr="009A73D6">
        <w:rPr>
          <w:rFonts w:ascii="Arial" w:hAnsi="Arial" w:cs="Arial"/>
          <w:color w:val="000000" w:themeColor="text1"/>
        </w:rPr>
        <w:t>Abgeschlossene elektrische Betriebsstätten sind ein Raum oder Ort, der ausschließlich zum Betrieb elektrischer Anlagen dient und unter Verschluss gehalten wird. Der Verschluss darf nur von beauftragten Personen geöffnet werden. Der Zutritt ist Elektrofachkräften und elektrotechnisch unterwiesenen Personen gestattet, Laien jedoch nur in Begleitung von Elektrofachkräften oder elektrotechnisch unterwiesenen Personen.</w:t>
      </w:r>
    </w:p>
    <w:tbl>
      <w:tblPr>
        <w:tblW w:w="9498" w:type="dxa"/>
        <w:tblInd w:w="-5" w:type="dxa"/>
        <w:tblLayout w:type="fixed"/>
        <w:tblLook w:val="04A0" w:firstRow="1" w:lastRow="0" w:firstColumn="1" w:lastColumn="0" w:noHBand="0" w:noVBand="1"/>
      </w:tblPr>
      <w:tblGrid>
        <w:gridCol w:w="3974"/>
        <w:gridCol w:w="5524"/>
      </w:tblGrid>
      <w:tr w:rsidR="009A73D6" w:rsidRPr="009A73D6" w14:paraId="10CB3682" w14:textId="77777777" w:rsidTr="009A73D6">
        <w:trPr>
          <w:trHeight w:val="1134"/>
        </w:trPr>
        <w:tc>
          <w:tcPr>
            <w:tcW w:w="3974" w:type="dxa"/>
            <w:shd w:val="clear" w:color="auto" w:fill="auto"/>
          </w:tcPr>
          <w:p w14:paraId="6D8D3D81" w14:textId="77777777" w:rsidR="009A73D6" w:rsidRDefault="009A73D6" w:rsidP="00614AD1">
            <w:pPr>
              <w:pStyle w:val="KeinLeerraum"/>
              <w:spacing w:before="60" w:after="60"/>
              <w:jc w:val="center"/>
              <w:rPr>
                <w:rFonts w:ascii="Arial" w:hAnsi="Arial" w:cs="Arial"/>
                <w:color w:val="000000" w:themeColor="text1"/>
              </w:rPr>
            </w:pPr>
            <w:r w:rsidRPr="009A73D6">
              <w:rPr>
                <w:rFonts w:ascii="Arial" w:hAnsi="Arial" w:cs="Arial"/>
                <w:noProof/>
                <w:color w:val="000000" w:themeColor="text1"/>
              </w:rPr>
              <w:drawing>
                <wp:inline distT="0" distB="0" distL="0" distR="0" wp14:anchorId="4E2A3D8B" wp14:editId="61078333">
                  <wp:extent cx="1075765" cy="931825"/>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52" cy="943334"/>
                          </a:xfrm>
                          <a:prstGeom prst="rect">
                            <a:avLst/>
                          </a:prstGeom>
                          <a:noFill/>
                          <a:ln>
                            <a:noFill/>
                          </a:ln>
                        </pic:spPr>
                      </pic:pic>
                    </a:graphicData>
                  </a:graphic>
                </wp:inline>
              </w:drawing>
            </w:r>
          </w:p>
          <w:p w14:paraId="603F651E" w14:textId="0BED6B72" w:rsidR="009A73D6" w:rsidRPr="009A73D6" w:rsidRDefault="009A73D6" w:rsidP="009A73D6">
            <w:pPr>
              <w:pStyle w:val="Beschriftung"/>
              <w:spacing w:before="60" w:after="240"/>
              <w:rPr>
                <w:rFonts w:cs="Arial"/>
                <w:b/>
                <w:i w:val="0"/>
                <w:color w:val="000000" w:themeColor="text1"/>
                <w:sz w:val="16"/>
                <w:szCs w:val="16"/>
              </w:rPr>
            </w:pPr>
            <w:r w:rsidRPr="009A73D6">
              <w:rPr>
                <w:rFonts w:cs="Arial"/>
                <w:color w:val="000000" w:themeColor="text1"/>
                <w:sz w:val="16"/>
                <w:szCs w:val="16"/>
              </w:rPr>
              <w:t>Sicherheitszeichen nach ASR A1.3 – Warnzeichen</w:t>
            </w:r>
          </w:p>
        </w:tc>
        <w:tc>
          <w:tcPr>
            <w:tcW w:w="5524" w:type="dxa"/>
            <w:shd w:val="clear" w:color="auto" w:fill="auto"/>
          </w:tcPr>
          <w:p w14:paraId="7B172B27" w14:textId="77777777" w:rsidR="009A73D6" w:rsidRPr="009A73D6" w:rsidRDefault="009A73D6" w:rsidP="00614AD1">
            <w:pPr>
              <w:pStyle w:val="KeinLeerraum"/>
              <w:spacing w:before="60" w:after="60"/>
              <w:rPr>
                <w:rFonts w:ascii="Arial" w:hAnsi="Arial" w:cs="Arial"/>
                <w:color w:val="000000" w:themeColor="text1"/>
              </w:rPr>
            </w:pPr>
            <w:r w:rsidRPr="009A73D6">
              <w:rPr>
                <w:rFonts w:ascii="Arial" w:hAnsi="Arial" w:cs="Arial"/>
                <w:color w:val="000000" w:themeColor="text1"/>
              </w:rPr>
              <w:t>W012 Warnung vor elektrischer Spannung</w:t>
            </w:r>
          </w:p>
          <w:p w14:paraId="42DF6FA7" w14:textId="77777777" w:rsidR="009A73D6" w:rsidRPr="009A73D6" w:rsidRDefault="009A73D6" w:rsidP="00614AD1">
            <w:pPr>
              <w:pStyle w:val="berschrift3"/>
              <w:rPr>
                <w:rFonts w:ascii="Arial" w:hAnsi="Arial" w:cs="Arial"/>
                <w:color w:val="000000" w:themeColor="text1"/>
                <w:sz w:val="22"/>
                <w:szCs w:val="22"/>
              </w:rPr>
            </w:pPr>
            <w:r w:rsidRPr="009A73D6">
              <w:rPr>
                <w:rFonts w:ascii="Arial" w:eastAsia="Calibri" w:hAnsi="Arial" w:cs="Arial"/>
                <w:color w:val="000000" w:themeColor="text1"/>
                <w:sz w:val="22"/>
                <w:szCs w:val="22"/>
                <w:lang w:eastAsia="en-US"/>
              </w:rPr>
              <w:t>Hochspannungsbereiche sollten zusätzlich</w:t>
            </w:r>
            <w:r w:rsidRPr="009A73D6">
              <w:rPr>
                <w:rFonts w:ascii="Arial" w:eastAsia="Calibri" w:hAnsi="Arial" w:cs="Arial"/>
                <w:color w:val="000000" w:themeColor="text1"/>
                <w:sz w:val="22"/>
                <w:szCs w:val="22"/>
                <w:lang w:eastAsia="en-US"/>
              </w:rPr>
              <w:br/>
              <w:t>gemäß VDE 0100-731 „Anforderungen für Betriebsstätten, Räume und Anlagen besonderer Art – Abgeschlossene elektrische Betriebsstätten</w:t>
            </w:r>
            <w:r w:rsidRPr="009A73D6">
              <w:rPr>
                <w:rFonts w:ascii="Arial" w:hAnsi="Arial" w:cs="Arial"/>
                <w:color w:val="000000" w:themeColor="text1"/>
                <w:sz w:val="22"/>
                <w:szCs w:val="22"/>
              </w:rPr>
              <w:t xml:space="preserve"> </w:t>
            </w:r>
            <w:r w:rsidRPr="009A73D6">
              <w:rPr>
                <w:rFonts w:ascii="Arial" w:eastAsia="Calibri" w:hAnsi="Arial" w:cs="Arial"/>
                <w:color w:val="000000" w:themeColor="text1"/>
                <w:sz w:val="22"/>
                <w:szCs w:val="22"/>
                <w:lang w:eastAsia="en-US"/>
              </w:rPr>
              <w:t>mit dem Hinweis</w:t>
            </w:r>
            <w:r w:rsidRPr="009A73D6">
              <w:rPr>
                <w:rFonts w:ascii="Arial" w:hAnsi="Arial" w:cs="Arial"/>
                <w:color w:val="000000" w:themeColor="text1"/>
                <w:sz w:val="22"/>
                <w:szCs w:val="22"/>
              </w:rPr>
              <w:t xml:space="preserve"> „Hochspannung Lebensgefahr“ </w:t>
            </w:r>
            <w:r w:rsidRPr="009A73D6">
              <w:rPr>
                <w:rFonts w:ascii="Arial" w:eastAsia="Calibri" w:hAnsi="Arial" w:cs="Arial"/>
                <w:color w:val="000000" w:themeColor="text1"/>
                <w:sz w:val="22"/>
                <w:szCs w:val="22"/>
                <w:lang w:eastAsia="en-US"/>
              </w:rPr>
              <w:t>gekennzeichnet werden.</w:t>
            </w:r>
          </w:p>
        </w:tc>
      </w:tr>
    </w:tbl>
    <w:p w14:paraId="3D658392" w14:textId="01285921" w:rsidR="009A73D6" w:rsidRPr="009A73D6" w:rsidRDefault="009A73D6" w:rsidP="009A73D6">
      <w:pPr>
        <w:pStyle w:val="KeinLeerraum"/>
        <w:spacing w:before="60" w:after="60"/>
        <w:rPr>
          <w:rFonts w:ascii="Arial" w:hAnsi="Arial" w:cs="Arial"/>
          <w:color w:val="000000" w:themeColor="text1"/>
        </w:rPr>
      </w:pPr>
      <w:r w:rsidRPr="009A73D6">
        <w:rPr>
          <w:rFonts w:ascii="Arial" w:hAnsi="Arial" w:cs="Arial"/>
          <w:b/>
          <w:bCs/>
          <w:color w:val="000000" w:themeColor="text1"/>
        </w:rPr>
        <w:t>Wichtig</w:t>
      </w:r>
      <w:r w:rsidRPr="009A73D6">
        <w:rPr>
          <w:rFonts w:ascii="Arial" w:hAnsi="Arial" w:cs="Arial"/>
          <w:color w:val="000000" w:themeColor="text1"/>
        </w:rPr>
        <w:t>: Die Notwendigkeit einer Sicherheits- und Gesundheitsschutzkennzeichnung ist immer im Rahmen einer Gefährdungsbeurteilung, durchgeführt durch nachweislich fachkundige Personen, zu prüfen!</w:t>
      </w:r>
      <w:r>
        <w:rPr>
          <w:rFonts w:ascii="Arial" w:hAnsi="Arial" w:cs="Arial"/>
          <w:color w:val="000000" w:themeColor="text1"/>
        </w:rPr>
        <w:t xml:space="preserve"> </w:t>
      </w:r>
      <w:proofErr w:type="gramStart"/>
      <w:r w:rsidRPr="009A73D6">
        <w:rPr>
          <w:rFonts w:ascii="Arial" w:hAnsi="Arial" w:cs="Arial"/>
          <w:color w:val="000000" w:themeColor="text1"/>
        </w:rPr>
        <w:t>Als</w:t>
      </w:r>
      <w:proofErr w:type="gramEnd"/>
      <w:r w:rsidRPr="009A73D6">
        <w:rPr>
          <w:rFonts w:ascii="Arial" w:hAnsi="Arial" w:cs="Arial"/>
          <w:color w:val="000000" w:themeColor="text1"/>
        </w:rPr>
        <w:t xml:space="preserve"> Ergebnis der Gefährdungsbeurteilung sind ggf. weitere Schilder anzubringen. Nachfolgend einige Beschilderungsbeispiele:</w:t>
      </w:r>
    </w:p>
    <w:tbl>
      <w:tblPr>
        <w:tblStyle w:val="Tabellenraster"/>
        <w:tblW w:w="9639" w:type="dxa"/>
        <w:tblInd w:w="-5" w:type="dxa"/>
        <w:tblLook w:val="04A0" w:firstRow="1" w:lastRow="0" w:firstColumn="1" w:lastColumn="0" w:noHBand="0" w:noVBand="1"/>
      </w:tblPr>
      <w:tblGrid>
        <w:gridCol w:w="3213"/>
        <w:gridCol w:w="3213"/>
        <w:gridCol w:w="3213"/>
      </w:tblGrid>
      <w:tr w:rsidR="009A73D6" w:rsidRPr="009A73D6" w14:paraId="6CC3698A" w14:textId="77777777" w:rsidTr="009A73D6">
        <w:trPr>
          <w:cantSplit/>
          <w:trHeight w:val="284"/>
        </w:trPr>
        <w:tc>
          <w:tcPr>
            <w:tcW w:w="9639" w:type="dxa"/>
            <w:gridSpan w:val="3"/>
          </w:tcPr>
          <w:p w14:paraId="2B3A0AF7" w14:textId="77777777" w:rsidR="009A73D6" w:rsidRPr="009A73D6" w:rsidRDefault="009A73D6" w:rsidP="00614AD1">
            <w:pPr>
              <w:spacing w:before="120" w:after="120"/>
              <w:jc w:val="center"/>
              <w:rPr>
                <w:rFonts w:cs="Arial"/>
                <w:noProof/>
                <w:color w:val="000000" w:themeColor="text1"/>
                <w:sz w:val="22"/>
                <w:szCs w:val="22"/>
              </w:rPr>
            </w:pPr>
            <w:r w:rsidRPr="009A73D6">
              <w:rPr>
                <w:rFonts w:cs="Arial"/>
                <w:b/>
                <w:color w:val="000000" w:themeColor="text1"/>
                <w:sz w:val="22"/>
                <w:szCs w:val="22"/>
              </w:rPr>
              <w:t>Warnzeichen</w:t>
            </w:r>
          </w:p>
        </w:tc>
      </w:tr>
      <w:tr w:rsidR="009A73D6" w:rsidRPr="009A73D6" w14:paraId="62F4F56B" w14:textId="77777777" w:rsidTr="009A73D6">
        <w:trPr>
          <w:cantSplit/>
          <w:trHeight w:val="2020"/>
        </w:trPr>
        <w:tc>
          <w:tcPr>
            <w:tcW w:w="3213" w:type="dxa"/>
          </w:tcPr>
          <w:p w14:paraId="7392E4A6" w14:textId="77777777" w:rsidR="009A73D6" w:rsidRPr="009A73D6" w:rsidRDefault="009A73D6" w:rsidP="00614AD1">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4B413F1A" wp14:editId="211E9600">
                  <wp:extent cx="903268" cy="79513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560" cy="799788"/>
                          </a:xfrm>
                          <a:prstGeom prst="rect">
                            <a:avLst/>
                          </a:prstGeom>
                          <a:noFill/>
                          <a:ln>
                            <a:noFill/>
                          </a:ln>
                        </pic:spPr>
                      </pic:pic>
                    </a:graphicData>
                  </a:graphic>
                </wp:inline>
              </w:drawing>
            </w:r>
          </w:p>
          <w:p w14:paraId="655AADD6" w14:textId="77777777" w:rsidR="009A73D6" w:rsidRPr="009A73D6" w:rsidRDefault="009A73D6" w:rsidP="00614AD1">
            <w:pPr>
              <w:spacing w:before="120" w:after="120"/>
              <w:jc w:val="center"/>
              <w:rPr>
                <w:rFonts w:cs="Arial"/>
                <w:color w:val="000000" w:themeColor="text1"/>
                <w:sz w:val="16"/>
                <w:szCs w:val="16"/>
              </w:rPr>
            </w:pPr>
            <w:r w:rsidRPr="009A73D6">
              <w:rPr>
                <w:rFonts w:cs="Arial"/>
                <w:color w:val="000000" w:themeColor="text1"/>
                <w:sz w:val="16"/>
                <w:szCs w:val="16"/>
              </w:rPr>
              <w:t>W001 Allgemeines Warnzeichen</w:t>
            </w:r>
          </w:p>
        </w:tc>
        <w:tc>
          <w:tcPr>
            <w:tcW w:w="3213" w:type="dxa"/>
          </w:tcPr>
          <w:p w14:paraId="62CBDC8E" w14:textId="77777777" w:rsidR="009A73D6" w:rsidRPr="009A73D6" w:rsidRDefault="009A73D6" w:rsidP="00614AD1">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2D6D3167" wp14:editId="510D071F">
                  <wp:extent cx="911365" cy="795020"/>
                  <wp:effectExtent l="0" t="0" r="3175" b="508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3554" cy="796930"/>
                          </a:xfrm>
                          <a:prstGeom prst="rect">
                            <a:avLst/>
                          </a:prstGeom>
                          <a:noFill/>
                          <a:ln>
                            <a:noFill/>
                          </a:ln>
                        </pic:spPr>
                      </pic:pic>
                    </a:graphicData>
                  </a:graphic>
                </wp:inline>
              </w:drawing>
            </w:r>
          </w:p>
          <w:p w14:paraId="41D9306B" w14:textId="77777777" w:rsidR="009A73D6" w:rsidRPr="009A73D6" w:rsidRDefault="009A73D6" w:rsidP="00614AD1">
            <w:pPr>
              <w:spacing w:before="120" w:after="120"/>
              <w:jc w:val="center"/>
              <w:rPr>
                <w:rFonts w:cs="Arial"/>
                <w:color w:val="000000" w:themeColor="text1"/>
                <w:sz w:val="16"/>
                <w:szCs w:val="16"/>
              </w:rPr>
            </w:pPr>
            <w:r w:rsidRPr="009A73D6">
              <w:rPr>
                <w:rFonts w:cs="Arial"/>
                <w:color w:val="000000" w:themeColor="text1"/>
                <w:sz w:val="16"/>
                <w:szCs w:val="16"/>
              </w:rPr>
              <w:t>W006 Warnung vor</w:t>
            </w:r>
            <w:r w:rsidRPr="009A73D6">
              <w:rPr>
                <w:rFonts w:cs="Arial"/>
                <w:color w:val="000000" w:themeColor="text1"/>
                <w:sz w:val="16"/>
                <w:szCs w:val="16"/>
              </w:rPr>
              <w:br/>
              <w:t>magnetischem Feld</w:t>
            </w:r>
          </w:p>
        </w:tc>
        <w:tc>
          <w:tcPr>
            <w:tcW w:w="3213" w:type="dxa"/>
          </w:tcPr>
          <w:p w14:paraId="442343E0" w14:textId="77777777" w:rsidR="009A73D6" w:rsidRPr="009A73D6" w:rsidRDefault="009A73D6" w:rsidP="00614AD1">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7BD70DC5" wp14:editId="043832C9">
                  <wp:extent cx="904015" cy="795020"/>
                  <wp:effectExtent l="0" t="0" r="0" b="508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035" cy="797676"/>
                          </a:xfrm>
                          <a:prstGeom prst="rect">
                            <a:avLst/>
                          </a:prstGeom>
                          <a:noFill/>
                          <a:ln>
                            <a:noFill/>
                          </a:ln>
                        </pic:spPr>
                      </pic:pic>
                    </a:graphicData>
                  </a:graphic>
                </wp:inline>
              </w:drawing>
            </w:r>
          </w:p>
          <w:p w14:paraId="17EFBB66" w14:textId="77777777" w:rsidR="009A73D6" w:rsidRPr="009A73D6" w:rsidRDefault="009A73D6" w:rsidP="00614AD1">
            <w:pPr>
              <w:spacing w:before="120" w:after="120"/>
              <w:jc w:val="center"/>
              <w:rPr>
                <w:rFonts w:cs="Arial"/>
                <w:color w:val="000000" w:themeColor="text1"/>
                <w:sz w:val="16"/>
                <w:szCs w:val="16"/>
              </w:rPr>
            </w:pPr>
            <w:r w:rsidRPr="009A73D6">
              <w:rPr>
                <w:rFonts w:cs="Arial"/>
                <w:color w:val="000000" w:themeColor="text1"/>
                <w:sz w:val="16"/>
                <w:szCs w:val="16"/>
              </w:rPr>
              <w:t>W026 Warnung vor Gefahren durch das Aufladen von Batterien</w:t>
            </w:r>
          </w:p>
        </w:tc>
      </w:tr>
    </w:tbl>
    <w:p w14:paraId="530D301D" w14:textId="77777777" w:rsidR="009A73D6" w:rsidRPr="009A73D6" w:rsidRDefault="009A73D6" w:rsidP="009A73D6">
      <w:pPr>
        <w:rPr>
          <w:rFonts w:cs="Arial"/>
          <w:color w:val="000000" w:themeColor="text1"/>
          <w:sz w:val="16"/>
          <w:szCs w:val="16"/>
        </w:rPr>
      </w:pPr>
    </w:p>
    <w:tbl>
      <w:tblPr>
        <w:tblStyle w:val="Tabellenraster"/>
        <w:tblW w:w="9639" w:type="dxa"/>
        <w:tblInd w:w="-5" w:type="dxa"/>
        <w:tblLook w:val="04A0" w:firstRow="1" w:lastRow="0" w:firstColumn="1" w:lastColumn="0" w:noHBand="0" w:noVBand="1"/>
      </w:tblPr>
      <w:tblGrid>
        <w:gridCol w:w="2409"/>
        <w:gridCol w:w="2410"/>
        <w:gridCol w:w="2410"/>
        <w:gridCol w:w="2410"/>
      </w:tblGrid>
      <w:tr w:rsidR="009A73D6" w:rsidRPr="009A73D6" w14:paraId="0BAE0E54" w14:textId="256F4BF7" w:rsidTr="009A73D6">
        <w:trPr>
          <w:cantSplit/>
          <w:trHeight w:val="284"/>
        </w:trPr>
        <w:tc>
          <w:tcPr>
            <w:tcW w:w="9639" w:type="dxa"/>
            <w:gridSpan w:val="4"/>
          </w:tcPr>
          <w:p w14:paraId="39C205B8" w14:textId="30313D5E" w:rsidR="009A73D6" w:rsidRPr="009A73D6" w:rsidRDefault="009A73D6" w:rsidP="00614AD1">
            <w:pPr>
              <w:spacing w:before="120" w:after="120"/>
              <w:jc w:val="center"/>
              <w:rPr>
                <w:rFonts w:cs="Arial"/>
                <w:b/>
                <w:color w:val="000000" w:themeColor="text1"/>
                <w:sz w:val="22"/>
                <w:szCs w:val="22"/>
              </w:rPr>
            </w:pPr>
            <w:r w:rsidRPr="009A73D6">
              <w:rPr>
                <w:rFonts w:cs="Arial"/>
                <w:b/>
                <w:color w:val="000000" w:themeColor="text1"/>
                <w:sz w:val="22"/>
                <w:szCs w:val="22"/>
              </w:rPr>
              <w:t>Verbotszeichen</w:t>
            </w:r>
          </w:p>
        </w:tc>
      </w:tr>
      <w:tr w:rsidR="009A73D6" w:rsidRPr="009A73D6" w14:paraId="3CC7D4A4" w14:textId="63622627" w:rsidTr="009A73D6">
        <w:trPr>
          <w:cantSplit/>
          <w:trHeight w:val="2108"/>
        </w:trPr>
        <w:tc>
          <w:tcPr>
            <w:tcW w:w="2409" w:type="dxa"/>
          </w:tcPr>
          <w:p w14:paraId="62108619" w14:textId="77777777" w:rsidR="009A73D6" w:rsidRPr="009A73D6" w:rsidRDefault="009A73D6" w:rsidP="009A73D6">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1540DFCB" wp14:editId="74D63121">
                  <wp:extent cx="1008000" cy="1000901"/>
                  <wp:effectExtent l="0" t="0" r="1905"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00" cy="1000901"/>
                          </a:xfrm>
                          <a:prstGeom prst="rect">
                            <a:avLst/>
                          </a:prstGeom>
                          <a:noFill/>
                          <a:ln>
                            <a:noFill/>
                          </a:ln>
                        </pic:spPr>
                      </pic:pic>
                    </a:graphicData>
                  </a:graphic>
                </wp:inline>
              </w:drawing>
            </w:r>
          </w:p>
          <w:p w14:paraId="0E38D0A9" w14:textId="2EF55815" w:rsidR="009A73D6" w:rsidRPr="009A73D6" w:rsidRDefault="009A73D6" w:rsidP="009A73D6">
            <w:pPr>
              <w:spacing w:before="120" w:after="120"/>
              <w:jc w:val="center"/>
              <w:rPr>
                <w:rFonts w:cs="Arial"/>
                <w:color w:val="000000" w:themeColor="text1"/>
                <w:sz w:val="16"/>
                <w:szCs w:val="16"/>
              </w:rPr>
            </w:pPr>
            <w:r w:rsidRPr="009A73D6">
              <w:rPr>
                <w:rFonts w:cs="Arial"/>
                <w:color w:val="000000" w:themeColor="text1"/>
                <w:sz w:val="16"/>
                <w:szCs w:val="16"/>
              </w:rPr>
              <w:t>P007 Kein Zutritt für Personen mit Herzschrittmachern oder implantierten Defibrillatoren</w:t>
            </w:r>
          </w:p>
        </w:tc>
        <w:tc>
          <w:tcPr>
            <w:tcW w:w="2410" w:type="dxa"/>
          </w:tcPr>
          <w:p w14:paraId="77E9E611" w14:textId="77777777" w:rsidR="009A73D6" w:rsidRPr="009A73D6" w:rsidRDefault="009A73D6" w:rsidP="009A73D6">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2A3F9821" wp14:editId="64BBE22F">
                  <wp:extent cx="1008000" cy="1008000"/>
                  <wp:effectExtent l="0" t="0" r="190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6A8649BD" w14:textId="632C016D" w:rsidR="009A73D6" w:rsidRPr="009A73D6" w:rsidRDefault="009A73D6" w:rsidP="009A73D6">
            <w:pPr>
              <w:spacing w:before="120" w:after="120"/>
              <w:jc w:val="center"/>
              <w:rPr>
                <w:rFonts w:cs="Arial"/>
                <w:color w:val="000000" w:themeColor="text1"/>
                <w:sz w:val="16"/>
                <w:szCs w:val="16"/>
              </w:rPr>
            </w:pPr>
            <w:r w:rsidRPr="009A73D6">
              <w:rPr>
                <w:rFonts w:cs="Arial"/>
                <w:color w:val="000000" w:themeColor="text1"/>
                <w:sz w:val="16"/>
                <w:szCs w:val="16"/>
              </w:rPr>
              <w:t>P010 Berühren verboten</w:t>
            </w:r>
          </w:p>
        </w:tc>
        <w:tc>
          <w:tcPr>
            <w:tcW w:w="2410" w:type="dxa"/>
          </w:tcPr>
          <w:p w14:paraId="53106257" w14:textId="77777777" w:rsidR="009A73D6" w:rsidRPr="009A73D6" w:rsidRDefault="009A73D6" w:rsidP="009A73D6">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37E1A1EF" wp14:editId="660E2078">
                  <wp:extent cx="1008000" cy="1015099"/>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1015099"/>
                          </a:xfrm>
                          <a:prstGeom prst="rect">
                            <a:avLst/>
                          </a:prstGeom>
                          <a:noFill/>
                          <a:ln>
                            <a:noFill/>
                          </a:ln>
                        </pic:spPr>
                      </pic:pic>
                    </a:graphicData>
                  </a:graphic>
                </wp:inline>
              </w:drawing>
            </w:r>
          </w:p>
          <w:p w14:paraId="272C2D92" w14:textId="3699731B" w:rsidR="009A73D6" w:rsidRPr="009A73D6" w:rsidRDefault="009A73D6" w:rsidP="009A73D6">
            <w:pPr>
              <w:spacing w:before="120" w:after="120"/>
              <w:jc w:val="center"/>
              <w:rPr>
                <w:rFonts w:cs="Arial"/>
                <w:noProof/>
                <w:color w:val="000000" w:themeColor="text1"/>
                <w:sz w:val="16"/>
                <w:szCs w:val="16"/>
              </w:rPr>
            </w:pPr>
            <w:r w:rsidRPr="009A73D6">
              <w:rPr>
                <w:rFonts w:cs="Arial"/>
                <w:color w:val="000000" w:themeColor="text1"/>
                <w:sz w:val="16"/>
                <w:szCs w:val="16"/>
              </w:rPr>
              <w:t>P031 Schalten verboten</w:t>
            </w:r>
          </w:p>
        </w:tc>
        <w:tc>
          <w:tcPr>
            <w:tcW w:w="2410" w:type="dxa"/>
          </w:tcPr>
          <w:p w14:paraId="0EF8F906" w14:textId="77777777" w:rsidR="009A73D6" w:rsidRPr="009A73D6" w:rsidRDefault="009A73D6" w:rsidP="009A73D6">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4BACF9BF" wp14:editId="45F5F50C">
                  <wp:extent cx="1008000" cy="993803"/>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000" cy="993803"/>
                          </a:xfrm>
                          <a:prstGeom prst="rect">
                            <a:avLst/>
                          </a:prstGeom>
                          <a:noFill/>
                          <a:ln>
                            <a:noFill/>
                          </a:ln>
                        </pic:spPr>
                      </pic:pic>
                    </a:graphicData>
                  </a:graphic>
                </wp:inline>
              </w:drawing>
            </w:r>
          </w:p>
          <w:p w14:paraId="475E9CDB" w14:textId="00760BBD" w:rsidR="009A73D6" w:rsidRPr="009A73D6" w:rsidRDefault="009A73D6" w:rsidP="009A73D6">
            <w:pPr>
              <w:spacing w:before="120" w:after="120"/>
              <w:jc w:val="center"/>
              <w:rPr>
                <w:rFonts w:cs="Arial"/>
                <w:noProof/>
                <w:color w:val="000000" w:themeColor="text1"/>
                <w:sz w:val="16"/>
                <w:szCs w:val="16"/>
              </w:rPr>
            </w:pPr>
            <w:r w:rsidRPr="009A73D6">
              <w:rPr>
                <w:rFonts w:cs="Arial"/>
                <w:color w:val="000000" w:themeColor="text1"/>
                <w:sz w:val="16"/>
                <w:szCs w:val="16"/>
              </w:rPr>
              <w:t>D-P006 Zutritt für Unbefugte verboten</w:t>
            </w:r>
          </w:p>
        </w:tc>
      </w:tr>
    </w:tbl>
    <w:p w14:paraId="3D1C5A0B" w14:textId="77777777" w:rsidR="009A73D6" w:rsidRPr="009A73D6" w:rsidRDefault="009A73D6" w:rsidP="009A73D6">
      <w:pPr>
        <w:rPr>
          <w:rFonts w:cs="Arial"/>
          <w:color w:val="000000" w:themeColor="text1"/>
          <w:sz w:val="6"/>
          <w:szCs w:val="6"/>
        </w:rPr>
      </w:pPr>
    </w:p>
    <w:p w14:paraId="1C58F182" w14:textId="7C4DDC57" w:rsidR="009A73D6" w:rsidRDefault="009A73D6" w:rsidP="006F226F">
      <w:pPr>
        <w:autoSpaceDE w:val="0"/>
        <w:autoSpaceDN w:val="0"/>
        <w:adjustRightInd w:val="0"/>
        <w:rPr>
          <w:rFonts w:cs="Arial"/>
          <w:color w:val="000000" w:themeColor="text1"/>
          <w:sz w:val="22"/>
          <w:szCs w:val="22"/>
        </w:rPr>
      </w:pPr>
      <w:r>
        <w:rPr>
          <w:rFonts w:cs="Arial"/>
          <w:color w:val="000000" w:themeColor="text1"/>
          <w:sz w:val="22"/>
          <w:szCs w:val="22"/>
        </w:rPr>
        <w:br w:type="page"/>
      </w:r>
    </w:p>
    <w:p w14:paraId="520B01CC" w14:textId="77777777" w:rsidR="00A766F8" w:rsidRDefault="00A766F8" w:rsidP="006F226F">
      <w:pPr>
        <w:autoSpaceDE w:val="0"/>
        <w:autoSpaceDN w:val="0"/>
        <w:adjustRightInd w:val="0"/>
        <w:rPr>
          <w:rFonts w:cs="Arial"/>
          <w:color w:val="000000" w:themeColor="text1"/>
          <w:sz w:val="22"/>
          <w:szCs w:val="22"/>
        </w:rPr>
      </w:pPr>
    </w:p>
    <w:tbl>
      <w:tblPr>
        <w:tblStyle w:val="Tabellenraster"/>
        <w:tblW w:w="9639" w:type="dxa"/>
        <w:tblInd w:w="-5" w:type="dxa"/>
        <w:tblLook w:val="04A0" w:firstRow="1" w:lastRow="0" w:firstColumn="1" w:lastColumn="0" w:noHBand="0" w:noVBand="1"/>
      </w:tblPr>
      <w:tblGrid>
        <w:gridCol w:w="2409"/>
        <w:gridCol w:w="2410"/>
        <w:gridCol w:w="2410"/>
        <w:gridCol w:w="2410"/>
      </w:tblGrid>
      <w:tr w:rsidR="009A73D6" w:rsidRPr="009A73D6" w14:paraId="6F6B3BB4" w14:textId="77777777" w:rsidTr="009A73D6">
        <w:trPr>
          <w:cantSplit/>
          <w:trHeight w:val="284"/>
        </w:trPr>
        <w:tc>
          <w:tcPr>
            <w:tcW w:w="9639" w:type="dxa"/>
            <w:gridSpan w:val="4"/>
          </w:tcPr>
          <w:p w14:paraId="08A65082" w14:textId="77777777" w:rsidR="009A73D6" w:rsidRPr="009A73D6" w:rsidRDefault="009A73D6" w:rsidP="00614AD1">
            <w:pPr>
              <w:spacing w:before="120" w:after="120"/>
              <w:jc w:val="center"/>
              <w:rPr>
                <w:rFonts w:cs="Arial"/>
                <w:b/>
                <w:color w:val="000000" w:themeColor="text1"/>
                <w:sz w:val="22"/>
                <w:szCs w:val="22"/>
              </w:rPr>
            </w:pPr>
            <w:r w:rsidRPr="009A73D6">
              <w:rPr>
                <w:rFonts w:cs="Arial"/>
                <w:b/>
                <w:color w:val="000000" w:themeColor="text1"/>
                <w:sz w:val="22"/>
                <w:szCs w:val="22"/>
              </w:rPr>
              <w:t>Gebotszeichen</w:t>
            </w:r>
          </w:p>
        </w:tc>
      </w:tr>
      <w:tr w:rsidR="009A73D6" w:rsidRPr="009A73D6" w14:paraId="064EF98E" w14:textId="77777777" w:rsidTr="009A73D6">
        <w:trPr>
          <w:cantSplit/>
          <w:trHeight w:val="2108"/>
        </w:trPr>
        <w:tc>
          <w:tcPr>
            <w:tcW w:w="2409" w:type="dxa"/>
          </w:tcPr>
          <w:p w14:paraId="7FDE563B" w14:textId="77777777" w:rsidR="009A73D6" w:rsidRPr="009A73D6" w:rsidRDefault="009A73D6" w:rsidP="00614AD1">
            <w:pPr>
              <w:spacing w:before="120" w:after="120"/>
              <w:jc w:val="center"/>
              <w:rPr>
                <w:rFonts w:cs="Arial"/>
                <w:color w:val="000000" w:themeColor="text1"/>
                <w:sz w:val="16"/>
                <w:szCs w:val="16"/>
              </w:rPr>
            </w:pPr>
            <w:bookmarkStart w:id="0" w:name="_GoBack"/>
            <w:r w:rsidRPr="009A73D6">
              <w:rPr>
                <w:rFonts w:cs="Arial"/>
                <w:noProof/>
                <w:color w:val="000000" w:themeColor="text1"/>
                <w:sz w:val="16"/>
                <w:szCs w:val="16"/>
              </w:rPr>
              <w:drawing>
                <wp:inline distT="0" distB="0" distL="0" distR="0" wp14:anchorId="1EC86EF1" wp14:editId="0A54C96E">
                  <wp:extent cx="1008000" cy="1008000"/>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F9F20BB" w14:textId="77777777" w:rsidR="009A73D6" w:rsidRPr="009A73D6" w:rsidRDefault="009A73D6" w:rsidP="00614AD1">
            <w:pPr>
              <w:spacing w:before="120" w:after="120"/>
              <w:jc w:val="center"/>
              <w:rPr>
                <w:rFonts w:cs="Arial"/>
                <w:color w:val="000000" w:themeColor="text1"/>
                <w:sz w:val="16"/>
                <w:szCs w:val="16"/>
              </w:rPr>
            </w:pPr>
            <w:r w:rsidRPr="009A73D6">
              <w:rPr>
                <w:rFonts w:cs="Arial"/>
                <w:color w:val="000000" w:themeColor="text1"/>
                <w:sz w:val="16"/>
                <w:szCs w:val="16"/>
              </w:rPr>
              <w:t>M009 Handschutz benutzen</w:t>
            </w:r>
          </w:p>
        </w:tc>
        <w:tc>
          <w:tcPr>
            <w:tcW w:w="2410" w:type="dxa"/>
          </w:tcPr>
          <w:p w14:paraId="66B74CD2" w14:textId="77777777" w:rsidR="009A73D6" w:rsidRPr="009A73D6" w:rsidRDefault="009A73D6" w:rsidP="00614AD1">
            <w:pPr>
              <w:spacing w:before="120" w:after="120"/>
              <w:jc w:val="center"/>
              <w:rPr>
                <w:rFonts w:cs="Arial"/>
                <w:color w:val="000000" w:themeColor="text1"/>
                <w:sz w:val="16"/>
                <w:szCs w:val="16"/>
              </w:rPr>
            </w:pPr>
            <w:r w:rsidRPr="009A73D6">
              <w:rPr>
                <w:rFonts w:cs="Arial"/>
                <w:noProof/>
                <w:color w:val="000000" w:themeColor="text1"/>
                <w:sz w:val="16"/>
                <w:szCs w:val="16"/>
              </w:rPr>
              <w:drawing>
                <wp:inline distT="0" distB="0" distL="0" distR="0" wp14:anchorId="71C02513" wp14:editId="735B38DE">
                  <wp:extent cx="1008000" cy="1008000"/>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210AF88C" w14:textId="77777777" w:rsidR="009A73D6" w:rsidRPr="009A73D6" w:rsidRDefault="009A73D6" w:rsidP="00614AD1">
            <w:pPr>
              <w:spacing w:before="120" w:after="120"/>
              <w:jc w:val="center"/>
              <w:rPr>
                <w:rFonts w:cs="Arial"/>
                <w:color w:val="000000" w:themeColor="text1"/>
                <w:sz w:val="16"/>
                <w:szCs w:val="16"/>
              </w:rPr>
            </w:pPr>
            <w:r w:rsidRPr="009A73D6">
              <w:rPr>
                <w:rFonts w:cs="Arial"/>
                <w:color w:val="000000" w:themeColor="text1"/>
                <w:sz w:val="16"/>
                <w:szCs w:val="16"/>
              </w:rPr>
              <w:t>M010 Schutzkleidung benutzen</w:t>
            </w:r>
          </w:p>
        </w:tc>
        <w:tc>
          <w:tcPr>
            <w:tcW w:w="2410" w:type="dxa"/>
          </w:tcPr>
          <w:p w14:paraId="3CEDC7AF" w14:textId="77777777" w:rsidR="009A73D6" w:rsidRDefault="009A73D6" w:rsidP="00614AD1">
            <w:pPr>
              <w:spacing w:before="120" w:after="120"/>
              <w:jc w:val="center"/>
              <w:rPr>
                <w:rFonts w:cs="Arial"/>
                <w:noProof/>
                <w:color w:val="000000" w:themeColor="text1"/>
                <w:sz w:val="16"/>
                <w:szCs w:val="16"/>
              </w:rPr>
            </w:pPr>
            <w:r w:rsidRPr="009A73D6">
              <w:rPr>
                <w:rFonts w:cs="Arial"/>
                <w:noProof/>
                <w:color w:val="000000" w:themeColor="text1"/>
                <w:sz w:val="16"/>
                <w:szCs w:val="16"/>
              </w:rPr>
              <w:drawing>
                <wp:inline distT="0" distB="0" distL="0" distR="0" wp14:anchorId="0DA19D4E" wp14:editId="0C1C682B">
                  <wp:extent cx="1008000" cy="1008000"/>
                  <wp:effectExtent l="0" t="0" r="190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9126097" w14:textId="77777777" w:rsidR="009A73D6" w:rsidRPr="009A73D6" w:rsidRDefault="009A73D6" w:rsidP="00614AD1">
            <w:pPr>
              <w:spacing w:before="120" w:after="120"/>
              <w:jc w:val="center"/>
              <w:rPr>
                <w:rFonts w:cs="Arial"/>
                <w:noProof/>
                <w:color w:val="000000" w:themeColor="text1"/>
                <w:sz w:val="16"/>
                <w:szCs w:val="16"/>
              </w:rPr>
            </w:pPr>
            <w:r w:rsidRPr="009A73D6">
              <w:rPr>
                <w:rFonts w:cs="Arial"/>
                <w:color w:val="000000" w:themeColor="text1"/>
                <w:sz w:val="16"/>
                <w:szCs w:val="16"/>
              </w:rPr>
              <w:t>M013 Gesichtsschutz benutzen</w:t>
            </w:r>
          </w:p>
        </w:tc>
        <w:tc>
          <w:tcPr>
            <w:tcW w:w="2410" w:type="dxa"/>
          </w:tcPr>
          <w:p w14:paraId="2110366E" w14:textId="77777777" w:rsidR="009A73D6" w:rsidRDefault="009A73D6" w:rsidP="00614AD1">
            <w:pPr>
              <w:spacing w:before="120" w:after="120"/>
              <w:jc w:val="center"/>
              <w:rPr>
                <w:rFonts w:cs="Arial"/>
                <w:noProof/>
                <w:color w:val="000000" w:themeColor="text1"/>
                <w:sz w:val="16"/>
                <w:szCs w:val="16"/>
              </w:rPr>
            </w:pPr>
            <w:r w:rsidRPr="009A73D6">
              <w:rPr>
                <w:rFonts w:cs="Arial"/>
                <w:noProof/>
                <w:color w:val="000000" w:themeColor="text1"/>
                <w:sz w:val="16"/>
                <w:szCs w:val="16"/>
              </w:rPr>
              <w:drawing>
                <wp:inline distT="0" distB="0" distL="0" distR="0" wp14:anchorId="38D50141" wp14:editId="5E9DE6F7">
                  <wp:extent cx="1008000" cy="1008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604EEEF" w14:textId="77777777" w:rsidR="009A73D6" w:rsidRPr="009A73D6" w:rsidRDefault="009A73D6" w:rsidP="00614AD1">
            <w:pPr>
              <w:spacing w:before="120" w:after="120"/>
              <w:jc w:val="center"/>
              <w:rPr>
                <w:rFonts w:cs="Arial"/>
                <w:noProof/>
                <w:color w:val="000000" w:themeColor="text1"/>
                <w:sz w:val="16"/>
                <w:szCs w:val="16"/>
              </w:rPr>
            </w:pPr>
            <w:r w:rsidRPr="009A73D6">
              <w:rPr>
                <w:rFonts w:cs="Arial"/>
                <w:color w:val="000000" w:themeColor="text1"/>
                <w:sz w:val="16"/>
                <w:szCs w:val="16"/>
              </w:rPr>
              <w:t>M014 Kopfschutz benutzen</w:t>
            </w:r>
          </w:p>
        </w:tc>
      </w:tr>
      <w:bookmarkEnd w:id="0"/>
    </w:tbl>
    <w:p w14:paraId="7CB3613D" w14:textId="77777777" w:rsidR="009A73D6" w:rsidRPr="009A73D6" w:rsidRDefault="009A73D6" w:rsidP="006F226F">
      <w:pPr>
        <w:autoSpaceDE w:val="0"/>
        <w:autoSpaceDN w:val="0"/>
        <w:adjustRightInd w:val="0"/>
        <w:rPr>
          <w:rFonts w:cs="Arial"/>
          <w:color w:val="000000" w:themeColor="text1"/>
          <w:sz w:val="22"/>
          <w:szCs w:val="22"/>
        </w:rPr>
      </w:pPr>
    </w:p>
    <w:sectPr w:rsidR="009A73D6" w:rsidRPr="009A73D6" w:rsidSect="00D75291">
      <w:headerReference w:type="default" r:id="rId20"/>
      <w:footerReference w:type="default" r:id="rId21"/>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65A9" w14:textId="77777777" w:rsidR="00D7236E" w:rsidRDefault="00D7236E">
      <w:r>
        <w:separator/>
      </w:r>
    </w:p>
  </w:endnote>
  <w:endnote w:type="continuationSeparator" w:id="0">
    <w:p w14:paraId="5643AE6D" w14:textId="77777777" w:rsidR="00D7236E" w:rsidRDefault="00D7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ヒラギノ角ゴ Pro W3">
    <w:altName w:val="MS Mincho"/>
    <w:panose1 w:val="020B0300000000000000"/>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1A163732" w:rsidR="004F0DC2" w:rsidRPr="004C1C05" w:rsidRDefault="009A73D6" w:rsidP="004F0DC2">
          <w:pPr>
            <w:pStyle w:val="Fuzeile"/>
            <w:ind w:right="-83"/>
            <w:rPr>
              <w:sz w:val="16"/>
              <w:szCs w:val="16"/>
            </w:rPr>
          </w:pPr>
          <w:r>
            <w:rPr>
              <w:sz w:val="16"/>
              <w:szCs w:val="16"/>
            </w:rPr>
            <w:t>10</w:t>
          </w:r>
          <w:r w:rsidR="007A3D26">
            <w:rPr>
              <w:sz w:val="16"/>
              <w:szCs w:val="16"/>
            </w:rPr>
            <w:t>.2019</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0A2E" w14:textId="77777777" w:rsidR="00D7236E" w:rsidRDefault="00D7236E">
      <w:r>
        <w:separator/>
      </w:r>
    </w:p>
  </w:footnote>
  <w:footnote w:type="continuationSeparator" w:id="0">
    <w:p w14:paraId="710DE195" w14:textId="77777777" w:rsidR="00D7236E" w:rsidRDefault="00D7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28D0718A" w:rsidR="004F0DC2" w:rsidRPr="00E21DC0" w:rsidRDefault="004F0DC2" w:rsidP="004F0DC2">
          <w:pPr>
            <w:jc w:val="center"/>
          </w:pPr>
          <w:r w:rsidRPr="00E21DC0">
            <w:rPr>
              <w:b/>
            </w:rPr>
            <w:t>UW_ET_</w:t>
          </w:r>
          <w:r w:rsidR="00697A12">
            <w:rPr>
              <w:b/>
            </w:rPr>
            <w:t>5</w:t>
          </w:r>
          <w:r w:rsidR="004F35F1">
            <w:rPr>
              <w:b/>
            </w:rPr>
            <w:t>1</w:t>
          </w:r>
        </w:p>
      </w:tc>
      <w:tc>
        <w:tcPr>
          <w:tcW w:w="5026" w:type="dxa"/>
          <w:vAlign w:val="center"/>
        </w:tcPr>
        <w:p w14:paraId="63D167E9" w14:textId="7B62C4D2" w:rsidR="004F0DC2" w:rsidRPr="00B2005A" w:rsidRDefault="004F35F1" w:rsidP="004F0DC2">
          <w:pPr>
            <w:jc w:val="center"/>
            <w:rPr>
              <w:sz w:val="28"/>
              <w:szCs w:val="28"/>
            </w:rPr>
          </w:pPr>
          <w:r w:rsidRPr="004F35F1">
            <w:rPr>
              <w:sz w:val="28"/>
              <w:szCs w:val="28"/>
            </w:rPr>
            <w:t>Beschilderungen in der Elektrotechnik</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5"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1"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2"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871488"/>
    <w:multiLevelType w:val="hybridMultilevel"/>
    <w:tmpl w:val="CFEAFB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DC54FA"/>
    <w:multiLevelType w:val="hybridMultilevel"/>
    <w:tmpl w:val="F65C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4"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7"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3"/>
  </w:num>
  <w:num w:numId="3">
    <w:abstractNumId w:val="32"/>
  </w:num>
  <w:num w:numId="4">
    <w:abstractNumId w:val="14"/>
  </w:num>
  <w:num w:numId="5">
    <w:abstractNumId w:val="36"/>
  </w:num>
  <w:num w:numId="6">
    <w:abstractNumId w:val="38"/>
  </w:num>
  <w:num w:numId="7">
    <w:abstractNumId w:val="5"/>
  </w:num>
  <w:num w:numId="8">
    <w:abstractNumId w:val="30"/>
  </w:num>
  <w:num w:numId="9">
    <w:abstractNumId w:val="8"/>
  </w:num>
  <w:num w:numId="10">
    <w:abstractNumId w:val="41"/>
  </w:num>
  <w:num w:numId="11">
    <w:abstractNumId w:val="29"/>
  </w:num>
  <w:num w:numId="12">
    <w:abstractNumId w:val="46"/>
  </w:num>
  <w:num w:numId="13">
    <w:abstractNumId w:val="3"/>
  </w:num>
  <w:num w:numId="14">
    <w:abstractNumId w:val="34"/>
  </w:num>
  <w:num w:numId="15">
    <w:abstractNumId w:val="18"/>
  </w:num>
  <w:num w:numId="16">
    <w:abstractNumId w:val="12"/>
  </w:num>
  <w:num w:numId="17">
    <w:abstractNumId w:val="13"/>
  </w:num>
  <w:num w:numId="18">
    <w:abstractNumId w:val="7"/>
  </w:num>
  <w:num w:numId="19">
    <w:abstractNumId w:val="11"/>
  </w:num>
  <w:num w:numId="20">
    <w:abstractNumId w:val="42"/>
  </w:num>
  <w:num w:numId="21">
    <w:abstractNumId w:val="15"/>
  </w:num>
  <w:num w:numId="22">
    <w:abstractNumId w:val="16"/>
  </w:num>
  <w:num w:numId="23">
    <w:abstractNumId w:val="40"/>
  </w:num>
  <w:num w:numId="24">
    <w:abstractNumId w:val="17"/>
  </w:num>
  <w:num w:numId="25">
    <w:abstractNumId w:val="39"/>
  </w:num>
  <w:num w:numId="26">
    <w:abstractNumId w:val="21"/>
  </w:num>
  <w:num w:numId="27">
    <w:abstractNumId w:val="26"/>
  </w:num>
  <w:num w:numId="28">
    <w:abstractNumId w:val="1"/>
  </w:num>
  <w:num w:numId="29">
    <w:abstractNumId w:val="4"/>
  </w:num>
  <w:num w:numId="30">
    <w:abstractNumId w:val="44"/>
  </w:num>
  <w:num w:numId="31">
    <w:abstractNumId w:val="20"/>
  </w:num>
  <w:num w:numId="32">
    <w:abstractNumId w:val="33"/>
  </w:num>
  <w:num w:numId="33">
    <w:abstractNumId w:val="27"/>
  </w:num>
  <w:num w:numId="34">
    <w:abstractNumId w:val="9"/>
  </w:num>
  <w:num w:numId="35">
    <w:abstractNumId w:val="35"/>
  </w:num>
  <w:num w:numId="36">
    <w:abstractNumId w:val="6"/>
  </w:num>
  <w:num w:numId="37">
    <w:abstractNumId w:val="28"/>
  </w:num>
  <w:num w:numId="38">
    <w:abstractNumId w:val="37"/>
  </w:num>
  <w:num w:numId="39">
    <w:abstractNumId w:val="24"/>
  </w:num>
  <w:num w:numId="40">
    <w:abstractNumId w:val="19"/>
  </w:num>
  <w:num w:numId="41">
    <w:abstractNumId w:val="45"/>
  </w:num>
  <w:num w:numId="42">
    <w:abstractNumId w:val="43"/>
  </w:num>
  <w:num w:numId="43">
    <w:abstractNumId w:val="2"/>
  </w:num>
  <w:num w:numId="44">
    <w:abstractNumId w:val="22"/>
  </w:num>
  <w:num w:numId="45">
    <w:abstractNumId w:val="0"/>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49E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35F1"/>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2D2"/>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A12"/>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A73D6"/>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1D89"/>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36E"/>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9A73D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semiHidden/>
    <w:rsid w:val="009A73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1532-BA07-0B47-B8A7-79CF29BD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Réne Brünn</cp:lastModifiedBy>
  <cp:revision>3</cp:revision>
  <cp:lastPrinted>2018-10-16T05:29:00Z</cp:lastPrinted>
  <dcterms:created xsi:type="dcterms:W3CDTF">2019-10-25T07:32:00Z</dcterms:created>
  <dcterms:modified xsi:type="dcterms:W3CDTF">2019-10-25T07:43:00Z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