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28E5" w14:textId="541B074F" w:rsidR="006252D2" w:rsidRPr="006252D2" w:rsidRDefault="00FF2752" w:rsidP="006252D2">
      <w:pPr>
        <w:jc w:val="both"/>
        <w:rPr>
          <w:rFonts w:cs="Arial"/>
          <w:b/>
          <w:color w:val="000000" w:themeColor="text1"/>
          <w:szCs w:val="24"/>
        </w:rPr>
      </w:pPr>
      <w:r>
        <w:rPr>
          <w:rFonts w:cs="Arial"/>
          <w:b/>
          <w:color w:val="000000" w:themeColor="text1"/>
          <w:szCs w:val="24"/>
        </w:rPr>
        <w:t>Gefahren von</w:t>
      </w:r>
      <w:r w:rsidR="006252D2" w:rsidRPr="006252D2">
        <w:rPr>
          <w:rFonts w:cs="Arial"/>
          <w:b/>
          <w:color w:val="000000" w:themeColor="text1"/>
          <w:szCs w:val="24"/>
        </w:rPr>
        <w:t xml:space="preserve"> Lithium</w:t>
      </w:r>
      <w:r w:rsidR="006252D2">
        <w:rPr>
          <w:rFonts w:cs="Arial"/>
          <w:b/>
          <w:color w:val="000000" w:themeColor="text1"/>
          <w:szCs w:val="24"/>
        </w:rPr>
        <w:t>-Ionen-Akkus</w:t>
      </w:r>
      <w:r>
        <w:rPr>
          <w:rFonts w:cs="Arial"/>
          <w:b/>
          <w:color w:val="000000" w:themeColor="text1"/>
          <w:szCs w:val="24"/>
        </w:rPr>
        <w:t xml:space="preserve"> mittlerer Leistung</w:t>
      </w:r>
    </w:p>
    <w:p w14:paraId="657C8818" w14:textId="7A51F52D" w:rsidR="006252D2" w:rsidRPr="006252D2" w:rsidRDefault="006252D2" w:rsidP="006252D2">
      <w:pPr>
        <w:jc w:val="both"/>
        <w:rPr>
          <w:rFonts w:cs="Arial"/>
          <w:color w:val="000000" w:themeColor="text1"/>
        </w:rPr>
      </w:pPr>
      <w:r w:rsidRPr="006252D2">
        <w:rPr>
          <w:rFonts w:cs="Arial"/>
          <w:color w:val="000000" w:themeColor="text1"/>
        </w:rPr>
        <w:t>Lithium</w:t>
      </w:r>
      <w:r>
        <w:rPr>
          <w:rFonts w:cs="Arial"/>
          <w:color w:val="000000" w:themeColor="text1"/>
        </w:rPr>
        <w:t>-Ionen-Akkus</w:t>
      </w:r>
      <w:r w:rsidRPr="006252D2">
        <w:rPr>
          <w:rFonts w:cs="Arial"/>
          <w:color w:val="000000" w:themeColor="text1"/>
        </w:rPr>
        <w:t xml:space="preserve"> stecken in Smartphones, Notebooks, Drohnen, Elektrofahrrädern, aber auch in Haushaltsgeräten, elektrisch betriebenem Werkzeug und Spielzeug. Auch die voranschreitende Elektromobilität im Automobilbau profitiert von der Entwicklung. Die Speicherkapazitäten sind im Vergleich zu konventionellen Akkumulatoren größer, ebenso ist aber auch die </w:t>
      </w:r>
      <w:r w:rsidRPr="006252D2">
        <w:rPr>
          <w:rFonts w:cs="Arial"/>
          <w:b/>
          <w:color w:val="000000" w:themeColor="text1"/>
        </w:rPr>
        <w:t xml:space="preserve">Gefahr </w:t>
      </w:r>
      <w:r w:rsidRPr="006252D2">
        <w:rPr>
          <w:rFonts w:cs="Arial"/>
          <w:color w:val="000000" w:themeColor="text1"/>
        </w:rPr>
        <w:t xml:space="preserve">bei der Lagerung und insbesondere beim Laden dieser Akkus im gewerblichen und privaten Bereich größer. </w:t>
      </w:r>
      <w:proofErr w:type="gramStart"/>
      <w:r w:rsidRPr="006252D2">
        <w:rPr>
          <w:rFonts w:cs="Arial"/>
          <w:color w:val="000000" w:themeColor="text1"/>
        </w:rPr>
        <w:t>Werden</w:t>
      </w:r>
      <w:proofErr w:type="gramEnd"/>
      <w:r w:rsidRPr="006252D2">
        <w:rPr>
          <w:rFonts w:cs="Arial"/>
          <w:color w:val="000000" w:themeColor="text1"/>
        </w:rPr>
        <w:t xml:space="preserve"> die Akkus unsachgemäß behandelt oder sogar beschädigt, können in </w:t>
      </w:r>
      <w:r w:rsidRPr="006252D2">
        <w:rPr>
          <w:rFonts w:cs="Arial"/>
          <w:b/>
          <w:color w:val="000000" w:themeColor="text1"/>
        </w:rPr>
        <w:t>Brand</w:t>
      </w:r>
      <w:r w:rsidRPr="006252D2">
        <w:rPr>
          <w:rFonts w:cs="Arial"/>
          <w:color w:val="000000" w:themeColor="text1"/>
        </w:rPr>
        <w:t xml:space="preserve"> geraten. Beim Umgang mit Lithium-Ionen-Akkus sind folgende Sicherheitsregeln zu beachten:</w:t>
      </w:r>
    </w:p>
    <w:p w14:paraId="757DF5AE" w14:textId="77777777" w:rsidR="006252D2" w:rsidRPr="006252D2" w:rsidRDefault="006252D2" w:rsidP="006252D2">
      <w:pPr>
        <w:jc w:val="both"/>
        <w:rPr>
          <w:rFonts w:cs="Arial"/>
          <w:color w:val="000000" w:themeColor="text1"/>
        </w:rPr>
      </w:pPr>
    </w:p>
    <w:p w14:paraId="7C4702CD" w14:textId="736B9593" w:rsidR="006252D2" w:rsidRPr="006252D2" w:rsidRDefault="006252D2" w:rsidP="006252D2">
      <w:pPr>
        <w:jc w:val="both"/>
        <w:rPr>
          <w:rFonts w:cs="Arial"/>
          <w:b/>
          <w:bCs/>
          <w:color w:val="000000" w:themeColor="text1"/>
        </w:rPr>
      </w:pPr>
      <w:r w:rsidRPr="006252D2">
        <w:rPr>
          <w:rFonts w:cs="Arial"/>
          <w:b/>
          <w:bCs/>
          <w:color w:val="000000" w:themeColor="text1"/>
        </w:rPr>
        <w:t>Temperatur</w:t>
      </w:r>
    </w:p>
    <w:p w14:paraId="4B437692" w14:textId="77777777" w:rsidR="006252D2" w:rsidRPr="006252D2" w:rsidRDefault="006252D2" w:rsidP="006252D2">
      <w:pPr>
        <w:jc w:val="both"/>
        <w:rPr>
          <w:rFonts w:cs="Arial"/>
          <w:color w:val="000000" w:themeColor="text1"/>
        </w:rPr>
      </w:pPr>
      <w:r w:rsidRPr="006252D2">
        <w:rPr>
          <w:rFonts w:cs="Arial"/>
          <w:color w:val="000000" w:themeColor="text1"/>
        </w:rPr>
        <w:t>Lithium-Ionen-Akkus sollten nicht über mehrere Tage Hitze oder Kälte ausgesetzt werden. Wer Akkus z. B. im Winter unbenutzt in der Garage aufbewahrt, riskiert eine sogenannte Tiefenentladung. Wird der Akku danach aufgeladen, kann er explodieren.</w:t>
      </w:r>
    </w:p>
    <w:p w14:paraId="6D6D8B3A" w14:textId="77777777" w:rsidR="006252D2" w:rsidRDefault="006252D2" w:rsidP="006252D2">
      <w:pPr>
        <w:jc w:val="both"/>
        <w:rPr>
          <w:rFonts w:cs="Arial"/>
          <w:color w:val="000000" w:themeColor="text1"/>
        </w:rPr>
      </w:pPr>
    </w:p>
    <w:p w14:paraId="7628A1DE" w14:textId="1C57C000" w:rsidR="006252D2" w:rsidRPr="006252D2" w:rsidRDefault="006252D2" w:rsidP="006252D2">
      <w:pPr>
        <w:jc w:val="both"/>
        <w:rPr>
          <w:rFonts w:cs="Arial"/>
          <w:b/>
          <w:bCs/>
          <w:color w:val="000000" w:themeColor="text1"/>
        </w:rPr>
      </w:pPr>
      <w:r w:rsidRPr="006252D2">
        <w:rPr>
          <w:rFonts w:cs="Arial"/>
          <w:b/>
          <w:bCs/>
          <w:color w:val="000000" w:themeColor="text1"/>
        </w:rPr>
        <w:t>Feuchtigkeit</w:t>
      </w:r>
    </w:p>
    <w:p w14:paraId="0FD6B1E5" w14:textId="6371E516" w:rsidR="006252D2" w:rsidRPr="006252D2" w:rsidRDefault="006252D2" w:rsidP="006252D2">
      <w:pPr>
        <w:jc w:val="both"/>
        <w:rPr>
          <w:rFonts w:cs="Arial"/>
          <w:color w:val="000000" w:themeColor="text1"/>
        </w:rPr>
      </w:pPr>
      <w:r w:rsidRPr="006252D2">
        <w:rPr>
          <w:rFonts w:cs="Arial"/>
          <w:color w:val="000000" w:themeColor="text1"/>
        </w:rPr>
        <w:t>Auf keinen Fall darf Feuchtigkeit in den Akku gelangen, weil diese zu einem Kurzschluss führen kann. Wer z. B. ein Elektrofahrrad auf dem Gepäckträger des Autos transportiert, sollte die Akkus vor der Fahrt entnehmen, vor allem bei einer Fahrt im Regen.</w:t>
      </w:r>
    </w:p>
    <w:p w14:paraId="263C6914" w14:textId="77777777" w:rsidR="006252D2" w:rsidRDefault="006252D2" w:rsidP="006252D2">
      <w:pPr>
        <w:jc w:val="both"/>
        <w:rPr>
          <w:rFonts w:cs="Arial"/>
          <w:color w:val="000000" w:themeColor="text1"/>
        </w:rPr>
      </w:pPr>
    </w:p>
    <w:p w14:paraId="3A735590" w14:textId="1E831800" w:rsidR="006252D2" w:rsidRPr="006252D2" w:rsidRDefault="006252D2" w:rsidP="006252D2">
      <w:pPr>
        <w:jc w:val="both"/>
        <w:rPr>
          <w:rFonts w:cs="Arial"/>
          <w:b/>
          <w:bCs/>
          <w:color w:val="000000" w:themeColor="text1"/>
        </w:rPr>
      </w:pPr>
      <w:r w:rsidRPr="006252D2">
        <w:rPr>
          <w:rFonts w:cs="Arial"/>
          <w:b/>
          <w:bCs/>
          <w:color w:val="000000" w:themeColor="text1"/>
        </w:rPr>
        <w:t>Ladegerät</w:t>
      </w:r>
    </w:p>
    <w:p w14:paraId="3FD6C529" w14:textId="77777777" w:rsidR="006252D2" w:rsidRDefault="006252D2" w:rsidP="006252D2">
      <w:pPr>
        <w:jc w:val="both"/>
        <w:rPr>
          <w:rFonts w:cs="Arial"/>
          <w:color w:val="000000" w:themeColor="text1"/>
        </w:rPr>
      </w:pPr>
      <w:r w:rsidRPr="006252D2">
        <w:rPr>
          <w:rFonts w:cs="Arial"/>
          <w:color w:val="000000" w:themeColor="text1"/>
        </w:rPr>
        <w:t xml:space="preserve">Es dürfen nur die vom Hersteller dafür vorgesehenen Ladegeräte verwendet werden. Beim </w:t>
      </w:r>
    </w:p>
    <w:p w14:paraId="75A65811" w14:textId="0DBDBE1E" w:rsidR="006252D2" w:rsidRDefault="006252D2" w:rsidP="006252D2">
      <w:pPr>
        <w:jc w:val="both"/>
        <w:rPr>
          <w:rFonts w:cs="Arial"/>
          <w:color w:val="000000" w:themeColor="text1"/>
        </w:rPr>
      </w:pPr>
      <w:r w:rsidRPr="006252D2">
        <w:rPr>
          <w:rFonts w:cs="Arial"/>
          <w:color w:val="000000" w:themeColor="text1"/>
        </w:rPr>
        <w:t>Laden von E-Fahrzeugen sind entsprechende Ladeeinrichtungen gemäß IEC 61851 zu verwenden.</w:t>
      </w:r>
    </w:p>
    <w:p w14:paraId="43333F6B" w14:textId="77777777" w:rsidR="006252D2" w:rsidRPr="006252D2" w:rsidRDefault="006252D2" w:rsidP="006252D2">
      <w:pPr>
        <w:jc w:val="both"/>
        <w:rPr>
          <w:rFonts w:cs="Arial"/>
          <w:color w:val="000000" w:themeColor="text1"/>
        </w:rPr>
      </w:pPr>
    </w:p>
    <w:p w14:paraId="098D6D74" w14:textId="236E71E2" w:rsidR="006252D2" w:rsidRPr="006252D2" w:rsidRDefault="006252D2" w:rsidP="006252D2">
      <w:pPr>
        <w:jc w:val="both"/>
        <w:rPr>
          <w:rFonts w:cs="Arial"/>
          <w:b/>
          <w:bCs/>
          <w:color w:val="000000" w:themeColor="text1"/>
        </w:rPr>
      </w:pPr>
      <w:r w:rsidRPr="006252D2">
        <w:rPr>
          <w:rFonts w:cs="Arial"/>
          <w:b/>
          <w:bCs/>
          <w:color w:val="000000" w:themeColor="text1"/>
        </w:rPr>
        <w:t>Aufladen</w:t>
      </w:r>
    </w:p>
    <w:p w14:paraId="11ACB690" w14:textId="2014C064" w:rsidR="006252D2" w:rsidRDefault="006252D2" w:rsidP="006252D2">
      <w:pPr>
        <w:jc w:val="both"/>
        <w:rPr>
          <w:rFonts w:cs="Arial"/>
          <w:color w:val="000000" w:themeColor="text1"/>
        </w:rPr>
      </w:pPr>
      <w:r w:rsidRPr="006252D2">
        <w:rPr>
          <w:rFonts w:cs="Arial"/>
          <w:color w:val="000000" w:themeColor="text1"/>
        </w:rPr>
        <w:t>Akkus am besten weit entfernt von brennbaren Gegenständen aufladen, wenn möglich auf Beton- oder Fliesenboden. Idealerweise befindet sich ein Rauchmelder im Raum.</w:t>
      </w:r>
    </w:p>
    <w:p w14:paraId="572591F8" w14:textId="77777777" w:rsidR="006252D2" w:rsidRPr="006252D2" w:rsidRDefault="006252D2" w:rsidP="006252D2">
      <w:pPr>
        <w:jc w:val="both"/>
        <w:rPr>
          <w:rFonts w:cs="Arial"/>
          <w:color w:val="000000" w:themeColor="text1"/>
        </w:rPr>
      </w:pPr>
    </w:p>
    <w:p w14:paraId="29E4675D" w14:textId="77777777" w:rsidR="006252D2" w:rsidRPr="006252D2" w:rsidRDefault="006252D2" w:rsidP="006252D2">
      <w:pPr>
        <w:jc w:val="both"/>
        <w:rPr>
          <w:rFonts w:cs="Arial"/>
          <w:b/>
          <w:bCs/>
          <w:color w:val="000000" w:themeColor="text1"/>
        </w:rPr>
      </w:pPr>
      <w:r w:rsidRPr="006252D2">
        <w:rPr>
          <w:rFonts w:cs="Arial"/>
          <w:b/>
          <w:bCs/>
          <w:color w:val="000000" w:themeColor="text1"/>
        </w:rPr>
        <w:t>Beschädigung</w:t>
      </w:r>
    </w:p>
    <w:p w14:paraId="3A5E2557" w14:textId="64AC478E" w:rsidR="006252D2" w:rsidRDefault="00601B03" w:rsidP="006252D2">
      <w:pPr>
        <w:jc w:val="both"/>
        <w:rPr>
          <w:rFonts w:cs="Arial"/>
          <w:color w:val="000000" w:themeColor="text1"/>
        </w:rPr>
      </w:pPr>
      <w:r>
        <w:rPr>
          <w:rFonts w:cs="Arial"/>
          <w:color w:val="000000" w:themeColor="text1"/>
        </w:rPr>
        <w:t xml:space="preserve">Beschädigte oder defekte Akkus sollten nicht weiterverwendet werden und sicher, bspw.: Brandschutztechnisch abgetrennter Bereich, aufbewahrt werden. </w:t>
      </w:r>
      <w:r w:rsidR="006252D2" w:rsidRPr="006252D2">
        <w:rPr>
          <w:rFonts w:cs="Arial"/>
          <w:color w:val="000000" w:themeColor="text1"/>
        </w:rPr>
        <w:t>Er könnte im Inneren beschädigt sein und das kann in der Folge zu einem Kurzschluss, einem Brand und einer Explosion führen.</w:t>
      </w:r>
    </w:p>
    <w:p w14:paraId="4B4AEC21" w14:textId="644B7E09" w:rsidR="006252D2" w:rsidRDefault="006252D2" w:rsidP="006252D2">
      <w:pPr>
        <w:jc w:val="both"/>
        <w:rPr>
          <w:b/>
          <w:color w:val="000000" w:themeColor="text1"/>
          <w:szCs w:val="24"/>
          <w:u w:val="single"/>
        </w:rPr>
      </w:pPr>
    </w:p>
    <w:p w14:paraId="14B55A22" w14:textId="2B63E375" w:rsidR="006252D2" w:rsidRPr="00DB0D04" w:rsidRDefault="006252D2" w:rsidP="006252D2">
      <w:pPr>
        <w:jc w:val="both"/>
        <w:rPr>
          <w:b/>
          <w:color w:val="000000" w:themeColor="text1"/>
          <w:szCs w:val="24"/>
        </w:rPr>
      </w:pPr>
      <w:r w:rsidRPr="00DB0D04">
        <w:rPr>
          <w:b/>
          <w:color w:val="000000" w:themeColor="text1"/>
          <w:szCs w:val="24"/>
        </w:rPr>
        <w:t>Schutzmaßnahmen</w:t>
      </w:r>
      <w:r w:rsidR="00DB0D04">
        <w:rPr>
          <w:b/>
          <w:color w:val="000000" w:themeColor="text1"/>
          <w:szCs w:val="24"/>
        </w:rPr>
        <w:t xml:space="preserve"> </w:t>
      </w:r>
      <w:r w:rsidR="00DB0D04" w:rsidRPr="00DB0D04">
        <w:rPr>
          <w:b/>
          <w:color w:val="000000" w:themeColor="text1"/>
          <w:szCs w:val="24"/>
        </w:rPr>
        <w:t xml:space="preserve">bei der Lagerung größerer Mengen </w:t>
      </w:r>
      <w:r w:rsidR="00DB0D04" w:rsidRPr="00DB0D04">
        <w:rPr>
          <w:b/>
          <w:color w:val="000000" w:themeColor="text1"/>
        </w:rPr>
        <w:t xml:space="preserve">von </w:t>
      </w:r>
      <w:r w:rsidR="00DB0D04" w:rsidRPr="00DB0D04">
        <w:rPr>
          <w:rFonts w:cs="Arial"/>
          <w:b/>
          <w:color w:val="000000" w:themeColor="text1"/>
        </w:rPr>
        <w:t xml:space="preserve">Lithium-Ionen-Akkus </w:t>
      </w:r>
      <w:r w:rsidR="00DB0D04" w:rsidRPr="00DB0D04">
        <w:rPr>
          <w:b/>
          <w:color w:val="000000" w:themeColor="text1"/>
        </w:rPr>
        <w:t>mittlerer</w:t>
      </w:r>
      <w:r w:rsidR="00FA6603">
        <w:rPr>
          <w:b/>
          <w:color w:val="000000" w:themeColor="text1"/>
        </w:rPr>
        <w:t xml:space="preserve"> Leistung</w:t>
      </w:r>
      <w:r w:rsidRPr="00DB0D04">
        <w:rPr>
          <w:rStyle w:val="Funotenzeichen"/>
          <w:b/>
          <w:color w:val="000000" w:themeColor="text1"/>
          <w:szCs w:val="24"/>
        </w:rPr>
        <w:footnoteReference w:id="1"/>
      </w:r>
    </w:p>
    <w:p w14:paraId="6149BE4A"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Einhaltung der Herstellervorgaben (technische Produktdatenblätter).</w:t>
      </w:r>
    </w:p>
    <w:p w14:paraId="651615D1"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Schutz vor Kurzschluss der Batteriepole.</w:t>
      </w:r>
    </w:p>
    <w:p w14:paraId="1B4FD336"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Nicht unmittelbar und dauerhaft hohen Temperaturen oder Wärmequellen aussetzen (dazu gehört auch direkte Sonneneinstrahlung).</w:t>
      </w:r>
    </w:p>
    <w:p w14:paraId="606681C0" w14:textId="7E64374E"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lastRenderedPageBreak/>
        <w:t>Einhaltung einer baulichen oder räumlichen Trennung (mind. 2,5 m) zu anderen brennbaren Materialen, falls keine automatische Löschanlage vorhanden ist.</w:t>
      </w:r>
    </w:p>
    <w:p w14:paraId="578C995C"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Sofortiges Entfernen beschädigter oder defekter Batterien aus Lager- und Produktionsbereichen (Zwischenlagerung bis zur Entsorgung in sicherem Abstand oder einem brandschutztechnisch abgetrennten Bereich).</w:t>
      </w:r>
    </w:p>
    <w:p w14:paraId="47E44CDE"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Ausschließlich Lagerung von Batterien mit Prüfungsnachweis nach UN 38.3 (Prototypen nur in Ausnahmefällen und mit Gefährdungsbeurteilung).</w:t>
      </w:r>
    </w:p>
    <w:p w14:paraId="1C65B073"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Lagerung in feuerbeständig abgetrennten Bereichen oder mit Einhaltung eines Sicherheitsabstands (räumliche Trennung von 5 m).</w:t>
      </w:r>
    </w:p>
    <w:p w14:paraId="042EF06A"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Vermeidung von Mischlager</w:t>
      </w:r>
      <w:bookmarkStart w:id="0" w:name="_GoBack"/>
      <w:bookmarkEnd w:id="0"/>
      <w:r w:rsidRPr="006252D2">
        <w:rPr>
          <w:color w:val="000000" w:themeColor="text1"/>
        </w:rPr>
        <w:t>ung mit anderen brandbeschleunigenden Produkten.</w:t>
      </w:r>
    </w:p>
    <w:p w14:paraId="17C9D4AC" w14:textId="77777777" w:rsidR="006252D2" w:rsidRP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Überwachung des Lagerbereiches durch eine geeignete Brandmeldeanlage mit Aufschaltung auf eine ständig besetzte Stelle.</w:t>
      </w:r>
    </w:p>
    <w:p w14:paraId="34F08CDF" w14:textId="2ABB97C6" w:rsidR="006252D2" w:rsidRDefault="006252D2" w:rsidP="006252D2">
      <w:pPr>
        <w:pStyle w:val="Listenabsatz"/>
        <w:numPr>
          <w:ilvl w:val="0"/>
          <w:numId w:val="47"/>
        </w:numPr>
        <w:spacing w:after="200" w:line="276" w:lineRule="auto"/>
        <w:ind w:left="426"/>
        <w:contextualSpacing/>
        <w:jc w:val="both"/>
        <w:rPr>
          <w:color w:val="000000" w:themeColor="text1"/>
        </w:rPr>
      </w:pPr>
      <w:r w:rsidRPr="006252D2">
        <w:rPr>
          <w:color w:val="000000" w:themeColor="text1"/>
        </w:rPr>
        <w:t>Bei Vorhandensein von Feuerlöschanlagen: Berücksichtigung der Angaben zu geeigneten Löschmitteln in den technischen Produktdatenblättern.</w:t>
      </w:r>
    </w:p>
    <w:p w14:paraId="79BA50BB" w14:textId="32FE3367" w:rsidR="00DB0D04" w:rsidRDefault="00DB0D04" w:rsidP="00DB0D04">
      <w:pPr>
        <w:pStyle w:val="Listenabsatz"/>
        <w:numPr>
          <w:ilvl w:val="0"/>
          <w:numId w:val="47"/>
        </w:numPr>
        <w:spacing w:after="200" w:line="276" w:lineRule="auto"/>
        <w:ind w:left="426"/>
        <w:contextualSpacing/>
        <w:jc w:val="both"/>
        <w:rPr>
          <w:color w:val="000000" w:themeColor="text1"/>
        </w:rPr>
      </w:pPr>
      <w:r w:rsidRPr="006252D2">
        <w:rPr>
          <w:color w:val="000000" w:themeColor="text1"/>
        </w:rPr>
        <w:t>Schulung der Mitarbeiter im fachgerechten Umgang mit Lithium-Batterien.</w:t>
      </w:r>
    </w:p>
    <w:p w14:paraId="6D5913A1" w14:textId="21459C97" w:rsidR="00EA7D93" w:rsidRPr="00EA7D93" w:rsidRDefault="00EA7D93" w:rsidP="00EA7D93">
      <w:pPr>
        <w:pStyle w:val="Listenabsatz"/>
        <w:numPr>
          <w:ilvl w:val="0"/>
          <w:numId w:val="47"/>
        </w:numPr>
        <w:spacing w:after="200" w:line="276" w:lineRule="auto"/>
        <w:ind w:left="426"/>
        <w:contextualSpacing/>
        <w:jc w:val="both"/>
        <w:rPr>
          <w:color w:val="000000" w:themeColor="text1"/>
        </w:rPr>
      </w:pPr>
      <w:r>
        <w:rPr>
          <w:color w:val="000000" w:themeColor="text1"/>
        </w:rPr>
        <w:t>Bei größeren Lagermengen &gt;60m</w:t>
      </w:r>
      <w:r w:rsidRPr="00EA7D93">
        <w:rPr>
          <w:color w:val="000000" w:themeColor="text1"/>
          <w:vertAlign w:val="superscript"/>
        </w:rPr>
        <w:t>2</w:t>
      </w:r>
      <w:r>
        <w:rPr>
          <w:color w:val="000000" w:themeColor="text1"/>
        </w:rPr>
        <w:t xml:space="preserve"> und/oder Lagerhöhen &gt;3m gelten die Hinweise für Lithium-Batterien hoher Leistung</w:t>
      </w:r>
    </w:p>
    <w:p w14:paraId="1C58F182" w14:textId="4986AECD" w:rsidR="00A766F8" w:rsidRPr="00DB0D04" w:rsidRDefault="006252D2" w:rsidP="00DB0D04">
      <w:pPr>
        <w:jc w:val="both"/>
        <w:rPr>
          <w:color w:val="000000" w:themeColor="text1"/>
        </w:rPr>
      </w:pPr>
      <w:r w:rsidRPr="006252D2">
        <w:rPr>
          <w:color w:val="000000" w:themeColor="text1"/>
        </w:rPr>
        <w:t>Grundsätzlich gilt: werden Lithium-Akkus außerhalb ihrer Spezifikationen betrieben, können sie gefährlich sein. Gefahren resultieren hierbei aus fehlerhafter Handhabung und unsachgemäßen Umgang wie z. B. mechanische Beschädigung oder thermische Belastung (innerer Kurzschluss) oder Überladung.</w:t>
      </w:r>
      <w:r>
        <w:rPr>
          <w:color w:val="000000" w:themeColor="text1"/>
        </w:rPr>
        <w:t xml:space="preserve"> </w:t>
      </w:r>
    </w:p>
    <w:sectPr w:rsidR="00A766F8" w:rsidRPr="00DB0D04" w:rsidSect="00D75291">
      <w:headerReference w:type="default" r:id="rId8"/>
      <w:footerReference w:type="default" r:id="rId9"/>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5D21" w14:textId="77777777" w:rsidR="009E1118" w:rsidRDefault="009E1118">
      <w:r>
        <w:separator/>
      </w:r>
    </w:p>
  </w:endnote>
  <w:endnote w:type="continuationSeparator" w:id="0">
    <w:p w14:paraId="4756B09E" w14:textId="77777777" w:rsidR="009E1118" w:rsidRDefault="009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0000000000000000000"/>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6B4C0D6A" w:rsidR="004F0DC2" w:rsidRPr="004C1C05" w:rsidRDefault="00DB0D04" w:rsidP="004F0DC2">
          <w:pPr>
            <w:pStyle w:val="Fuzeile"/>
            <w:ind w:right="-83"/>
            <w:rPr>
              <w:sz w:val="16"/>
              <w:szCs w:val="16"/>
            </w:rPr>
          </w:pPr>
          <w:r>
            <w:rPr>
              <w:sz w:val="16"/>
              <w:szCs w:val="16"/>
            </w:rPr>
            <w:t>1</w:t>
          </w: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63C80FDA" w:rsidR="004F0DC2" w:rsidRPr="004C1C05" w:rsidRDefault="007A3D26" w:rsidP="004F0DC2">
          <w:pPr>
            <w:pStyle w:val="Fuzeile"/>
            <w:ind w:right="-83"/>
            <w:rPr>
              <w:sz w:val="16"/>
              <w:szCs w:val="16"/>
            </w:rPr>
          </w:pPr>
          <w:r>
            <w:rPr>
              <w:sz w:val="16"/>
              <w:szCs w:val="16"/>
            </w:rPr>
            <w:t>0</w:t>
          </w:r>
          <w:r w:rsidR="00697A12">
            <w:rPr>
              <w:sz w:val="16"/>
              <w:szCs w:val="16"/>
            </w:rPr>
            <w:t>9</w:t>
          </w:r>
          <w:r>
            <w:rPr>
              <w:sz w:val="16"/>
              <w:szCs w:val="16"/>
            </w:rPr>
            <w:t>.2019</w:t>
          </w:r>
        </w:p>
      </w:tc>
      <w:tc>
        <w:tcPr>
          <w:tcW w:w="1114" w:type="dxa"/>
          <w:vAlign w:val="center"/>
        </w:tcPr>
        <w:p w14:paraId="0367896C" w14:textId="5906D659" w:rsidR="004F0DC2" w:rsidRPr="004C1C05" w:rsidRDefault="00DB0D04" w:rsidP="004F0DC2">
          <w:pPr>
            <w:pStyle w:val="Fuzeile"/>
            <w:ind w:right="-83"/>
            <w:rPr>
              <w:sz w:val="16"/>
              <w:szCs w:val="16"/>
            </w:rPr>
          </w:pPr>
          <w:r>
            <w:rPr>
              <w:sz w:val="16"/>
              <w:szCs w:val="16"/>
            </w:rPr>
            <w:t>02.2020</w:t>
          </w: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DB0D04" w:rsidRPr="004C1C05" w14:paraId="7D7C1E9E" w14:textId="77777777" w:rsidTr="001B5CEE">
      <w:tc>
        <w:tcPr>
          <w:tcW w:w="1814" w:type="dxa"/>
          <w:vAlign w:val="center"/>
        </w:tcPr>
        <w:p w14:paraId="5FA7E0CE" w14:textId="77777777" w:rsidR="00DB0D04" w:rsidRPr="004C1C05" w:rsidRDefault="00DB0D04" w:rsidP="00DB0D04">
          <w:pPr>
            <w:pStyle w:val="Fuzeile"/>
            <w:ind w:right="-83"/>
            <w:rPr>
              <w:sz w:val="16"/>
              <w:szCs w:val="16"/>
            </w:rPr>
          </w:pPr>
          <w:r w:rsidRPr="004C1C05">
            <w:rPr>
              <w:sz w:val="16"/>
              <w:szCs w:val="16"/>
            </w:rPr>
            <w:t>Erstellt/geändert:</w:t>
          </w:r>
        </w:p>
      </w:tc>
      <w:tc>
        <w:tcPr>
          <w:tcW w:w="1113" w:type="dxa"/>
          <w:vAlign w:val="center"/>
        </w:tcPr>
        <w:p w14:paraId="46681F7E" w14:textId="77777777" w:rsidR="00DB0D04" w:rsidRPr="004C1C05" w:rsidRDefault="00DB0D04" w:rsidP="00DB0D04">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28C0A5BE" w:rsidR="00DB0D04" w:rsidRPr="004C1C05" w:rsidRDefault="00DB0D04" w:rsidP="00DB0D04">
          <w:pPr>
            <w:pStyle w:val="Fuzeile"/>
            <w:ind w:right="-83"/>
            <w:rPr>
              <w:sz w:val="16"/>
              <w:szCs w:val="16"/>
            </w:rPr>
          </w:pPr>
          <w:r>
            <w:rPr>
              <w:sz w:val="16"/>
              <w:szCs w:val="16"/>
            </w:rPr>
            <w:t>R.O.E.</w:t>
          </w:r>
          <w:r w:rsidRPr="004C1C05">
            <w:rPr>
              <w:sz w:val="16"/>
              <w:szCs w:val="16"/>
            </w:rPr>
            <w:t>GmbH</w:t>
          </w:r>
        </w:p>
      </w:tc>
      <w:tc>
        <w:tcPr>
          <w:tcW w:w="1114" w:type="dxa"/>
          <w:vAlign w:val="center"/>
        </w:tcPr>
        <w:p w14:paraId="74E249C1" w14:textId="77777777" w:rsidR="00DB0D04" w:rsidRPr="004C1C05" w:rsidRDefault="00DB0D04" w:rsidP="00DB0D04">
          <w:pPr>
            <w:pStyle w:val="Fuzeile"/>
            <w:ind w:right="-83"/>
            <w:rPr>
              <w:sz w:val="16"/>
              <w:szCs w:val="16"/>
            </w:rPr>
          </w:pPr>
        </w:p>
      </w:tc>
      <w:tc>
        <w:tcPr>
          <w:tcW w:w="1114" w:type="dxa"/>
          <w:vAlign w:val="center"/>
        </w:tcPr>
        <w:p w14:paraId="2834616F" w14:textId="77777777" w:rsidR="00DB0D04" w:rsidRPr="004C1C05" w:rsidRDefault="00DB0D04" w:rsidP="00DB0D04">
          <w:pPr>
            <w:pStyle w:val="Fuzeile"/>
            <w:ind w:right="-83"/>
            <w:rPr>
              <w:sz w:val="16"/>
              <w:szCs w:val="16"/>
            </w:rPr>
          </w:pPr>
        </w:p>
      </w:tc>
      <w:tc>
        <w:tcPr>
          <w:tcW w:w="1114" w:type="dxa"/>
          <w:vAlign w:val="center"/>
        </w:tcPr>
        <w:p w14:paraId="7C8A9D96" w14:textId="77777777" w:rsidR="00DB0D04" w:rsidRPr="004C1C05" w:rsidRDefault="00DB0D04" w:rsidP="00DB0D04">
          <w:pPr>
            <w:pStyle w:val="Fuzeile"/>
            <w:ind w:right="-83"/>
            <w:rPr>
              <w:sz w:val="16"/>
              <w:szCs w:val="16"/>
            </w:rPr>
          </w:pPr>
        </w:p>
      </w:tc>
      <w:tc>
        <w:tcPr>
          <w:tcW w:w="1114" w:type="dxa"/>
          <w:shd w:val="clear" w:color="auto" w:fill="auto"/>
          <w:vAlign w:val="center"/>
        </w:tcPr>
        <w:p w14:paraId="6CCC8185" w14:textId="77777777" w:rsidR="00DB0D04" w:rsidRPr="004C1C05" w:rsidRDefault="00DB0D04" w:rsidP="00DB0D04">
          <w:pPr>
            <w:pStyle w:val="Fuzeile"/>
            <w:ind w:right="-83"/>
            <w:rPr>
              <w:sz w:val="16"/>
              <w:szCs w:val="16"/>
            </w:rPr>
          </w:pPr>
        </w:p>
      </w:tc>
      <w:tc>
        <w:tcPr>
          <w:tcW w:w="1114" w:type="dxa"/>
          <w:vAlign w:val="center"/>
        </w:tcPr>
        <w:p w14:paraId="7C91B93C" w14:textId="77777777" w:rsidR="00DB0D04" w:rsidRPr="004C1C05" w:rsidRDefault="00DB0D04" w:rsidP="00DB0D04">
          <w:pPr>
            <w:pStyle w:val="Fuzeile"/>
            <w:ind w:right="-83"/>
            <w:rPr>
              <w:sz w:val="16"/>
              <w:szCs w:val="16"/>
            </w:rPr>
          </w:pPr>
        </w:p>
      </w:tc>
    </w:tr>
    <w:tr w:rsidR="00DB0D04" w:rsidRPr="004C1C05" w14:paraId="7DBB12E6" w14:textId="77777777" w:rsidTr="001B5CEE">
      <w:tc>
        <w:tcPr>
          <w:tcW w:w="1814" w:type="dxa"/>
          <w:vAlign w:val="center"/>
        </w:tcPr>
        <w:p w14:paraId="1DAF7BED" w14:textId="77777777" w:rsidR="00DB0D04" w:rsidRPr="004C1C05" w:rsidRDefault="00DB0D04" w:rsidP="00DB0D04">
          <w:pPr>
            <w:pStyle w:val="Fuzeile"/>
            <w:ind w:right="-83"/>
            <w:rPr>
              <w:sz w:val="16"/>
              <w:szCs w:val="16"/>
            </w:rPr>
          </w:pPr>
          <w:r w:rsidRPr="004C1C05">
            <w:rPr>
              <w:sz w:val="16"/>
              <w:szCs w:val="16"/>
            </w:rPr>
            <w:t>Genehmigt:</w:t>
          </w:r>
        </w:p>
      </w:tc>
      <w:tc>
        <w:tcPr>
          <w:tcW w:w="1113" w:type="dxa"/>
          <w:vAlign w:val="center"/>
        </w:tcPr>
        <w:p w14:paraId="7031F58E" w14:textId="77777777" w:rsidR="00DB0D04" w:rsidRPr="004C1C05" w:rsidRDefault="00DB0D04" w:rsidP="00DB0D04">
          <w:pPr>
            <w:pStyle w:val="Fuzeile"/>
            <w:ind w:right="-83"/>
            <w:rPr>
              <w:sz w:val="16"/>
              <w:szCs w:val="16"/>
            </w:rPr>
          </w:pPr>
        </w:p>
      </w:tc>
      <w:tc>
        <w:tcPr>
          <w:tcW w:w="1114" w:type="dxa"/>
          <w:vAlign w:val="center"/>
        </w:tcPr>
        <w:p w14:paraId="47A64D35" w14:textId="77777777" w:rsidR="00DB0D04" w:rsidRPr="004C1C05" w:rsidRDefault="00DB0D04" w:rsidP="00DB0D04">
          <w:pPr>
            <w:pStyle w:val="Fuzeile"/>
            <w:ind w:right="-83"/>
            <w:rPr>
              <w:sz w:val="16"/>
              <w:szCs w:val="16"/>
            </w:rPr>
          </w:pPr>
        </w:p>
      </w:tc>
      <w:tc>
        <w:tcPr>
          <w:tcW w:w="1114" w:type="dxa"/>
          <w:vAlign w:val="center"/>
        </w:tcPr>
        <w:p w14:paraId="51ECD793" w14:textId="77777777" w:rsidR="00DB0D04" w:rsidRPr="004C1C05" w:rsidRDefault="00DB0D04" w:rsidP="00DB0D04">
          <w:pPr>
            <w:pStyle w:val="Fuzeile"/>
            <w:ind w:right="-83"/>
            <w:rPr>
              <w:sz w:val="16"/>
              <w:szCs w:val="16"/>
            </w:rPr>
          </w:pPr>
        </w:p>
      </w:tc>
      <w:tc>
        <w:tcPr>
          <w:tcW w:w="1114" w:type="dxa"/>
          <w:vAlign w:val="center"/>
        </w:tcPr>
        <w:p w14:paraId="0616FCC5" w14:textId="77777777" w:rsidR="00DB0D04" w:rsidRPr="004C1C05" w:rsidRDefault="00DB0D04" w:rsidP="00DB0D04">
          <w:pPr>
            <w:pStyle w:val="Fuzeile"/>
            <w:ind w:right="-83"/>
            <w:rPr>
              <w:sz w:val="16"/>
              <w:szCs w:val="16"/>
            </w:rPr>
          </w:pPr>
        </w:p>
      </w:tc>
      <w:tc>
        <w:tcPr>
          <w:tcW w:w="1114" w:type="dxa"/>
          <w:vAlign w:val="center"/>
        </w:tcPr>
        <w:p w14:paraId="3AEBC74A" w14:textId="77777777" w:rsidR="00DB0D04" w:rsidRPr="004C1C05" w:rsidRDefault="00DB0D04" w:rsidP="00DB0D04">
          <w:pPr>
            <w:pStyle w:val="Fuzeile"/>
            <w:ind w:right="-83"/>
            <w:rPr>
              <w:sz w:val="16"/>
              <w:szCs w:val="16"/>
            </w:rPr>
          </w:pPr>
        </w:p>
      </w:tc>
      <w:tc>
        <w:tcPr>
          <w:tcW w:w="1114" w:type="dxa"/>
          <w:shd w:val="clear" w:color="auto" w:fill="auto"/>
          <w:vAlign w:val="center"/>
        </w:tcPr>
        <w:p w14:paraId="024944CB" w14:textId="77777777" w:rsidR="00DB0D04" w:rsidRPr="004C1C05" w:rsidRDefault="00DB0D04" w:rsidP="00DB0D04">
          <w:pPr>
            <w:pStyle w:val="Fuzeile"/>
            <w:ind w:right="-83"/>
            <w:rPr>
              <w:sz w:val="16"/>
              <w:szCs w:val="16"/>
            </w:rPr>
          </w:pPr>
        </w:p>
      </w:tc>
      <w:tc>
        <w:tcPr>
          <w:tcW w:w="1114" w:type="dxa"/>
          <w:vAlign w:val="center"/>
        </w:tcPr>
        <w:p w14:paraId="4FE0CA3B" w14:textId="77777777" w:rsidR="00DB0D04" w:rsidRPr="004C1C05" w:rsidRDefault="00DB0D04" w:rsidP="00DB0D04">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1F54" w14:textId="77777777" w:rsidR="009E1118" w:rsidRDefault="009E1118">
      <w:r>
        <w:separator/>
      </w:r>
    </w:p>
  </w:footnote>
  <w:footnote w:type="continuationSeparator" w:id="0">
    <w:p w14:paraId="265693B7" w14:textId="77777777" w:rsidR="009E1118" w:rsidRDefault="009E1118">
      <w:r>
        <w:continuationSeparator/>
      </w:r>
    </w:p>
  </w:footnote>
  <w:footnote w:id="1">
    <w:p w14:paraId="622C308A" w14:textId="77777777" w:rsidR="006252D2" w:rsidRDefault="006252D2" w:rsidP="006252D2">
      <w:pPr>
        <w:pStyle w:val="Funotentext"/>
      </w:pPr>
      <w:r>
        <w:rPr>
          <w:rStyle w:val="Funotenzeichen"/>
        </w:rPr>
        <w:footnoteRef/>
      </w:r>
      <w:r>
        <w:t xml:space="preserve"> In Anlehnung an das GDV-Merkblatt zur Schadensverhüttung </w:t>
      </w:r>
      <w:proofErr w:type="spellStart"/>
      <w:r>
        <w:t>VdS</w:t>
      </w:r>
      <w:proofErr w:type="spellEnd"/>
      <w:r>
        <w:t xml:space="preserve"> 3103 „Lithium Batterien“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1DE5665" w:rsidR="004F0DC2" w:rsidRPr="00E21DC0" w:rsidRDefault="004F0DC2" w:rsidP="004F0DC2">
          <w:pPr>
            <w:jc w:val="center"/>
          </w:pPr>
          <w:r w:rsidRPr="00E21DC0">
            <w:rPr>
              <w:b/>
            </w:rPr>
            <w:t>UW_ET_</w:t>
          </w:r>
          <w:r w:rsidR="00697A12">
            <w:rPr>
              <w:b/>
            </w:rPr>
            <w:t>50</w:t>
          </w:r>
        </w:p>
      </w:tc>
      <w:tc>
        <w:tcPr>
          <w:tcW w:w="5026" w:type="dxa"/>
          <w:vAlign w:val="center"/>
        </w:tcPr>
        <w:p w14:paraId="0ED75787" w14:textId="2A51B9F5" w:rsidR="00697A12" w:rsidRDefault="00697A12" w:rsidP="004F0DC2">
          <w:pPr>
            <w:jc w:val="center"/>
            <w:rPr>
              <w:sz w:val="28"/>
              <w:szCs w:val="28"/>
            </w:rPr>
          </w:pPr>
          <w:r w:rsidRPr="00697A12">
            <w:rPr>
              <w:sz w:val="28"/>
              <w:szCs w:val="28"/>
            </w:rPr>
            <w:t xml:space="preserve">Laden von </w:t>
          </w:r>
          <w:r w:rsidR="006252D2" w:rsidRPr="00697A12">
            <w:rPr>
              <w:sz w:val="28"/>
              <w:szCs w:val="28"/>
            </w:rPr>
            <w:t>Lithium-Ionen-Akkus</w:t>
          </w:r>
          <w:r w:rsidRPr="00697A12">
            <w:rPr>
              <w:sz w:val="28"/>
              <w:szCs w:val="28"/>
            </w:rPr>
            <w:t xml:space="preserve"> </w:t>
          </w:r>
        </w:p>
        <w:p w14:paraId="63D167E9" w14:textId="7BDE00F3" w:rsidR="004F0DC2" w:rsidRPr="00B2005A" w:rsidRDefault="00697A12" w:rsidP="004F0DC2">
          <w:pPr>
            <w:jc w:val="center"/>
            <w:rPr>
              <w:sz w:val="28"/>
              <w:szCs w:val="28"/>
            </w:rPr>
          </w:pPr>
          <w:r w:rsidRPr="00697A12">
            <w:rPr>
              <w:sz w:val="28"/>
              <w:szCs w:val="28"/>
            </w:rPr>
            <w:t>mittlerer Leistung</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5"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1"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2"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871488"/>
    <w:multiLevelType w:val="hybridMultilevel"/>
    <w:tmpl w:val="CFEAFB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DC54FA"/>
    <w:multiLevelType w:val="hybridMultilevel"/>
    <w:tmpl w:val="F65C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4"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7"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3"/>
  </w:num>
  <w:num w:numId="3">
    <w:abstractNumId w:val="32"/>
  </w:num>
  <w:num w:numId="4">
    <w:abstractNumId w:val="14"/>
  </w:num>
  <w:num w:numId="5">
    <w:abstractNumId w:val="36"/>
  </w:num>
  <w:num w:numId="6">
    <w:abstractNumId w:val="38"/>
  </w:num>
  <w:num w:numId="7">
    <w:abstractNumId w:val="5"/>
  </w:num>
  <w:num w:numId="8">
    <w:abstractNumId w:val="30"/>
  </w:num>
  <w:num w:numId="9">
    <w:abstractNumId w:val="8"/>
  </w:num>
  <w:num w:numId="10">
    <w:abstractNumId w:val="41"/>
  </w:num>
  <w:num w:numId="11">
    <w:abstractNumId w:val="29"/>
  </w:num>
  <w:num w:numId="12">
    <w:abstractNumId w:val="46"/>
  </w:num>
  <w:num w:numId="13">
    <w:abstractNumId w:val="3"/>
  </w:num>
  <w:num w:numId="14">
    <w:abstractNumId w:val="34"/>
  </w:num>
  <w:num w:numId="15">
    <w:abstractNumId w:val="18"/>
  </w:num>
  <w:num w:numId="16">
    <w:abstractNumId w:val="12"/>
  </w:num>
  <w:num w:numId="17">
    <w:abstractNumId w:val="13"/>
  </w:num>
  <w:num w:numId="18">
    <w:abstractNumId w:val="7"/>
  </w:num>
  <w:num w:numId="19">
    <w:abstractNumId w:val="11"/>
  </w:num>
  <w:num w:numId="20">
    <w:abstractNumId w:val="42"/>
  </w:num>
  <w:num w:numId="21">
    <w:abstractNumId w:val="15"/>
  </w:num>
  <w:num w:numId="22">
    <w:abstractNumId w:val="16"/>
  </w:num>
  <w:num w:numId="23">
    <w:abstractNumId w:val="40"/>
  </w:num>
  <w:num w:numId="24">
    <w:abstractNumId w:val="17"/>
  </w:num>
  <w:num w:numId="25">
    <w:abstractNumId w:val="39"/>
  </w:num>
  <w:num w:numId="26">
    <w:abstractNumId w:val="21"/>
  </w:num>
  <w:num w:numId="27">
    <w:abstractNumId w:val="26"/>
  </w:num>
  <w:num w:numId="28">
    <w:abstractNumId w:val="1"/>
  </w:num>
  <w:num w:numId="29">
    <w:abstractNumId w:val="4"/>
  </w:num>
  <w:num w:numId="30">
    <w:abstractNumId w:val="44"/>
  </w:num>
  <w:num w:numId="31">
    <w:abstractNumId w:val="20"/>
  </w:num>
  <w:num w:numId="32">
    <w:abstractNumId w:val="33"/>
  </w:num>
  <w:num w:numId="33">
    <w:abstractNumId w:val="27"/>
  </w:num>
  <w:num w:numId="34">
    <w:abstractNumId w:val="9"/>
  </w:num>
  <w:num w:numId="35">
    <w:abstractNumId w:val="35"/>
  </w:num>
  <w:num w:numId="36">
    <w:abstractNumId w:val="6"/>
  </w:num>
  <w:num w:numId="37">
    <w:abstractNumId w:val="28"/>
  </w:num>
  <w:num w:numId="38">
    <w:abstractNumId w:val="37"/>
  </w:num>
  <w:num w:numId="39">
    <w:abstractNumId w:val="24"/>
  </w:num>
  <w:num w:numId="40">
    <w:abstractNumId w:val="19"/>
  </w:num>
  <w:num w:numId="41">
    <w:abstractNumId w:val="45"/>
  </w:num>
  <w:num w:numId="42">
    <w:abstractNumId w:val="43"/>
  </w:num>
  <w:num w:numId="43">
    <w:abstractNumId w:val="2"/>
  </w:num>
  <w:num w:numId="44">
    <w:abstractNumId w:val="22"/>
  </w:num>
  <w:num w:numId="45">
    <w:abstractNumId w:val="0"/>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49E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B03"/>
    <w:rsid w:val="00601F09"/>
    <w:rsid w:val="00615F8A"/>
    <w:rsid w:val="00616683"/>
    <w:rsid w:val="00617FE6"/>
    <w:rsid w:val="006207B4"/>
    <w:rsid w:val="00621215"/>
    <w:rsid w:val="006213A9"/>
    <w:rsid w:val="00621DB8"/>
    <w:rsid w:val="006252D2"/>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A12"/>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118"/>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1D89"/>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0D04"/>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A7D93"/>
    <w:rsid w:val="00EB11A4"/>
    <w:rsid w:val="00EB4592"/>
    <w:rsid w:val="00EB5619"/>
    <w:rsid w:val="00EC172B"/>
    <w:rsid w:val="00EC67B1"/>
    <w:rsid w:val="00EC7378"/>
    <w:rsid w:val="00ED5AA1"/>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A6603"/>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752"/>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AA7C-9BCD-4F25-8638-2C6AD904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Elektrokurzschulung_Vorlage</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Andres Moncayo</cp:lastModifiedBy>
  <cp:revision>7</cp:revision>
  <cp:lastPrinted>2018-10-16T05:29:00Z</cp:lastPrinted>
  <dcterms:created xsi:type="dcterms:W3CDTF">2019-09-27T13:37:00Z</dcterms:created>
  <dcterms:modified xsi:type="dcterms:W3CDTF">2020-02-21T08:53:00Z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