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C977D" w14:textId="62A2CF02" w:rsidR="00AB24B8" w:rsidRPr="00AB24B8" w:rsidRDefault="00AB24B8" w:rsidP="00AB24B8">
      <w:pPr>
        <w:contextualSpacing/>
        <w:jc w:val="both"/>
        <w:rPr>
          <w:color w:val="000000" w:themeColor="text1"/>
          <w:sz w:val="22"/>
        </w:rPr>
      </w:pPr>
      <w:bookmarkStart w:id="0" w:name="_Hlk504394952"/>
      <w:bookmarkEnd w:id="0"/>
      <w:r w:rsidRPr="00AB24B8">
        <w:rPr>
          <w:color w:val="000000" w:themeColor="text1"/>
          <w:sz w:val="22"/>
        </w:rPr>
        <w:t xml:space="preserve">Gemäß der ArbStättV hat der Arbeitgeber oder eine von ihm dazu </w:t>
      </w:r>
      <w:r w:rsidR="00323325">
        <w:rPr>
          <w:color w:val="000000" w:themeColor="text1"/>
          <w:sz w:val="22"/>
        </w:rPr>
        <w:t>beauftragte</w:t>
      </w:r>
      <w:r w:rsidRPr="00AB24B8">
        <w:rPr>
          <w:color w:val="000000" w:themeColor="text1"/>
          <w:sz w:val="22"/>
        </w:rPr>
        <w:t xml:space="preserve"> Person dafür zu sorgen, dass Arbeitsstätten so eingerichtet und betrieben werden, dass Gefährdungen für die Sicherheit und die Gesundheit der Beschäftigten möglichst vermieden und verbleibende Gefährdungen möglichst geringgehalten werden.</w:t>
      </w:r>
    </w:p>
    <w:p w14:paraId="6AEC5FB0" w14:textId="77777777" w:rsidR="00AB24B8" w:rsidRPr="00AB24B8" w:rsidRDefault="00AB24B8" w:rsidP="00AB24B8">
      <w:pPr>
        <w:contextualSpacing/>
        <w:jc w:val="both"/>
        <w:rPr>
          <w:color w:val="000000" w:themeColor="text1"/>
          <w:sz w:val="22"/>
        </w:rPr>
      </w:pPr>
    </w:p>
    <w:p w14:paraId="091FD582" w14:textId="672B8DB5" w:rsidR="00AB24B8" w:rsidRPr="00AB24B8" w:rsidRDefault="00AB24B8" w:rsidP="00AB24B8">
      <w:pPr>
        <w:contextualSpacing/>
        <w:jc w:val="both"/>
        <w:rPr>
          <w:color w:val="000000" w:themeColor="text1"/>
          <w:sz w:val="22"/>
        </w:rPr>
      </w:pPr>
      <w:r w:rsidRPr="00AB24B8">
        <w:rPr>
          <w:color w:val="000000" w:themeColor="text1"/>
          <w:sz w:val="22"/>
        </w:rPr>
        <w:t>Bei Einhaltung der bekanntgemachten Regeln (anerkannten Regeln der Technik, z. B. Normen des VDE) ist die Vermutungswirkung gegeben, dass diese in der ArbStättV gestellten Anforderungen erfüllt sind.</w:t>
      </w:r>
    </w:p>
    <w:p w14:paraId="254E855D" w14:textId="77777777" w:rsidR="00AB24B8" w:rsidRPr="00AB24B8" w:rsidRDefault="00AB24B8" w:rsidP="00AB24B8">
      <w:pPr>
        <w:contextualSpacing/>
        <w:jc w:val="both"/>
        <w:rPr>
          <w:color w:val="000000" w:themeColor="text1"/>
          <w:sz w:val="22"/>
        </w:rPr>
      </w:pPr>
    </w:p>
    <w:p w14:paraId="505F0FE9" w14:textId="77777777" w:rsidR="00AB24B8" w:rsidRPr="00AB24B8" w:rsidRDefault="00AB24B8" w:rsidP="00AB24B8">
      <w:pPr>
        <w:contextualSpacing/>
        <w:rPr>
          <w:color w:val="000000" w:themeColor="text1"/>
          <w:sz w:val="22"/>
          <w:u w:val="single"/>
        </w:rPr>
      </w:pPr>
      <w:r w:rsidRPr="00AB24B8">
        <w:rPr>
          <w:color w:val="000000" w:themeColor="text1"/>
          <w:sz w:val="22"/>
          <w:u w:val="single"/>
        </w:rPr>
        <w:t>EnWG Energiewirtschaftsgesetz</w:t>
      </w:r>
    </w:p>
    <w:p w14:paraId="69F2304A" w14:textId="77777777" w:rsidR="00AB24B8" w:rsidRPr="00AB24B8" w:rsidRDefault="00AB24B8" w:rsidP="00AB24B8">
      <w:pPr>
        <w:contextualSpacing/>
        <w:rPr>
          <w:i/>
          <w:color w:val="000000" w:themeColor="text1"/>
          <w:sz w:val="22"/>
        </w:rPr>
      </w:pPr>
      <w:r w:rsidRPr="00AB24B8">
        <w:rPr>
          <w:i/>
          <w:color w:val="000000" w:themeColor="text1"/>
          <w:sz w:val="22"/>
        </w:rPr>
        <w:t>§ 49 Anforderungen an Energieanlagen</w:t>
      </w:r>
      <w:r w:rsidRPr="00AB24B8">
        <w:rPr>
          <w:i/>
          <w:color w:val="000000" w:themeColor="text1"/>
          <w:sz w:val="22"/>
        </w:rPr>
        <w:br/>
        <w:t>(1) Beim Errichten und Betreiben sind die allgemein anerkannten Regel der Technik einzuhalten</w:t>
      </w:r>
      <w:r w:rsidRPr="00AB24B8">
        <w:rPr>
          <w:i/>
          <w:color w:val="000000" w:themeColor="text1"/>
          <w:sz w:val="22"/>
        </w:rPr>
        <w:br/>
        <w:t xml:space="preserve">(2) Die Einhaltung der allgemein anerkannten Regeln der Technik wird </w:t>
      </w:r>
      <w:r w:rsidRPr="00AB24B8">
        <w:rPr>
          <w:b/>
          <w:i/>
          <w:color w:val="000000" w:themeColor="text1"/>
          <w:sz w:val="22"/>
        </w:rPr>
        <w:t>vermutet</w:t>
      </w:r>
      <w:r w:rsidRPr="00AB24B8">
        <w:rPr>
          <w:i/>
          <w:color w:val="000000" w:themeColor="text1"/>
          <w:sz w:val="22"/>
        </w:rPr>
        <w:t>,</w:t>
      </w:r>
      <w:r w:rsidRPr="00AB24B8">
        <w:rPr>
          <w:i/>
          <w:color w:val="000000" w:themeColor="text1"/>
          <w:sz w:val="22"/>
        </w:rPr>
        <w:br/>
        <w:t>wenn bei Anlagen zur Erzeugung, Fortleitung und Abgabe von Elektrizität die technischen Regeln des VDE eingehalten worden sind.</w:t>
      </w:r>
    </w:p>
    <w:p w14:paraId="0B336E23" w14:textId="77777777" w:rsidR="00AB24B8" w:rsidRPr="00AB24B8" w:rsidRDefault="00AB24B8" w:rsidP="00AB24B8">
      <w:pPr>
        <w:contextualSpacing/>
        <w:jc w:val="both"/>
        <w:rPr>
          <w:color w:val="000000" w:themeColor="text1"/>
          <w:sz w:val="22"/>
        </w:rPr>
      </w:pPr>
    </w:p>
    <w:p w14:paraId="4F14F3BB" w14:textId="77777777" w:rsidR="00AB24B8" w:rsidRPr="00AB24B8" w:rsidRDefault="00AB24B8" w:rsidP="00AB24B8">
      <w:pPr>
        <w:contextualSpacing/>
        <w:rPr>
          <w:color w:val="000000" w:themeColor="text1"/>
          <w:sz w:val="22"/>
          <w:u w:val="single"/>
        </w:rPr>
      </w:pPr>
      <w:r w:rsidRPr="00AB24B8">
        <w:rPr>
          <w:color w:val="000000" w:themeColor="text1"/>
          <w:sz w:val="22"/>
          <w:u w:val="single"/>
        </w:rPr>
        <w:t>Definition der anerkannten Regeln der Technik in Betriebssicherheitsverordnung (BetrSichV)</w:t>
      </w:r>
    </w:p>
    <w:p w14:paraId="71D71D8E" w14:textId="77777777" w:rsidR="00AB24B8" w:rsidRPr="00AB24B8" w:rsidRDefault="00AB24B8" w:rsidP="00AB24B8">
      <w:pPr>
        <w:contextualSpacing/>
        <w:rPr>
          <w:i/>
          <w:color w:val="000000" w:themeColor="text1"/>
          <w:sz w:val="22"/>
        </w:rPr>
      </w:pPr>
      <w:r w:rsidRPr="00AB24B8">
        <w:rPr>
          <w:i/>
          <w:color w:val="000000" w:themeColor="text1"/>
          <w:sz w:val="22"/>
        </w:rPr>
        <w:t>Allgemein anerkannte Regeln der Technik sind Regeln, welche sowohl die Voraussetzungen für „Stand der Wissenschaft und Technik“ als auch „Stand der Technik“ erfüllen und sich zudem über einen ausreichend langen Zeitraum bewährt haben.</w:t>
      </w:r>
    </w:p>
    <w:p w14:paraId="6495BB82" w14:textId="77777777" w:rsidR="00AB24B8" w:rsidRPr="00AB24B8" w:rsidRDefault="00AB24B8" w:rsidP="00AB24B8">
      <w:pPr>
        <w:contextualSpacing/>
        <w:jc w:val="both"/>
        <w:rPr>
          <w:color w:val="000000" w:themeColor="text1"/>
          <w:sz w:val="22"/>
        </w:rPr>
      </w:pPr>
    </w:p>
    <w:p w14:paraId="5F474BDB" w14:textId="77777777" w:rsidR="00AB24B8" w:rsidRPr="00AB24B8" w:rsidRDefault="00AB24B8" w:rsidP="00AB24B8">
      <w:pPr>
        <w:contextualSpacing/>
        <w:jc w:val="both"/>
        <w:rPr>
          <w:color w:val="000000" w:themeColor="text1"/>
          <w:sz w:val="22"/>
        </w:rPr>
      </w:pPr>
      <w:r w:rsidRPr="00AB24B8">
        <w:rPr>
          <w:color w:val="000000" w:themeColor="text1"/>
          <w:sz w:val="22"/>
        </w:rPr>
        <w:t>Für die Einhaltung und Umsetzung der gesetzlichen und normativen Vorgaben ist der Arbeitgeber bzw. in diesem Fall der Anlagenbetreiber der elektrischen Anlage gemäß VDE 0105-100 „Betrieb von elektrischen Anlagen“ verantwortlich.</w:t>
      </w:r>
    </w:p>
    <w:p w14:paraId="4D360466" w14:textId="77777777" w:rsidR="00AB24B8" w:rsidRPr="00AB24B8" w:rsidRDefault="00AB24B8" w:rsidP="00AB24B8">
      <w:pPr>
        <w:contextualSpacing/>
        <w:jc w:val="both"/>
        <w:rPr>
          <w:color w:val="000000" w:themeColor="text1"/>
          <w:sz w:val="22"/>
        </w:rPr>
      </w:pPr>
    </w:p>
    <w:p w14:paraId="2C538FDA" w14:textId="77777777" w:rsidR="00AB24B8" w:rsidRPr="00AB24B8" w:rsidRDefault="00AB24B8" w:rsidP="00AB24B8">
      <w:pPr>
        <w:contextualSpacing/>
        <w:jc w:val="both"/>
        <w:rPr>
          <w:color w:val="000000" w:themeColor="text1"/>
          <w:sz w:val="22"/>
          <w:u w:val="single"/>
        </w:rPr>
      </w:pPr>
      <w:r w:rsidRPr="00AB24B8">
        <w:rPr>
          <w:color w:val="000000" w:themeColor="text1"/>
          <w:sz w:val="22"/>
          <w:u w:val="single"/>
        </w:rPr>
        <w:t>Aus der VDE 0100-100:2009-06 „Errichten von Niederspannungsanlagen – Teil 1: Allgemeine Grundsätze, Bestimmungen allgemeiner Merkmale, Begriffe“ Abs. 132.12 geht hervor</w:t>
      </w:r>
    </w:p>
    <w:p w14:paraId="1CC26D06" w14:textId="77777777" w:rsidR="00AB24B8" w:rsidRPr="00AB24B8" w:rsidRDefault="00AB24B8" w:rsidP="00AB24B8">
      <w:pPr>
        <w:contextualSpacing/>
        <w:jc w:val="both"/>
        <w:rPr>
          <w:i/>
          <w:color w:val="000000" w:themeColor="text1"/>
          <w:sz w:val="22"/>
        </w:rPr>
      </w:pPr>
      <w:r w:rsidRPr="00AB24B8">
        <w:rPr>
          <w:i/>
          <w:color w:val="000000" w:themeColor="text1"/>
          <w:sz w:val="22"/>
        </w:rPr>
        <w:t>dass die elektrischen Betriebsmittel so angeordnet werden müssen, dass:</w:t>
      </w:r>
    </w:p>
    <w:p w14:paraId="69DD35F3" w14:textId="77777777" w:rsidR="00AB24B8" w:rsidRPr="00AB24B8" w:rsidRDefault="00AB24B8" w:rsidP="00AB24B8">
      <w:pPr>
        <w:pStyle w:val="Listenabsatz"/>
        <w:numPr>
          <w:ilvl w:val="0"/>
          <w:numId w:val="2"/>
        </w:numPr>
        <w:ind w:left="426"/>
        <w:jc w:val="both"/>
        <w:rPr>
          <w:i/>
          <w:color w:val="000000" w:themeColor="text1"/>
          <w:sz w:val="22"/>
        </w:rPr>
      </w:pPr>
      <w:r w:rsidRPr="00AB24B8">
        <w:rPr>
          <w:i/>
          <w:color w:val="000000" w:themeColor="text1"/>
          <w:sz w:val="22"/>
        </w:rPr>
        <w:t>ausreichender Platz für die Ersterrichtung und für das spätere Ersetzen einzelner Teile der Betriebsmittel;</w:t>
      </w:r>
    </w:p>
    <w:p w14:paraId="666BA303" w14:textId="77777777" w:rsidR="00AB24B8" w:rsidRPr="00AB24B8" w:rsidRDefault="00AB24B8" w:rsidP="00AB24B8">
      <w:pPr>
        <w:pStyle w:val="Listenabsatz"/>
        <w:numPr>
          <w:ilvl w:val="0"/>
          <w:numId w:val="2"/>
        </w:numPr>
        <w:ind w:left="426"/>
        <w:jc w:val="both"/>
        <w:rPr>
          <w:i/>
          <w:color w:val="000000" w:themeColor="text1"/>
          <w:sz w:val="22"/>
        </w:rPr>
      </w:pPr>
      <w:r w:rsidRPr="00AB24B8">
        <w:rPr>
          <w:i/>
          <w:color w:val="000000" w:themeColor="text1"/>
          <w:sz w:val="22"/>
        </w:rPr>
        <w:t>Zugänglichkeit für Betrieb, Prüfung, Besichtigung, Instandhaltung und Reparatur gegeben ist.</w:t>
      </w:r>
    </w:p>
    <w:p w14:paraId="4A598DF8" w14:textId="77777777" w:rsidR="00AB24B8" w:rsidRPr="00AB24B8" w:rsidRDefault="00AB24B8" w:rsidP="00AB24B8">
      <w:pPr>
        <w:contextualSpacing/>
        <w:jc w:val="both"/>
        <w:rPr>
          <w:color w:val="000000" w:themeColor="text1"/>
          <w:sz w:val="22"/>
        </w:rPr>
      </w:pPr>
    </w:p>
    <w:p w14:paraId="68A841CD" w14:textId="77777777" w:rsidR="00AB24B8" w:rsidRPr="00AB24B8" w:rsidRDefault="00AB24B8" w:rsidP="00AB24B8">
      <w:pPr>
        <w:contextualSpacing/>
        <w:jc w:val="both"/>
        <w:rPr>
          <w:color w:val="000000" w:themeColor="text1"/>
          <w:sz w:val="22"/>
          <w:u w:val="single"/>
        </w:rPr>
      </w:pPr>
      <w:r w:rsidRPr="00AB24B8">
        <w:rPr>
          <w:color w:val="000000" w:themeColor="text1"/>
          <w:sz w:val="22"/>
          <w:u w:val="single"/>
        </w:rPr>
        <w:t>VDE 0100-600:2017-06 „Errichten von Niederspannungsanlagen – Teil 6: Prüfungen“ Abs. 6.4.2.3</w:t>
      </w:r>
    </w:p>
    <w:p w14:paraId="19F14618" w14:textId="77777777" w:rsidR="00AB24B8" w:rsidRPr="00AB24B8" w:rsidRDefault="00AB24B8" w:rsidP="00AB24B8">
      <w:pPr>
        <w:contextualSpacing/>
        <w:jc w:val="both"/>
        <w:rPr>
          <w:i/>
          <w:color w:val="000000" w:themeColor="text1"/>
          <w:sz w:val="22"/>
        </w:rPr>
      </w:pPr>
      <w:r w:rsidRPr="00AB24B8">
        <w:rPr>
          <w:i/>
          <w:color w:val="000000" w:themeColor="text1"/>
          <w:sz w:val="22"/>
        </w:rPr>
        <w:t>Das Besichtigen muss, sofern zutreffend, mindestens folgende Überprüfungen umfassen:</w:t>
      </w:r>
    </w:p>
    <w:p w14:paraId="581ABA6B" w14:textId="77777777" w:rsidR="00AB24B8" w:rsidRPr="00AB24B8" w:rsidRDefault="00AB24B8" w:rsidP="00AB24B8">
      <w:pPr>
        <w:pStyle w:val="Listenabsatz"/>
        <w:numPr>
          <w:ilvl w:val="0"/>
          <w:numId w:val="2"/>
        </w:numPr>
        <w:ind w:left="426"/>
        <w:jc w:val="both"/>
        <w:rPr>
          <w:i/>
          <w:color w:val="000000" w:themeColor="text1"/>
          <w:sz w:val="22"/>
        </w:rPr>
      </w:pPr>
      <w:r w:rsidRPr="00AB24B8">
        <w:rPr>
          <w:i/>
          <w:color w:val="000000" w:themeColor="text1"/>
          <w:sz w:val="22"/>
        </w:rPr>
        <w:t>leichte Zugänglichkeit der elektrischen Betriebsmittel zur Bedienung, Kennzeichnung und Instandhaltung (siehe VDE 0100-510:2014-10, Abschnitte 513);</w:t>
      </w:r>
    </w:p>
    <w:p w14:paraId="146E8173" w14:textId="77777777" w:rsidR="00AB24B8" w:rsidRPr="00AB24B8" w:rsidRDefault="00AB24B8" w:rsidP="00AB24B8">
      <w:pPr>
        <w:contextualSpacing/>
        <w:jc w:val="both"/>
        <w:rPr>
          <w:color w:val="000000" w:themeColor="text1"/>
          <w:sz w:val="22"/>
        </w:rPr>
      </w:pPr>
    </w:p>
    <w:p w14:paraId="6E68E5CD" w14:textId="77777777" w:rsidR="00AB24B8" w:rsidRPr="00AB24B8" w:rsidRDefault="00AB24B8" w:rsidP="00AB24B8">
      <w:pPr>
        <w:contextualSpacing/>
        <w:jc w:val="both"/>
        <w:rPr>
          <w:color w:val="000000" w:themeColor="text1"/>
          <w:sz w:val="22"/>
          <w:u w:val="single"/>
        </w:rPr>
      </w:pPr>
      <w:r w:rsidRPr="00AB24B8">
        <w:rPr>
          <w:color w:val="000000" w:themeColor="text1"/>
          <w:sz w:val="22"/>
          <w:u w:val="single"/>
        </w:rPr>
        <w:t>VDE 0100-510:2014-10 „Errichten von Niederspannungsanlagen – Teil 5-51: Auswahl und Errichtung elektrischer Betriebsmittel – Allgemeine Bestimmungen“</w:t>
      </w:r>
      <w:r w:rsidRPr="00AB24B8" w:rsidDel="00BA1C3B">
        <w:rPr>
          <w:color w:val="000000" w:themeColor="text1"/>
          <w:sz w:val="22"/>
          <w:u w:val="single"/>
        </w:rPr>
        <w:t xml:space="preserve"> </w:t>
      </w:r>
      <w:r w:rsidRPr="00AB24B8">
        <w:rPr>
          <w:color w:val="000000" w:themeColor="text1"/>
          <w:sz w:val="22"/>
          <w:u w:val="single"/>
        </w:rPr>
        <w:t>Abs. 513</w:t>
      </w:r>
    </w:p>
    <w:p w14:paraId="4944DF2F" w14:textId="77777777" w:rsidR="00AB24B8" w:rsidRPr="00AB24B8" w:rsidRDefault="00AB24B8" w:rsidP="00AB24B8">
      <w:pPr>
        <w:contextualSpacing/>
        <w:jc w:val="both"/>
        <w:rPr>
          <w:i/>
          <w:color w:val="000000" w:themeColor="text1"/>
          <w:sz w:val="22"/>
        </w:rPr>
      </w:pPr>
      <w:r w:rsidRPr="00AB24B8">
        <w:rPr>
          <w:i/>
          <w:color w:val="000000" w:themeColor="text1"/>
          <w:sz w:val="22"/>
        </w:rPr>
        <w:t>Alle Betriebsmittel, einschließlich Kabel/Leitungen, sind so anzuordnen, dass ihre Bedienung, Inspektion, Instandhaltung und der Zugang zu den Verbindungen leicht möglich sind. Diese Anforderungen dürfen durch den Einbau der Betriebsmittel in Gehäuse oder andere Einbauräume nicht nennenswert beeinträchtigt werden.</w:t>
      </w:r>
    </w:p>
    <w:p w14:paraId="7232F5B3" w14:textId="77777777" w:rsidR="00AB24B8" w:rsidRPr="00AB24B8" w:rsidRDefault="00AB24B8" w:rsidP="00AB24B8">
      <w:pPr>
        <w:rPr>
          <w:i/>
          <w:color w:val="000000" w:themeColor="text1"/>
          <w:sz w:val="22"/>
        </w:rPr>
      </w:pPr>
      <w:r w:rsidRPr="00AB24B8">
        <w:rPr>
          <w:i/>
          <w:color w:val="000000" w:themeColor="text1"/>
          <w:sz w:val="22"/>
        </w:rPr>
        <w:br w:type="page"/>
      </w:r>
    </w:p>
    <w:p w14:paraId="2808B5E3" w14:textId="19B86026" w:rsidR="00AB24B8" w:rsidRPr="00AB24B8" w:rsidRDefault="00AB24B8" w:rsidP="00AB24B8">
      <w:pPr>
        <w:contextualSpacing/>
        <w:jc w:val="both"/>
        <w:rPr>
          <w:color w:val="000000" w:themeColor="text1"/>
          <w:sz w:val="22"/>
        </w:rPr>
      </w:pPr>
      <w:r w:rsidRPr="00AB24B8">
        <w:rPr>
          <w:color w:val="000000" w:themeColor="text1"/>
          <w:sz w:val="22"/>
        </w:rPr>
        <w:lastRenderedPageBreak/>
        <w:t xml:space="preserve">Die freie, unverstellte Fläche an der Arbeitsstätte muss so bemessen sein, dass sich die Beschäftigten bei ihrer Tätigkeit ungehindert bewegen können. Die allgemeine Zugänglichkeit zu Schaltgerätekombinationen muss generell den Anforderungen gemäß </w:t>
      </w:r>
      <w:r w:rsidRPr="00AB24B8">
        <w:rPr>
          <w:i/>
          <w:color w:val="000000" w:themeColor="text1"/>
          <w:sz w:val="22"/>
        </w:rPr>
        <w:t>VDE 0100-729 „Errichten von Niederspannungsanlagen – Teil 7-729: Anforderungen für Betriebsstätten, Räume und Anlagen besonderer Art – Bedienungsgänge und Wartungsgänge“</w:t>
      </w:r>
      <w:r w:rsidRPr="00AB24B8">
        <w:rPr>
          <w:color w:val="000000" w:themeColor="text1"/>
          <w:sz w:val="22"/>
        </w:rPr>
        <w:t xml:space="preserve"> entsprechen. Dies bedeutet, dass Schaltgerätekombinationen frei zugänglich sein müssen, dass keine Hindernisse ein Öffnen von Türen be- oder verhindern</w:t>
      </w:r>
      <w:r w:rsidR="00285741">
        <w:rPr>
          <w:color w:val="000000" w:themeColor="text1"/>
          <w:sz w:val="22"/>
        </w:rPr>
        <w:t>,</w:t>
      </w:r>
      <w:r w:rsidRPr="00AB24B8">
        <w:rPr>
          <w:color w:val="000000" w:themeColor="text1"/>
          <w:sz w:val="22"/>
        </w:rPr>
        <w:t xml:space="preserve"> sowie die Flucht- und Rettungswege bzw. die Bedienungs- und Wartungsgänge gegeben sein müssen.</w:t>
      </w:r>
    </w:p>
    <w:p w14:paraId="713681A1" w14:textId="77777777" w:rsidR="00AB24B8" w:rsidRPr="00AB24B8" w:rsidRDefault="00AB24B8" w:rsidP="00AB24B8">
      <w:pPr>
        <w:contextualSpacing/>
        <w:jc w:val="both"/>
        <w:rPr>
          <w:color w:val="000000" w:themeColor="text1"/>
          <w:sz w:val="22"/>
        </w:rPr>
      </w:pPr>
    </w:p>
    <w:p w14:paraId="5317F838" w14:textId="77777777" w:rsidR="00AB24B8" w:rsidRPr="00AB24B8" w:rsidRDefault="00AB24B8" w:rsidP="00AB24B8">
      <w:pPr>
        <w:contextualSpacing/>
        <w:jc w:val="both"/>
        <w:rPr>
          <w:color w:val="000000" w:themeColor="text1"/>
          <w:sz w:val="22"/>
          <w:u w:val="single"/>
        </w:rPr>
      </w:pPr>
      <w:r w:rsidRPr="00AB24B8">
        <w:rPr>
          <w:color w:val="000000" w:themeColor="text1"/>
          <w:sz w:val="22"/>
          <w:u w:val="single"/>
        </w:rPr>
        <w:t>VDE 0100-729:2010-02 „Errichten von Niederspannungsanlagen – Teil 7-729: Anforderungen für Betriebsstätten, Räume und Anlagen besonderer Art – Bedienungsgänge und Wartungsgänge“ Abs. 729.513.2</w:t>
      </w:r>
    </w:p>
    <w:p w14:paraId="599A6A90" w14:textId="77777777" w:rsidR="00AB24B8" w:rsidRPr="00AB24B8" w:rsidRDefault="00AB24B8" w:rsidP="00AB24B8">
      <w:pPr>
        <w:contextualSpacing/>
        <w:jc w:val="both"/>
        <w:rPr>
          <w:i/>
          <w:color w:val="000000" w:themeColor="text1"/>
          <w:sz w:val="22"/>
        </w:rPr>
      </w:pPr>
      <w:r w:rsidRPr="00AB24B8">
        <w:rPr>
          <w:i/>
          <w:color w:val="000000" w:themeColor="text1"/>
          <w:sz w:val="22"/>
        </w:rPr>
        <w:t>Anforderungen für Bedienungsgänge und Wartungsgänge</w:t>
      </w:r>
    </w:p>
    <w:p w14:paraId="13F6F793" w14:textId="77777777" w:rsidR="00AB24B8" w:rsidRPr="00AB24B8" w:rsidRDefault="00AB24B8" w:rsidP="00AB24B8">
      <w:pPr>
        <w:contextualSpacing/>
        <w:jc w:val="both"/>
        <w:rPr>
          <w:i/>
          <w:color w:val="000000" w:themeColor="text1"/>
          <w:sz w:val="22"/>
        </w:rPr>
      </w:pPr>
      <w:r w:rsidRPr="00AB24B8">
        <w:rPr>
          <w:i/>
          <w:color w:val="000000" w:themeColor="text1"/>
          <w:sz w:val="22"/>
        </w:rPr>
        <w:t>Die Breite von Bedienungsgängen und Wartungsgängen und Zugangsbereichen muss für angemessenes Arbeiten, für den Zugang zum Bedienen, für den Zugang in Notfällen, als Notausgang und für den Transport von Betriebsmitteln geeignet sein.</w:t>
      </w:r>
    </w:p>
    <w:p w14:paraId="04846D0A" w14:textId="77777777" w:rsidR="00AB24B8" w:rsidRPr="00AB24B8" w:rsidRDefault="00AB24B8" w:rsidP="00AB24B8">
      <w:pPr>
        <w:contextualSpacing/>
        <w:jc w:val="both"/>
        <w:rPr>
          <w:color w:val="000000" w:themeColor="text1"/>
          <w:sz w:val="22"/>
        </w:rPr>
      </w:pPr>
    </w:p>
    <w:p w14:paraId="6757D9AB" w14:textId="6DE9B162" w:rsidR="00AB24B8" w:rsidRDefault="00FD40BD" w:rsidP="00AB24B8">
      <w:pPr>
        <w:contextualSpacing/>
        <w:jc w:val="both"/>
        <w:rPr>
          <w:color w:val="000000" w:themeColor="text1"/>
          <w:sz w:val="22"/>
          <w:u w:val="single"/>
        </w:rPr>
      </w:pPr>
      <w:r w:rsidRPr="00FD40BD">
        <w:rPr>
          <w:color w:val="000000" w:themeColor="text1"/>
          <w:sz w:val="22"/>
          <w:u w:val="single"/>
        </w:rPr>
        <w:t xml:space="preserve">DIN EN 60204-1 (VDE 0113-1): 2019-06 </w:t>
      </w:r>
      <w:r w:rsidR="00AB24B8" w:rsidRPr="00AB24B8">
        <w:rPr>
          <w:color w:val="000000" w:themeColor="text1"/>
          <w:sz w:val="22"/>
          <w:u w:val="single"/>
        </w:rPr>
        <w:t xml:space="preserve">„Elektrische Ausrüstung von Maschinen </w:t>
      </w:r>
      <w:r w:rsidR="00AB24B8" w:rsidRPr="00AB24B8">
        <w:rPr>
          <w:i/>
          <w:color w:val="000000" w:themeColor="text1"/>
          <w:sz w:val="22"/>
        </w:rPr>
        <w:t>–</w:t>
      </w:r>
      <w:r w:rsidR="00AB24B8" w:rsidRPr="00AB24B8">
        <w:rPr>
          <w:color w:val="000000" w:themeColor="text1"/>
          <w:sz w:val="22"/>
          <w:u w:val="single"/>
        </w:rPr>
        <w:t xml:space="preserve"> Teil 1: Allgemeine Anforderungen“ Abs. 11.5</w:t>
      </w:r>
    </w:p>
    <w:p w14:paraId="35BC89C3" w14:textId="1CFDC181" w:rsidR="00DE6863" w:rsidRDefault="00DE6863" w:rsidP="00AB24B8">
      <w:pPr>
        <w:contextualSpacing/>
        <w:jc w:val="both"/>
        <w:rPr>
          <w:color w:val="000000" w:themeColor="text1"/>
          <w:sz w:val="22"/>
          <w:u w:val="single"/>
        </w:rPr>
      </w:pPr>
    </w:p>
    <w:p w14:paraId="265A7186" w14:textId="77777777" w:rsidR="003E6CCD" w:rsidRPr="00FD40BD" w:rsidRDefault="003E6CCD" w:rsidP="003E6CCD">
      <w:pPr>
        <w:contextualSpacing/>
        <w:jc w:val="both"/>
        <w:rPr>
          <w:i/>
          <w:color w:val="000000" w:themeColor="text1"/>
          <w:sz w:val="22"/>
        </w:rPr>
      </w:pPr>
      <w:r w:rsidRPr="00FD40BD">
        <w:rPr>
          <w:i/>
          <w:color w:val="000000" w:themeColor="text1"/>
          <w:sz w:val="22"/>
        </w:rPr>
        <w:t>Türen in Gängen und für den Zugang zu elektrischen Betriebsstätten müssen:</w:t>
      </w:r>
    </w:p>
    <w:p w14:paraId="7B5FDF76" w14:textId="77777777" w:rsidR="006E6A65" w:rsidRDefault="003E6CCD" w:rsidP="003E6CCD">
      <w:pPr>
        <w:pStyle w:val="Listenabsatz"/>
        <w:numPr>
          <w:ilvl w:val="0"/>
          <w:numId w:val="2"/>
        </w:numPr>
        <w:ind w:left="426"/>
        <w:jc w:val="both"/>
        <w:rPr>
          <w:i/>
          <w:color w:val="000000" w:themeColor="text1"/>
          <w:sz w:val="22"/>
        </w:rPr>
      </w:pPr>
      <w:r w:rsidRPr="00FD40BD">
        <w:rPr>
          <w:i/>
          <w:color w:val="000000" w:themeColor="text1"/>
          <w:sz w:val="22"/>
        </w:rPr>
        <w:t>mindestens 0,7 m breit und 2,0 m hoch sein;</w:t>
      </w:r>
    </w:p>
    <w:p w14:paraId="4EBF0E8A" w14:textId="77777777" w:rsidR="006E6A65" w:rsidRDefault="003E6CCD" w:rsidP="003E6CCD">
      <w:pPr>
        <w:pStyle w:val="Listenabsatz"/>
        <w:numPr>
          <w:ilvl w:val="0"/>
          <w:numId w:val="2"/>
        </w:numPr>
        <w:ind w:left="426"/>
        <w:jc w:val="both"/>
        <w:rPr>
          <w:i/>
          <w:color w:val="000000" w:themeColor="text1"/>
          <w:sz w:val="22"/>
        </w:rPr>
      </w:pPr>
      <w:r w:rsidRPr="006E6A65">
        <w:rPr>
          <w:i/>
          <w:color w:val="000000" w:themeColor="text1"/>
          <w:sz w:val="22"/>
        </w:rPr>
        <w:t>sich nach außen öffnen lassen;</w:t>
      </w:r>
    </w:p>
    <w:p w14:paraId="4DF5262A" w14:textId="2154D6BF" w:rsidR="00DE6863" w:rsidRPr="006E6A65" w:rsidRDefault="003E6CCD" w:rsidP="003E6CCD">
      <w:pPr>
        <w:pStyle w:val="Listenabsatz"/>
        <w:numPr>
          <w:ilvl w:val="0"/>
          <w:numId w:val="2"/>
        </w:numPr>
        <w:ind w:left="426"/>
        <w:jc w:val="both"/>
        <w:rPr>
          <w:i/>
          <w:color w:val="000000" w:themeColor="text1"/>
          <w:sz w:val="22"/>
        </w:rPr>
      </w:pPr>
      <w:r w:rsidRPr="006E6A65">
        <w:rPr>
          <w:i/>
          <w:color w:val="000000" w:themeColor="text1"/>
          <w:sz w:val="22"/>
        </w:rPr>
        <w:t>mit Mitteln ausgerüstet sein, die ein Öffnen von innen ohne Schlüssel oder Werkzeug ermöglichen (z. B. Panikschloss).</w:t>
      </w:r>
    </w:p>
    <w:p w14:paraId="0835D2CA" w14:textId="77777777" w:rsidR="00AB24B8" w:rsidRPr="00AB24B8" w:rsidRDefault="00AB24B8" w:rsidP="00AB24B8">
      <w:pPr>
        <w:contextualSpacing/>
        <w:jc w:val="both"/>
        <w:rPr>
          <w:color w:val="000000" w:themeColor="text1"/>
          <w:sz w:val="22"/>
        </w:rPr>
      </w:pPr>
    </w:p>
    <w:p w14:paraId="13E43B85" w14:textId="77777777" w:rsidR="00AB24B8" w:rsidRPr="00AB24B8" w:rsidRDefault="00AB24B8" w:rsidP="00AB24B8">
      <w:pPr>
        <w:contextualSpacing/>
        <w:jc w:val="both"/>
        <w:rPr>
          <w:color w:val="000000" w:themeColor="text1"/>
          <w:sz w:val="22"/>
          <w:u w:val="single"/>
        </w:rPr>
      </w:pPr>
      <w:proofErr w:type="spellStart"/>
      <w:r w:rsidRPr="00AB24B8">
        <w:rPr>
          <w:color w:val="000000" w:themeColor="text1"/>
          <w:sz w:val="22"/>
          <w:u w:val="single"/>
        </w:rPr>
        <w:t>EltVO</w:t>
      </w:r>
      <w:proofErr w:type="spellEnd"/>
      <w:r w:rsidRPr="00AB24B8">
        <w:rPr>
          <w:color w:val="000000" w:themeColor="text1"/>
          <w:sz w:val="22"/>
          <w:u w:val="single"/>
        </w:rPr>
        <w:t xml:space="preserve"> Baden-Württemberg, § 4 (1) – Anforderungen an elektrische Betriebsräume</w:t>
      </w:r>
    </w:p>
    <w:p w14:paraId="35CC1045" w14:textId="77777777" w:rsidR="00AB24B8" w:rsidRPr="00AB24B8" w:rsidRDefault="00AB24B8" w:rsidP="00AB24B8">
      <w:pPr>
        <w:contextualSpacing/>
        <w:jc w:val="both"/>
        <w:rPr>
          <w:color w:val="000000" w:themeColor="text1"/>
          <w:sz w:val="22"/>
          <w:u w:val="single"/>
        </w:rPr>
      </w:pPr>
      <w:proofErr w:type="spellStart"/>
      <w:r w:rsidRPr="00AB24B8">
        <w:rPr>
          <w:color w:val="000000" w:themeColor="text1"/>
          <w:sz w:val="22"/>
          <w:u w:val="single"/>
        </w:rPr>
        <w:t>SBauVO</w:t>
      </w:r>
      <w:proofErr w:type="spellEnd"/>
      <w:r w:rsidRPr="00AB24B8">
        <w:rPr>
          <w:color w:val="000000" w:themeColor="text1"/>
          <w:sz w:val="22"/>
          <w:u w:val="single"/>
        </w:rPr>
        <w:t xml:space="preserve"> Nordrhein-Westfalen, § 142 (1) – Anforderungen an elektrische Betriebsräume</w:t>
      </w:r>
    </w:p>
    <w:p w14:paraId="7098EE52" w14:textId="77777777" w:rsidR="00AB24B8" w:rsidRPr="00AB24B8" w:rsidRDefault="00AB24B8" w:rsidP="00AB24B8">
      <w:pPr>
        <w:contextualSpacing/>
        <w:jc w:val="both"/>
        <w:rPr>
          <w:color w:val="000000" w:themeColor="text1"/>
          <w:sz w:val="22"/>
          <w:u w:val="single"/>
        </w:rPr>
      </w:pPr>
      <w:proofErr w:type="spellStart"/>
      <w:r w:rsidRPr="00AB24B8">
        <w:rPr>
          <w:color w:val="000000" w:themeColor="text1"/>
          <w:sz w:val="22"/>
          <w:u w:val="single"/>
        </w:rPr>
        <w:t>EltBauV</w:t>
      </w:r>
      <w:proofErr w:type="spellEnd"/>
      <w:r w:rsidRPr="00AB24B8">
        <w:rPr>
          <w:color w:val="000000" w:themeColor="text1"/>
          <w:sz w:val="22"/>
          <w:u w:val="single"/>
        </w:rPr>
        <w:t xml:space="preserve"> Bayern, § 4 – Verordnung über den Bau von Betriebsräumen für elektrische Anlagen</w:t>
      </w:r>
    </w:p>
    <w:p w14:paraId="35FBB607" w14:textId="77777777" w:rsidR="00AB24B8" w:rsidRPr="00AB24B8" w:rsidRDefault="00AB24B8" w:rsidP="00AB24B8">
      <w:pPr>
        <w:contextualSpacing/>
        <w:jc w:val="both"/>
        <w:rPr>
          <w:i/>
          <w:color w:val="000000" w:themeColor="text1"/>
          <w:sz w:val="22"/>
        </w:rPr>
      </w:pPr>
      <w:r w:rsidRPr="00AB24B8">
        <w:rPr>
          <w:i/>
          <w:color w:val="000000" w:themeColor="text1"/>
          <w:sz w:val="22"/>
        </w:rPr>
        <w:t>(1) Elektrische Betriebsräume müssen so angeordnet sein, dass sie im Gefahrenfall von allgemein zugänglichen Räumen oder vom Freien leicht und sicher erreichbar sind und durch nach außen aufschlagende Türen jederzeit ungehindert verlassen werden können; sie dürfen von notwendigen Treppenräumen nicht unmittelbar zugänglich sein. Der Rettungsweg innerhalb elektrischer Betriebsräume bis zu einem Ausgang darf nicht länger als 35 m sein.</w:t>
      </w:r>
    </w:p>
    <w:p w14:paraId="1482F64C" w14:textId="77777777" w:rsidR="00AB24B8" w:rsidRPr="00AB24B8" w:rsidRDefault="00AB24B8" w:rsidP="00AB24B8">
      <w:pPr>
        <w:contextualSpacing/>
        <w:jc w:val="both"/>
        <w:rPr>
          <w:i/>
          <w:color w:val="000000" w:themeColor="text1"/>
          <w:sz w:val="22"/>
        </w:rPr>
      </w:pPr>
      <w:r w:rsidRPr="00AB24B8">
        <w:rPr>
          <w:i/>
          <w:color w:val="000000" w:themeColor="text1"/>
          <w:sz w:val="22"/>
        </w:rPr>
        <w:t>(2) Elektrische Betriebsräume müssen so groß sein, dass die elektrischen Anlagen ordnungsgemäß errichtet und betrieben werden können; sie müssen eine lichte Höhe von mindestens 2 m haben. Über Bedienungs- und Wartungsgängen muss eine Durchgangshöhe von mindestens 1,80 m vorhanden sein.</w:t>
      </w:r>
    </w:p>
    <w:p w14:paraId="7F2F8D95" w14:textId="77777777" w:rsidR="00AB24B8" w:rsidRPr="00AB24B8" w:rsidRDefault="00AB24B8" w:rsidP="00AB24B8">
      <w:pPr>
        <w:contextualSpacing/>
        <w:jc w:val="both"/>
        <w:rPr>
          <w:color w:val="000000" w:themeColor="text1"/>
          <w:sz w:val="22"/>
        </w:rPr>
      </w:pPr>
    </w:p>
    <w:p w14:paraId="5E57945F" w14:textId="77777777" w:rsidR="00AB24B8" w:rsidRPr="00AB24B8" w:rsidRDefault="00AB24B8" w:rsidP="00AB24B8">
      <w:pPr>
        <w:contextualSpacing/>
        <w:jc w:val="both"/>
        <w:rPr>
          <w:color w:val="000000" w:themeColor="text1"/>
          <w:sz w:val="22"/>
          <w:u w:val="single"/>
        </w:rPr>
      </w:pPr>
      <w:r w:rsidRPr="00AB24B8">
        <w:rPr>
          <w:color w:val="000000" w:themeColor="text1"/>
          <w:sz w:val="22"/>
          <w:u w:val="single"/>
        </w:rPr>
        <w:t>Bei der Festlegung der Freiflächen vor elektrischen Anlagen ist grundsätzlich zu berücksichtigen:</w:t>
      </w:r>
    </w:p>
    <w:p w14:paraId="60E3FB78" w14:textId="77777777" w:rsidR="00AB24B8" w:rsidRPr="00AB24B8" w:rsidRDefault="00AB24B8" w:rsidP="00AB24B8">
      <w:pPr>
        <w:pStyle w:val="Listenabsatz"/>
        <w:numPr>
          <w:ilvl w:val="0"/>
          <w:numId w:val="2"/>
        </w:numPr>
        <w:ind w:left="426"/>
        <w:jc w:val="both"/>
        <w:rPr>
          <w:color w:val="000000" w:themeColor="text1"/>
          <w:sz w:val="22"/>
        </w:rPr>
      </w:pPr>
      <w:r w:rsidRPr="00AB24B8">
        <w:rPr>
          <w:color w:val="000000" w:themeColor="text1"/>
          <w:sz w:val="22"/>
        </w:rPr>
        <w:t>Wer hat Zugang zu der Anlage – elektrotechnisches Fachpersonal oder auch Laien?</w:t>
      </w:r>
    </w:p>
    <w:p w14:paraId="25330735" w14:textId="77777777" w:rsidR="00AB24B8" w:rsidRPr="00AB24B8" w:rsidRDefault="00AB24B8" w:rsidP="00AB24B8">
      <w:pPr>
        <w:pStyle w:val="Listenabsatz"/>
        <w:numPr>
          <w:ilvl w:val="0"/>
          <w:numId w:val="2"/>
        </w:numPr>
        <w:ind w:left="426"/>
        <w:jc w:val="both"/>
        <w:rPr>
          <w:color w:val="000000" w:themeColor="text1"/>
          <w:sz w:val="22"/>
        </w:rPr>
      </w:pPr>
      <w:r w:rsidRPr="00AB24B8">
        <w:rPr>
          <w:color w:val="000000" w:themeColor="text1"/>
          <w:sz w:val="22"/>
        </w:rPr>
        <w:t>Der sichere Zugang zu der Anlage</w:t>
      </w:r>
    </w:p>
    <w:p w14:paraId="31A84336" w14:textId="77777777" w:rsidR="00AB24B8" w:rsidRPr="00AB24B8" w:rsidRDefault="00AB24B8" w:rsidP="00AB24B8">
      <w:pPr>
        <w:pStyle w:val="Listenabsatz"/>
        <w:numPr>
          <w:ilvl w:val="0"/>
          <w:numId w:val="2"/>
        </w:numPr>
        <w:ind w:left="426"/>
        <w:jc w:val="both"/>
        <w:rPr>
          <w:color w:val="000000" w:themeColor="text1"/>
          <w:sz w:val="22"/>
        </w:rPr>
      </w:pPr>
      <w:r w:rsidRPr="00AB24B8">
        <w:rPr>
          <w:color w:val="000000" w:themeColor="text1"/>
          <w:sz w:val="22"/>
        </w:rPr>
        <w:t>Die Sicherheit bei evtl. erforderlichen Arbeiten an der Anlage</w:t>
      </w:r>
    </w:p>
    <w:p w14:paraId="1F2748FC" w14:textId="77777777" w:rsidR="00AB24B8" w:rsidRPr="00AB24B8" w:rsidRDefault="00AB24B8" w:rsidP="00AB24B8">
      <w:pPr>
        <w:pStyle w:val="Listenabsatz"/>
        <w:numPr>
          <w:ilvl w:val="0"/>
          <w:numId w:val="2"/>
        </w:numPr>
        <w:ind w:left="426"/>
        <w:jc w:val="both"/>
        <w:rPr>
          <w:color w:val="000000" w:themeColor="text1"/>
          <w:sz w:val="22"/>
        </w:rPr>
      </w:pPr>
      <w:r w:rsidRPr="00AB24B8">
        <w:rPr>
          <w:color w:val="000000" w:themeColor="text1"/>
          <w:sz w:val="22"/>
        </w:rPr>
        <w:t>Der Schutz gegen elektrischen Schlag</w:t>
      </w:r>
    </w:p>
    <w:p w14:paraId="4127A145" w14:textId="77777777" w:rsidR="00AB24B8" w:rsidRPr="00AB24B8" w:rsidRDefault="00AB24B8" w:rsidP="00AB24B8">
      <w:pPr>
        <w:pStyle w:val="Listenabsatz"/>
        <w:numPr>
          <w:ilvl w:val="0"/>
          <w:numId w:val="2"/>
        </w:numPr>
        <w:ind w:left="426"/>
        <w:jc w:val="both"/>
        <w:rPr>
          <w:color w:val="000000" w:themeColor="text1"/>
          <w:sz w:val="22"/>
        </w:rPr>
      </w:pPr>
      <w:r w:rsidRPr="00AB24B8">
        <w:rPr>
          <w:color w:val="000000" w:themeColor="text1"/>
          <w:sz w:val="22"/>
        </w:rPr>
        <w:t>Mögliche Fluchtwege</w:t>
      </w:r>
    </w:p>
    <w:p w14:paraId="5828E5A8" w14:textId="77777777" w:rsidR="00433DD2" w:rsidRDefault="00433DD2" w:rsidP="00AB24B8">
      <w:pPr>
        <w:jc w:val="both"/>
        <w:rPr>
          <w:color w:val="000000" w:themeColor="text1"/>
          <w:sz w:val="22"/>
        </w:rPr>
      </w:pPr>
      <w:r>
        <w:rPr>
          <w:color w:val="000000" w:themeColor="text1"/>
          <w:sz w:val="22"/>
        </w:rPr>
        <w:br w:type="page"/>
      </w:r>
    </w:p>
    <w:p w14:paraId="2862B6F9" w14:textId="0F80B83E" w:rsidR="00AB24B8" w:rsidRPr="00AB24B8" w:rsidRDefault="00AB24B8" w:rsidP="00AB24B8">
      <w:pPr>
        <w:jc w:val="both"/>
        <w:rPr>
          <w:color w:val="000000" w:themeColor="text1"/>
          <w:sz w:val="22"/>
        </w:rPr>
      </w:pPr>
      <w:r w:rsidRPr="00AB24B8">
        <w:rPr>
          <w:color w:val="000000" w:themeColor="text1"/>
          <w:sz w:val="22"/>
        </w:rPr>
        <w:lastRenderedPageBreak/>
        <w:t>Die Breite von Bedienungs- und Wartungsgängen sowie die Zugangsbereiche müssen für angemessenes Arbeiten, für den Zugang zum Bedienen, für den Zugang in Notfällen sowie als Notausgang und für den Transport von Betriebsmitteln geeignet sein.</w:t>
      </w:r>
    </w:p>
    <w:p w14:paraId="6E123F4D" w14:textId="77777777" w:rsidR="00AB24B8" w:rsidRPr="00AB24B8" w:rsidRDefault="00AB24B8" w:rsidP="00AB24B8">
      <w:pPr>
        <w:jc w:val="both"/>
        <w:rPr>
          <w:color w:val="000000" w:themeColor="text1"/>
          <w:sz w:val="22"/>
        </w:rPr>
      </w:pPr>
    </w:p>
    <w:p w14:paraId="4D136CCD" w14:textId="77777777" w:rsidR="00AB24B8" w:rsidRPr="00AB24B8" w:rsidRDefault="00AB24B8" w:rsidP="00AB24B8">
      <w:pPr>
        <w:jc w:val="both"/>
        <w:rPr>
          <w:color w:val="000000" w:themeColor="text1"/>
          <w:sz w:val="22"/>
        </w:rPr>
      </w:pPr>
      <w:r w:rsidRPr="00AB24B8">
        <w:rPr>
          <w:noProof/>
          <w:color w:val="000000" w:themeColor="text1"/>
          <w:sz w:val="22"/>
        </w:rPr>
        <w:drawing>
          <wp:inline distT="0" distB="0" distL="0" distR="0" wp14:anchorId="3A3B9B4D" wp14:editId="1BC1AF25">
            <wp:extent cx="5043595" cy="3966693"/>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7825" cy="3977884"/>
                    </a:xfrm>
                    <a:prstGeom prst="rect">
                      <a:avLst/>
                    </a:prstGeom>
                  </pic:spPr>
                </pic:pic>
              </a:graphicData>
            </a:graphic>
          </wp:inline>
        </w:drawing>
      </w:r>
      <w:r w:rsidRPr="00AB24B8">
        <w:rPr>
          <w:color w:val="000000" w:themeColor="text1"/>
          <w:sz w:val="22"/>
        </w:rPr>
        <w:br/>
      </w:r>
    </w:p>
    <w:p w14:paraId="7D41C9D0" w14:textId="77777777" w:rsidR="00AB24B8" w:rsidRPr="00AB24B8" w:rsidRDefault="00AB24B8" w:rsidP="00AB24B8">
      <w:pPr>
        <w:jc w:val="both"/>
        <w:rPr>
          <w:color w:val="000000" w:themeColor="text1"/>
          <w:sz w:val="18"/>
        </w:rPr>
      </w:pPr>
      <w:r w:rsidRPr="00AB24B8">
        <w:rPr>
          <w:color w:val="000000" w:themeColor="text1"/>
          <w:sz w:val="18"/>
        </w:rPr>
        <w:t>Abbildung 1: Quelle: Hensel</w:t>
      </w:r>
    </w:p>
    <w:p w14:paraId="5FE82C7E" w14:textId="77777777" w:rsidR="00AB24B8" w:rsidRPr="00AB24B8" w:rsidRDefault="00AB24B8" w:rsidP="00AB24B8">
      <w:pPr>
        <w:spacing w:before="240"/>
        <w:jc w:val="both"/>
        <w:rPr>
          <w:color w:val="000000" w:themeColor="text1"/>
          <w:sz w:val="22"/>
        </w:rPr>
      </w:pPr>
      <w:r w:rsidRPr="00AB24B8">
        <w:rPr>
          <w:color w:val="000000" w:themeColor="text1"/>
          <w:sz w:val="22"/>
        </w:rPr>
        <w:t>Die Breite von Bedienungs- und Wartungsgängen bzw. Zugangsflächen muss das Öffnen von Türen oder Schwenkrahmen um mindestens 90° ermöglichen.</w:t>
      </w:r>
    </w:p>
    <w:p w14:paraId="68FFC865" w14:textId="77777777" w:rsidR="00AB24B8" w:rsidRPr="00AB24B8" w:rsidRDefault="00AB24B8" w:rsidP="00AB24B8">
      <w:pPr>
        <w:spacing w:before="240"/>
        <w:jc w:val="both"/>
        <w:rPr>
          <w:color w:val="000000" w:themeColor="text1"/>
          <w:sz w:val="22"/>
        </w:rPr>
      </w:pPr>
      <w:r w:rsidRPr="00AB24B8">
        <w:rPr>
          <w:color w:val="000000" w:themeColor="text1"/>
          <w:sz w:val="22"/>
        </w:rPr>
        <w:t xml:space="preserve">In Fällen, in den die Schutzmaßnahme „Schutz durch Abdeckungen oder Umhüllungen“ in Übereinstimmung mit VDE 0100-410:2007-06 „Errichten von Niederspannungsanlagen </w:t>
      </w:r>
      <w:r w:rsidRPr="00AB24B8">
        <w:rPr>
          <w:i/>
          <w:color w:val="000000" w:themeColor="text1"/>
          <w:sz w:val="22"/>
        </w:rPr>
        <w:t>– Teil 4-41: Schutzmaßnahmen – Schutz gegen elektrischen Schlag</w:t>
      </w:r>
      <w:r w:rsidRPr="00AB24B8">
        <w:rPr>
          <w:color w:val="000000" w:themeColor="text1"/>
          <w:sz w:val="22"/>
        </w:rPr>
        <w:t xml:space="preserve"> </w:t>
      </w:r>
      <w:r w:rsidRPr="00AB24B8">
        <w:rPr>
          <w:i/>
          <w:color w:val="000000" w:themeColor="text1"/>
          <w:sz w:val="22"/>
        </w:rPr>
        <w:t>(Aktive Teile müssen im Inneren von Umhüllungen oder hinter Abdeckungen sein, die mindestens der Schutzart IPXXB oder IP2X entsprechen)</w:t>
      </w:r>
      <w:r w:rsidRPr="00AB24B8">
        <w:rPr>
          <w:color w:val="000000" w:themeColor="text1"/>
          <w:sz w:val="22"/>
        </w:rPr>
        <w:t xml:space="preserve"> erreicht wird, gelten folgende Mindestabstände:</w:t>
      </w:r>
    </w:p>
    <w:p w14:paraId="37B7B6BD" w14:textId="77777777" w:rsidR="00AB24B8" w:rsidRPr="00AB24B8" w:rsidRDefault="00AB24B8" w:rsidP="00AB24B8">
      <w:pPr>
        <w:jc w:val="both"/>
        <w:rPr>
          <w:color w:val="000000" w:themeColor="text1"/>
          <w:sz w:val="22"/>
        </w:rPr>
      </w:pPr>
    </w:p>
    <w:p w14:paraId="1DEA47A8" w14:textId="77777777" w:rsidR="00AB24B8" w:rsidRPr="00AB24B8" w:rsidRDefault="00AB24B8" w:rsidP="00AB24B8">
      <w:pPr>
        <w:numPr>
          <w:ilvl w:val="0"/>
          <w:numId w:val="3"/>
        </w:numPr>
        <w:spacing w:before="240"/>
        <w:contextualSpacing/>
        <w:jc w:val="both"/>
        <w:rPr>
          <w:color w:val="000000" w:themeColor="text1"/>
          <w:sz w:val="22"/>
        </w:rPr>
      </w:pPr>
      <w:r w:rsidRPr="00AB24B8">
        <w:rPr>
          <w:b/>
          <w:color w:val="000000" w:themeColor="text1"/>
          <w:sz w:val="22"/>
        </w:rPr>
        <w:t>600 mm</w:t>
      </w:r>
      <w:r w:rsidRPr="00AB24B8">
        <w:rPr>
          <w:color w:val="000000" w:themeColor="text1"/>
          <w:sz w:val="22"/>
        </w:rPr>
        <w:t xml:space="preserve"> Breite von Bedienungsgängen und Wartungsgängen zwischen Abdeckungen oder Umhüllungen </w:t>
      </w:r>
      <w:r w:rsidRPr="00AB24B8">
        <w:rPr>
          <w:i/>
          <w:color w:val="000000" w:themeColor="text1"/>
          <w:sz w:val="22"/>
        </w:rPr>
        <w:t xml:space="preserve">zwischen Schaltbedienelementen und Leistungsschaltern in Trennstellung </w:t>
      </w:r>
      <w:r w:rsidRPr="00AB24B8">
        <w:rPr>
          <w:i/>
          <w:color w:val="000000" w:themeColor="text1"/>
          <w:sz w:val="22"/>
        </w:rPr>
        <w:br/>
        <w:t>oder Schaltbedienelementen und Wand</w:t>
      </w:r>
      <w:r w:rsidRPr="00AB24B8">
        <w:rPr>
          <w:color w:val="000000" w:themeColor="text1"/>
          <w:sz w:val="22"/>
        </w:rPr>
        <w:t xml:space="preserve"> </w:t>
      </w:r>
      <w:r w:rsidRPr="00AB24B8">
        <w:rPr>
          <w:color w:val="000000" w:themeColor="text1"/>
          <w:sz w:val="22"/>
        </w:rPr>
        <w:tab/>
        <w:t xml:space="preserve"> </w:t>
      </w:r>
    </w:p>
    <w:p w14:paraId="3FCBA716" w14:textId="46425C5A" w:rsidR="00AB24B8" w:rsidRPr="00AB24B8" w:rsidRDefault="00AB24B8" w:rsidP="00AB24B8">
      <w:pPr>
        <w:numPr>
          <w:ilvl w:val="0"/>
          <w:numId w:val="3"/>
        </w:numPr>
        <w:spacing w:before="240"/>
        <w:contextualSpacing/>
        <w:jc w:val="both"/>
        <w:rPr>
          <w:color w:val="000000" w:themeColor="text1"/>
          <w:sz w:val="22"/>
        </w:rPr>
      </w:pPr>
      <w:r w:rsidRPr="00AB24B8">
        <w:rPr>
          <w:b/>
          <w:color w:val="000000" w:themeColor="text1"/>
          <w:sz w:val="22"/>
        </w:rPr>
        <w:t>700 mm</w:t>
      </w:r>
      <w:r w:rsidRPr="00AB24B8">
        <w:rPr>
          <w:color w:val="000000" w:themeColor="text1"/>
          <w:sz w:val="22"/>
        </w:rPr>
        <w:t xml:space="preserve"> Breite von Bedienungsgängen und Wartungsgängen zwischen Abdeckungen oder Umhüllungen </w:t>
      </w:r>
      <w:r w:rsidRPr="00AB24B8">
        <w:rPr>
          <w:i/>
          <w:color w:val="000000" w:themeColor="text1"/>
          <w:sz w:val="22"/>
        </w:rPr>
        <w:t>und anderen Abdeckungen oder Umhüllungen oder Abdeckungen oder Umhüllungen und Wand</w:t>
      </w:r>
      <w:r w:rsidRPr="00AB24B8">
        <w:rPr>
          <w:color w:val="000000" w:themeColor="text1"/>
          <w:sz w:val="22"/>
        </w:rPr>
        <w:t xml:space="preserve"> </w:t>
      </w:r>
    </w:p>
    <w:p w14:paraId="02D5D388" w14:textId="77777777" w:rsidR="00AB24B8" w:rsidRPr="00AB24B8" w:rsidRDefault="00AB24B8" w:rsidP="00AB24B8">
      <w:pPr>
        <w:framePr w:w="9638" w:h="5423" w:hRule="exact" w:hSpace="142" w:wrap="around" w:vAnchor="text" w:hAnchor="page" w:x="1538" w:y="288"/>
        <w:jc w:val="both"/>
        <w:rPr>
          <w:b/>
          <w:color w:val="000000" w:themeColor="text1"/>
          <w:sz w:val="28"/>
        </w:rPr>
      </w:pPr>
      <w:r w:rsidRPr="00AB24B8">
        <w:rPr>
          <w:b/>
          <w:noProof/>
          <w:color w:val="000000" w:themeColor="text1"/>
          <w:sz w:val="28"/>
        </w:rPr>
        <w:lastRenderedPageBreak/>
        <w:drawing>
          <wp:inline distT="0" distB="0" distL="0" distR="0" wp14:anchorId="7068CD92" wp14:editId="38409C66">
            <wp:extent cx="5543550" cy="31819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3550" cy="3181985"/>
                    </a:xfrm>
                    <a:prstGeom prst="rect">
                      <a:avLst/>
                    </a:prstGeom>
                  </pic:spPr>
                </pic:pic>
              </a:graphicData>
            </a:graphic>
          </wp:inline>
        </w:drawing>
      </w:r>
      <w:r w:rsidRPr="00AB24B8">
        <w:rPr>
          <w:b/>
          <w:color w:val="000000" w:themeColor="text1"/>
          <w:sz w:val="28"/>
        </w:rPr>
        <w:t xml:space="preserve"> </w:t>
      </w:r>
    </w:p>
    <w:p w14:paraId="6020C865" w14:textId="0344157F" w:rsidR="00AB24B8" w:rsidRPr="00AB24B8" w:rsidRDefault="00AB24B8" w:rsidP="00AB24B8">
      <w:pPr>
        <w:framePr w:w="9638" w:h="5423" w:hRule="exact" w:hSpace="142" w:wrap="around" w:vAnchor="text" w:hAnchor="page" w:x="1538" w:y="288"/>
        <w:jc w:val="both"/>
        <w:rPr>
          <w:b/>
          <w:color w:val="000000" w:themeColor="text1"/>
          <w:sz w:val="28"/>
        </w:rPr>
      </w:pPr>
      <w:r w:rsidRPr="00AB24B8">
        <w:rPr>
          <w:color w:val="000000" w:themeColor="text1"/>
          <w:sz w:val="18"/>
        </w:rPr>
        <w:t>Abbildung</w:t>
      </w:r>
      <w:r>
        <w:rPr>
          <w:color w:val="000000" w:themeColor="text1"/>
          <w:sz w:val="18"/>
        </w:rPr>
        <w:t xml:space="preserve"> 2</w:t>
      </w:r>
      <w:r w:rsidRPr="00AB24B8">
        <w:rPr>
          <w:color w:val="000000" w:themeColor="text1"/>
          <w:sz w:val="18"/>
        </w:rPr>
        <w:t>: Quelle VDE 0100-729</w:t>
      </w:r>
    </w:p>
    <w:p w14:paraId="64B4A92D" w14:textId="77777777" w:rsidR="00AB24B8" w:rsidRPr="00AB24B8" w:rsidRDefault="00AB24B8" w:rsidP="00AB24B8">
      <w:pPr>
        <w:keepNext/>
        <w:jc w:val="both"/>
        <w:rPr>
          <w:color w:val="000000" w:themeColor="text1"/>
          <w:sz w:val="22"/>
        </w:rPr>
      </w:pPr>
    </w:p>
    <w:p w14:paraId="65F9509F" w14:textId="2896D967" w:rsidR="00AB24B8" w:rsidRPr="00AB24B8" w:rsidRDefault="00AB24B8" w:rsidP="00AB24B8">
      <w:pPr>
        <w:spacing w:before="240"/>
        <w:jc w:val="both"/>
        <w:rPr>
          <w:color w:val="000000" w:themeColor="text1"/>
          <w:sz w:val="22"/>
        </w:rPr>
      </w:pPr>
      <w:r w:rsidRPr="00AB24B8">
        <w:rPr>
          <w:color w:val="000000" w:themeColor="text1"/>
          <w:sz w:val="22"/>
        </w:rPr>
        <w:t>In Bedienungs- und Wartungsgängen müssen sich die Türen aller Einrichtungen und schwenkbarer Baugruppenträger um mindestens 90° öffnen lassen.</w:t>
      </w:r>
    </w:p>
    <w:p w14:paraId="671A412C" w14:textId="77777777" w:rsidR="00AB24B8" w:rsidRPr="00AB24B8" w:rsidRDefault="00AB24B8" w:rsidP="00AB24B8">
      <w:pPr>
        <w:jc w:val="center"/>
        <w:rPr>
          <w:color w:val="000000" w:themeColor="text1"/>
          <w:sz w:val="22"/>
        </w:rPr>
      </w:pPr>
    </w:p>
    <w:p w14:paraId="75431B43" w14:textId="77777777" w:rsidR="00AB24B8" w:rsidRPr="00AB24B8" w:rsidRDefault="00AB24B8" w:rsidP="00AB24B8">
      <w:pPr>
        <w:rPr>
          <w:color w:val="000000" w:themeColor="text1"/>
          <w:sz w:val="22"/>
        </w:rPr>
      </w:pPr>
      <w:r w:rsidRPr="00AB24B8">
        <w:rPr>
          <w:noProof/>
          <w:color w:val="000000" w:themeColor="text1"/>
          <w:sz w:val="22"/>
        </w:rPr>
        <w:drawing>
          <wp:inline distT="0" distB="0" distL="0" distR="0" wp14:anchorId="347CDFBA" wp14:editId="4852C8EF">
            <wp:extent cx="5848078" cy="619585"/>
            <wp:effectExtent l="0" t="0" r="0" b="0"/>
            <wp:docPr id="5" name="Grafik 5"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409FB7.tmp"/>
                    <pic:cNvPicPr/>
                  </pic:nvPicPr>
                  <pic:blipFill>
                    <a:blip r:embed="rId12">
                      <a:extLst>
                        <a:ext uri="{28A0092B-C50C-407E-A947-70E740481C1C}">
                          <a14:useLocalDpi xmlns:a14="http://schemas.microsoft.com/office/drawing/2010/main" val="0"/>
                        </a:ext>
                      </a:extLst>
                    </a:blip>
                    <a:stretch>
                      <a:fillRect/>
                    </a:stretch>
                  </pic:blipFill>
                  <pic:spPr>
                    <a:xfrm>
                      <a:off x="0" y="0"/>
                      <a:ext cx="6131317" cy="649593"/>
                    </a:xfrm>
                    <a:prstGeom prst="rect">
                      <a:avLst/>
                    </a:prstGeom>
                  </pic:spPr>
                </pic:pic>
              </a:graphicData>
            </a:graphic>
          </wp:inline>
        </w:drawing>
      </w:r>
    </w:p>
    <w:p w14:paraId="046EFDBC" w14:textId="77777777" w:rsidR="00AB24B8" w:rsidRDefault="00AB24B8" w:rsidP="00AB24B8">
      <w:pPr>
        <w:jc w:val="both"/>
        <w:rPr>
          <w:color w:val="000000" w:themeColor="text1"/>
          <w:sz w:val="18"/>
        </w:rPr>
      </w:pPr>
    </w:p>
    <w:p w14:paraId="2A79C7DC" w14:textId="2E300CFC" w:rsidR="00AB24B8" w:rsidRPr="00AB24B8" w:rsidRDefault="00AB24B8" w:rsidP="00AB24B8">
      <w:pPr>
        <w:jc w:val="both"/>
        <w:rPr>
          <w:b/>
          <w:color w:val="000000" w:themeColor="text1"/>
          <w:sz w:val="28"/>
        </w:rPr>
      </w:pPr>
      <w:r w:rsidRPr="00AB24B8">
        <w:rPr>
          <w:color w:val="000000" w:themeColor="text1"/>
          <w:sz w:val="18"/>
        </w:rPr>
        <w:t>Abbildung</w:t>
      </w:r>
      <w:r>
        <w:rPr>
          <w:color w:val="000000" w:themeColor="text1"/>
          <w:sz w:val="18"/>
        </w:rPr>
        <w:t xml:space="preserve"> 3</w:t>
      </w:r>
      <w:r w:rsidRPr="00AB24B8">
        <w:rPr>
          <w:color w:val="000000" w:themeColor="text1"/>
          <w:sz w:val="18"/>
        </w:rPr>
        <w:t>: Quelle VDE 0100-729</w:t>
      </w:r>
    </w:p>
    <w:p w14:paraId="1CF519C4" w14:textId="7ADDC1A2" w:rsidR="00AB24B8" w:rsidRPr="00AB24B8" w:rsidRDefault="00AB24B8" w:rsidP="00AB24B8">
      <w:pPr>
        <w:spacing w:before="240"/>
        <w:jc w:val="both"/>
        <w:rPr>
          <w:color w:val="000000" w:themeColor="text1"/>
          <w:sz w:val="22"/>
        </w:rPr>
      </w:pPr>
      <w:r w:rsidRPr="00AB24B8">
        <w:rPr>
          <w:color w:val="000000" w:themeColor="text1"/>
          <w:sz w:val="22"/>
        </w:rPr>
        <w:t xml:space="preserve">Bei Türen, die in geöffneter Position arretiert werden können oder bei Leistungsschaltern oder Betriebsmitteln, die zu Wartungszwecken komplett herausgezogen werden können (Position: vollständig herausgezogen), muss ein Mindestabstand von 500 mm zwischen der </w:t>
      </w:r>
      <w:proofErr w:type="spellStart"/>
      <w:r w:rsidRPr="00AB24B8">
        <w:rPr>
          <w:color w:val="000000" w:themeColor="text1"/>
          <w:sz w:val="22"/>
        </w:rPr>
        <w:t>Türkante</w:t>
      </w:r>
      <w:proofErr w:type="spellEnd"/>
      <w:r w:rsidRPr="00AB24B8">
        <w:rPr>
          <w:color w:val="000000" w:themeColor="text1"/>
          <w:sz w:val="22"/>
        </w:rPr>
        <w:t xml:space="preserve"> oder der Kante von Leistungsschaltern/Betriebsmitteln und der gegenüberliegenden Seite des Bedienungsgangs oder Wartungsgangs eingehalten werden.</w:t>
      </w:r>
    </w:p>
    <w:p w14:paraId="01EA3BB0" w14:textId="77777777" w:rsidR="00AB24B8" w:rsidRPr="00AB24B8" w:rsidRDefault="00AB24B8" w:rsidP="00AB24B8">
      <w:pPr>
        <w:jc w:val="both"/>
        <w:rPr>
          <w:color w:val="000000" w:themeColor="text1"/>
          <w:sz w:val="22"/>
        </w:rPr>
      </w:pPr>
    </w:p>
    <w:p w14:paraId="0932A3CF" w14:textId="79AE105F" w:rsidR="00FA3A35" w:rsidRPr="00AB24B8" w:rsidRDefault="00AB24B8" w:rsidP="00AB24B8">
      <w:pPr>
        <w:spacing w:after="240"/>
        <w:jc w:val="both"/>
        <w:rPr>
          <w:vanish/>
          <w:color w:val="000000" w:themeColor="text1"/>
          <w:sz w:val="22"/>
          <w:szCs w:val="22"/>
          <w:specVanish/>
        </w:rPr>
      </w:pPr>
      <w:r w:rsidRPr="00AB24B8">
        <w:rPr>
          <w:color w:val="000000" w:themeColor="text1"/>
          <w:sz w:val="22"/>
        </w:rPr>
        <w:t>Zur Einhaltung der normativen Vorgaben und Anforderungen für die freizuhaltenden Bodenflächen vor und neben den (abgeschlossenen) elektrischen Betriebsstätten</w:t>
      </w:r>
      <w:r w:rsidR="00C56800">
        <w:rPr>
          <w:color w:val="000000" w:themeColor="text1"/>
          <w:sz w:val="22"/>
        </w:rPr>
        <w:t>,</w:t>
      </w:r>
      <w:r w:rsidRPr="00AB24B8">
        <w:rPr>
          <w:color w:val="000000" w:themeColor="text1"/>
          <w:sz w:val="22"/>
        </w:rPr>
        <w:t xml:space="preserve"> sind in Anlehnung an die DGUV Information 211-041 Pkt. 5.1 - Sicherheits- und Gesundheitsschutzkennzeichnung (ehemals DGUV Vorschrift 9 bzw. BGV A8) die Außenkante der Bodenflächen der unter 4.3 genannten Abstände in gelber Farbe zu kennzeichnen. Weiterhin sind die Innenbereiche der gelb gekennzeichneten Fläche diagonal (von Ecke zu Ecke) zu markieren.</w:t>
      </w:r>
    </w:p>
    <w:p w14:paraId="02850590" w14:textId="713E63DC" w:rsidR="009712F5" w:rsidRPr="00AB24B8" w:rsidRDefault="009712F5" w:rsidP="00AB24B8">
      <w:pPr>
        <w:jc w:val="both"/>
        <w:rPr>
          <w:noProof/>
          <w:color w:val="000000" w:themeColor="text1"/>
        </w:rPr>
      </w:pPr>
      <w:r w:rsidRPr="00AB24B8">
        <w:rPr>
          <w:color w:val="000000" w:themeColor="text1"/>
        </w:rPr>
        <w:br w:type="page"/>
      </w:r>
    </w:p>
    <w:tbl>
      <w:tblPr>
        <w:tblW w:w="9618"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1"/>
        <w:gridCol w:w="2970"/>
        <w:gridCol w:w="3667"/>
      </w:tblGrid>
      <w:tr w:rsidR="00AB24B8" w:rsidRPr="00AB24B8" w14:paraId="2D91FDB2" w14:textId="77777777" w:rsidTr="00CF57D9">
        <w:trPr>
          <w:trHeight w:hRule="exact" w:val="765"/>
        </w:trPr>
        <w:tc>
          <w:tcPr>
            <w:tcW w:w="2981" w:type="dxa"/>
            <w:tcBorders>
              <w:top w:val="single" w:sz="12" w:space="0" w:color="auto"/>
              <w:bottom w:val="single" w:sz="12" w:space="0" w:color="auto"/>
            </w:tcBorders>
            <w:vAlign w:val="center"/>
          </w:tcPr>
          <w:p w14:paraId="45642F14" w14:textId="178FCBAA"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lastRenderedPageBreak/>
              <w:t>Teilnehmer</w:t>
            </w:r>
          </w:p>
        </w:tc>
        <w:tc>
          <w:tcPr>
            <w:tcW w:w="2970" w:type="dxa"/>
            <w:tcBorders>
              <w:top w:val="single" w:sz="12" w:space="0" w:color="auto"/>
              <w:bottom w:val="single" w:sz="12" w:space="0" w:color="auto"/>
            </w:tcBorders>
            <w:vAlign w:val="center"/>
          </w:tcPr>
          <w:p w14:paraId="2F6EE0B8"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4BAFAD23"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 xml:space="preserve">Unterschrift </w:t>
            </w:r>
            <w:r w:rsidRPr="00AB24B8">
              <w:rPr>
                <w:rFonts w:cs="Arial"/>
                <w:color w:val="000000" w:themeColor="text1"/>
                <w:sz w:val="22"/>
                <w:szCs w:val="22"/>
              </w:rPr>
              <w:t>*)</w:t>
            </w:r>
          </w:p>
        </w:tc>
      </w:tr>
      <w:tr w:rsidR="00AB24B8" w:rsidRPr="00AB24B8" w14:paraId="4817344F" w14:textId="77777777" w:rsidTr="00CF57D9">
        <w:trPr>
          <w:trHeight w:val="572"/>
        </w:trPr>
        <w:tc>
          <w:tcPr>
            <w:tcW w:w="2981" w:type="dxa"/>
            <w:tcBorders>
              <w:top w:val="single" w:sz="12" w:space="0" w:color="auto"/>
            </w:tcBorders>
            <w:vAlign w:val="center"/>
          </w:tcPr>
          <w:p w14:paraId="54BE514E" w14:textId="77777777" w:rsidR="00F87883" w:rsidRPr="00AB24B8" w:rsidRDefault="00F87883" w:rsidP="00AB24B8">
            <w:pPr>
              <w:ind w:right="-1"/>
              <w:jc w:val="both"/>
              <w:rPr>
                <w:rFonts w:cs="Arial"/>
                <w:color w:val="000000" w:themeColor="text1"/>
                <w:sz w:val="22"/>
                <w:szCs w:val="22"/>
              </w:rPr>
            </w:pPr>
          </w:p>
        </w:tc>
        <w:tc>
          <w:tcPr>
            <w:tcW w:w="2970" w:type="dxa"/>
            <w:tcBorders>
              <w:top w:val="single" w:sz="12" w:space="0" w:color="auto"/>
            </w:tcBorders>
            <w:vAlign w:val="center"/>
          </w:tcPr>
          <w:p w14:paraId="24420DA8" w14:textId="77777777" w:rsidR="00F87883" w:rsidRPr="00AB24B8" w:rsidRDefault="00F87883" w:rsidP="00AB24B8">
            <w:pPr>
              <w:ind w:right="-1"/>
              <w:jc w:val="both"/>
              <w:rPr>
                <w:rFonts w:cs="Arial"/>
                <w:color w:val="000000" w:themeColor="text1"/>
                <w:sz w:val="22"/>
                <w:szCs w:val="22"/>
              </w:rPr>
            </w:pPr>
          </w:p>
        </w:tc>
        <w:tc>
          <w:tcPr>
            <w:tcW w:w="3667" w:type="dxa"/>
            <w:tcBorders>
              <w:top w:val="single" w:sz="12" w:space="0" w:color="auto"/>
            </w:tcBorders>
            <w:vAlign w:val="center"/>
          </w:tcPr>
          <w:p w14:paraId="1512A43A" w14:textId="77777777" w:rsidR="00F87883" w:rsidRPr="00AB24B8" w:rsidRDefault="00F87883" w:rsidP="00AB24B8">
            <w:pPr>
              <w:ind w:right="-1"/>
              <w:jc w:val="both"/>
              <w:rPr>
                <w:rFonts w:cs="Arial"/>
                <w:color w:val="000000" w:themeColor="text1"/>
                <w:sz w:val="22"/>
                <w:szCs w:val="22"/>
              </w:rPr>
            </w:pPr>
          </w:p>
          <w:p w14:paraId="0732EF69" w14:textId="77777777" w:rsidR="00F87883" w:rsidRPr="00AB24B8" w:rsidRDefault="00F87883" w:rsidP="00AB24B8">
            <w:pPr>
              <w:ind w:right="-1"/>
              <w:jc w:val="both"/>
              <w:rPr>
                <w:rFonts w:cs="Arial"/>
                <w:color w:val="000000" w:themeColor="text1"/>
                <w:sz w:val="22"/>
                <w:szCs w:val="22"/>
              </w:rPr>
            </w:pPr>
          </w:p>
        </w:tc>
      </w:tr>
      <w:tr w:rsidR="00AB24B8" w:rsidRPr="00AB24B8" w14:paraId="52977B13" w14:textId="77777777" w:rsidTr="00CF57D9">
        <w:trPr>
          <w:trHeight w:val="572"/>
        </w:trPr>
        <w:tc>
          <w:tcPr>
            <w:tcW w:w="2981" w:type="dxa"/>
            <w:vAlign w:val="center"/>
          </w:tcPr>
          <w:p w14:paraId="3D3E982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255F3D99"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51CAE9FA" w14:textId="77777777" w:rsidR="00F87883" w:rsidRPr="00AB24B8" w:rsidRDefault="00F87883" w:rsidP="00AB24B8">
            <w:pPr>
              <w:ind w:right="-1"/>
              <w:jc w:val="both"/>
              <w:rPr>
                <w:rFonts w:cs="Arial"/>
                <w:color w:val="000000" w:themeColor="text1"/>
                <w:sz w:val="22"/>
                <w:szCs w:val="22"/>
              </w:rPr>
            </w:pPr>
          </w:p>
          <w:p w14:paraId="707EFC07" w14:textId="77777777" w:rsidR="00F87883" w:rsidRPr="00AB24B8" w:rsidRDefault="00F87883" w:rsidP="00AB24B8">
            <w:pPr>
              <w:ind w:right="-1"/>
              <w:jc w:val="both"/>
              <w:rPr>
                <w:rFonts w:cs="Arial"/>
                <w:color w:val="000000" w:themeColor="text1"/>
                <w:sz w:val="22"/>
                <w:szCs w:val="22"/>
              </w:rPr>
            </w:pPr>
          </w:p>
        </w:tc>
      </w:tr>
      <w:tr w:rsidR="00AB24B8" w:rsidRPr="00AB24B8" w14:paraId="0123FA40" w14:textId="77777777" w:rsidTr="00CF57D9">
        <w:trPr>
          <w:trHeight w:val="557"/>
        </w:trPr>
        <w:tc>
          <w:tcPr>
            <w:tcW w:w="2981" w:type="dxa"/>
            <w:vAlign w:val="center"/>
          </w:tcPr>
          <w:p w14:paraId="18595C59"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7389102"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01FC8EE" w14:textId="77777777" w:rsidR="00F87883" w:rsidRPr="00AB24B8" w:rsidRDefault="00F87883" w:rsidP="00AB24B8">
            <w:pPr>
              <w:ind w:right="-1"/>
              <w:jc w:val="both"/>
              <w:rPr>
                <w:rFonts w:cs="Arial"/>
                <w:color w:val="000000" w:themeColor="text1"/>
                <w:sz w:val="22"/>
                <w:szCs w:val="22"/>
              </w:rPr>
            </w:pPr>
          </w:p>
          <w:p w14:paraId="2E6C05B7" w14:textId="77777777" w:rsidR="00F87883" w:rsidRPr="00AB24B8" w:rsidRDefault="00F87883" w:rsidP="00AB24B8">
            <w:pPr>
              <w:ind w:right="-1"/>
              <w:jc w:val="both"/>
              <w:rPr>
                <w:rFonts w:cs="Arial"/>
                <w:color w:val="000000" w:themeColor="text1"/>
                <w:sz w:val="22"/>
                <w:szCs w:val="22"/>
              </w:rPr>
            </w:pPr>
          </w:p>
        </w:tc>
      </w:tr>
      <w:tr w:rsidR="00AB24B8" w:rsidRPr="00AB24B8" w14:paraId="45B9A57E" w14:textId="77777777" w:rsidTr="00CF57D9">
        <w:trPr>
          <w:trHeight w:val="557"/>
        </w:trPr>
        <w:tc>
          <w:tcPr>
            <w:tcW w:w="2981" w:type="dxa"/>
            <w:vAlign w:val="center"/>
          </w:tcPr>
          <w:p w14:paraId="5C4428A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D7E8A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F063CFF" w14:textId="77777777" w:rsidR="00F87883" w:rsidRPr="00AB24B8" w:rsidRDefault="00F87883" w:rsidP="00AB24B8">
            <w:pPr>
              <w:ind w:right="-1"/>
              <w:jc w:val="both"/>
              <w:rPr>
                <w:rFonts w:cs="Arial"/>
                <w:color w:val="000000" w:themeColor="text1"/>
                <w:sz w:val="22"/>
                <w:szCs w:val="22"/>
              </w:rPr>
            </w:pPr>
          </w:p>
          <w:p w14:paraId="4D5EB7AF" w14:textId="77777777" w:rsidR="00F87883" w:rsidRPr="00AB24B8" w:rsidRDefault="00F87883" w:rsidP="00AB24B8">
            <w:pPr>
              <w:ind w:right="-1"/>
              <w:jc w:val="both"/>
              <w:rPr>
                <w:rFonts w:cs="Arial"/>
                <w:color w:val="000000" w:themeColor="text1"/>
                <w:sz w:val="22"/>
                <w:szCs w:val="22"/>
              </w:rPr>
            </w:pPr>
          </w:p>
        </w:tc>
      </w:tr>
      <w:tr w:rsidR="00AB24B8" w:rsidRPr="00AB24B8" w14:paraId="6E158E36" w14:textId="77777777" w:rsidTr="00CF57D9">
        <w:trPr>
          <w:trHeight w:val="572"/>
        </w:trPr>
        <w:tc>
          <w:tcPr>
            <w:tcW w:w="2981" w:type="dxa"/>
            <w:vAlign w:val="center"/>
          </w:tcPr>
          <w:p w14:paraId="7E0EA258"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1277066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7B3E5232" w14:textId="77777777" w:rsidR="00F87883" w:rsidRPr="00AB24B8" w:rsidRDefault="00F87883" w:rsidP="00AB24B8">
            <w:pPr>
              <w:ind w:right="-1"/>
              <w:jc w:val="both"/>
              <w:rPr>
                <w:rFonts w:cs="Arial"/>
                <w:color w:val="000000" w:themeColor="text1"/>
                <w:sz w:val="22"/>
                <w:szCs w:val="22"/>
              </w:rPr>
            </w:pPr>
          </w:p>
          <w:p w14:paraId="20E436C3" w14:textId="77777777" w:rsidR="00F87883" w:rsidRPr="00AB24B8" w:rsidRDefault="00F87883" w:rsidP="00AB24B8">
            <w:pPr>
              <w:ind w:right="-1"/>
              <w:jc w:val="both"/>
              <w:rPr>
                <w:rFonts w:cs="Arial"/>
                <w:color w:val="000000" w:themeColor="text1"/>
                <w:sz w:val="22"/>
                <w:szCs w:val="22"/>
              </w:rPr>
            </w:pPr>
          </w:p>
        </w:tc>
      </w:tr>
      <w:tr w:rsidR="00AB24B8" w:rsidRPr="00AB24B8" w14:paraId="684CB588" w14:textId="77777777" w:rsidTr="00CF57D9">
        <w:trPr>
          <w:trHeight w:val="557"/>
        </w:trPr>
        <w:tc>
          <w:tcPr>
            <w:tcW w:w="2981" w:type="dxa"/>
            <w:vAlign w:val="center"/>
          </w:tcPr>
          <w:p w14:paraId="4BFD905F"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599875EF"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48F14178" w14:textId="77777777" w:rsidR="00F87883" w:rsidRPr="00AB24B8" w:rsidRDefault="00F87883" w:rsidP="00AB24B8">
            <w:pPr>
              <w:ind w:right="-1"/>
              <w:jc w:val="both"/>
              <w:rPr>
                <w:rFonts w:cs="Arial"/>
                <w:color w:val="000000" w:themeColor="text1"/>
                <w:sz w:val="22"/>
                <w:szCs w:val="22"/>
              </w:rPr>
            </w:pPr>
          </w:p>
          <w:p w14:paraId="6A6964CB" w14:textId="77777777" w:rsidR="00F87883" w:rsidRPr="00AB24B8" w:rsidRDefault="00F87883" w:rsidP="00AB24B8">
            <w:pPr>
              <w:ind w:right="-1"/>
              <w:jc w:val="both"/>
              <w:rPr>
                <w:rFonts w:cs="Arial"/>
                <w:color w:val="000000" w:themeColor="text1"/>
                <w:sz w:val="22"/>
                <w:szCs w:val="22"/>
              </w:rPr>
            </w:pPr>
          </w:p>
        </w:tc>
      </w:tr>
      <w:tr w:rsidR="00AB24B8" w:rsidRPr="00AB24B8" w14:paraId="2406A8D9" w14:textId="77777777" w:rsidTr="00CF57D9">
        <w:trPr>
          <w:trHeight w:val="572"/>
        </w:trPr>
        <w:tc>
          <w:tcPr>
            <w:tcW w:w="2981" w:type="dxa"/>
            <w:vAlign w:val="center"/>
          </w:tcPr>
          <w:p w14:paraId="61DD10E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8DF2ADD"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247C472A" w14:textId="77777777" w:rsidR="00F87883" w:rsidRPr="00AB24B8" w:rsidRDefault="00F87883" w:rsidP="00AB24B8">
            <w:pPr>
              <w:ind w:right="-1"/>
              <w:jc w:val="both"/>
              <w:rPr>
                <w:rFonts w:cs="Arial"/>
                <w:color w:val="000000" w:themeColor="text1"/>
                <w:sz w:val="22"/>
                <w:szCs w:val="22"/>
              </w:rPr>
            </w:pPr>
          </w:p>
          <w:p w14:paraId="4EC2D8DE" w14:textId="77777777" w:rsidR="00F87883" w:rsidRPr="00AB24B8" w:rsidRDefault="00F87883" w:rsidP="00AB24B8">
            <w:pPr>
              <w:ind w:right="-1"/>
              <w:jc w:val="both"/>
              <w:rPr>
                <w:rFonts w:cs="Arial"/>
                <w:color w:val="000000" w:themeColor="text1"/>
                <w:sz w:val="22"/>
                <w:szCs w:val="22"/>
              </w:rPr>
            </w:pPr>
          </w:p>
        </w:tc>
      </w:tr>
      <w:tr w:rsidR="00AB24B8" w:rsidRPr="00AB24B8" w14:paraId="5DCD1ACE" w14:textId="77777777" w:rsidTr="00CF57D9">
        <w:trPr>
          <w:trHeight w:val="557"/>
        </w:trPr>
        <w:tc>
          <w:tcPr>
            <w:tcW w:w="2981" w:type="dxa"/>
            <w:vAlign w:val="center"/>
          </w:tcPr>
          <w:p w14:paraId="2E884B66"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C1553B"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CEF95B8" w14:textId="77777777" w:rsidR="00F87883" w:rsidRPr="00AB24B8" w:rsidRDefault="00F87883" w:rsidP="00AB24B8">
            <w:pPr>
              <w:ind w:right="-1"/>
              <w:jc w:val="both"/>
              <w:rPr>
                <w:rFonts w:cs="Arial"/>
                <w:color w:val="000000" w:themeColor="text1"/>
                <w:sz w:val="22"/>
                <w:szCs w:val="22"/>
              </w:rPr>
            </w:pPr>
          </w:p>
          <w:p w14:paraId="4E4F9327" w14:textId="77777777" w:rsidR="00F87883" w:rsidRPr="00AB24B8" w:rsidRDefault="00F87883" w:rsidP="00AB24B8">
            <w:pPr>
              <w:ind w:right="-1"/>
              <w:jc w:val="both"/>
              <w:rPr>
                <w:rFonts w:cs="Arial"/>
                <w:color w:val="000000" w:themeColor="text1"/>
                <w:sz w:val="22"/>
                <w:szCs w:val="22"/>
              </w:rPr>
            </w:pPr>
          </w:p>
        </w:tc>
      </w:tr>
      <w:tr w:rsidR="00AB24B8" w:rsidRPr="00AB24B8" w14:paraId="1D8BD99D" w14:textId="77777777" w:rsidTr="00CF57D9">
        <w:trPr>
          <w:trHeight w:val="572"/>
        </w:trPr>
        <w:tc>
          <w:tcPr>
            <w:tcW w:w="2981" w:type="dxa"/>
            <w:vAlign w:val="center"/>
          </w:tcPr>
          <w:p w14:paraId="208A304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06B96D1"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6A85CD81" w14:textId="77777777" w:rsidR="00F87883" w:rsidRPr="00AB24B8" w:rsidRDefault="00F87883" w:rsidP="00AB24B8">
            <w:pPr>
              <w:ind w:right="-1"/>
              <w:jc w:val="both"/>
              <w:rPr>
                <w:rFonts w:cs="Arial"/>
                <w:color w:val="000000" w:themeColor="text1"/>
                <w:sz w:val="22"/>
                <w:szCs w:val="22"/>
              </w:rPr>
            </w:pPr>
          </w:p>
          <w:p w14:paraId="2A29B830" w14:textId="77777777" w:rsidR="00F87883" w:rsidRPr="00AB24B8" w:rsidRDefault="00F87883" w:rsidP="00AB24B8">
            <w:pPr>
              <w:ind w:right="-1"/>
              <w:jc w:val="both"/>
              <w:rPr>
                <w:rFonts w:cs="Arial"/>
                <w:color w:val="000000" w:themeColor="text1"/>
                <w:sz w:val="22"/>
                <w:szCs w:val="22"/>
              </w:rPr>
            </w:pPr>
          </w:p>
        </w:tc>
      </w:tr>
      <w:tr w:rsidR="00AB24B8" w:rsidRPr="00AB24B8" w14:paraId="787FCACD" w14:textId="77777777" w:rsidTr="00CF57D9">
        <w:trPr>
          <w:trHeight w:val="557"/>
        </w:trPr>
        <w:tc>
          <w:tcPr>
            <w:tcW w:w="2981" w:type="dxa"/>
            <w:vAlign w:val="center"/>
          </w:tcPr>
          <w:p w14:paraId="19281D27"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2F30EBA"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188B9D5" w14:textId="77777777" w:rsidR="00F87883" w:rsidRPr="00AB24B8" w:rsidRDefault="00F87883" w:rsidP="00AB24B8">
            <w:pPr>
              <w:ind w:right="-1"/>
              <w:jc w:val="both"/>
              <w:rPr>
                <w:rFonts w:cs="Arial"/>
                <w:color w:val="000000" w:themeColor="text1"/>
                <w:sz w:val="22"/>
                <w:szCs w:val="22"/>
              </w:rPr>
            </w:pPr>
          </w:p>
          <w:p w14:paraId="654DE60F" w14:textId="77777777" w:rsidR="00F87883" w:rsidRPr="00AB24B8" w:rsidRDefault="00F87883" w:rsidP="00AB24B8">
            <w:pPr>
              <w:ind w:right="-1"/>
              <w:jc w:val="both"/>
              <w:rPr>
                <w:rFonts w:cs="Arial"/>
                <w:color w:val="000000" w:themeColor="text1"/>
                <w:sz w:val="22"/>
                <w:szCs w:val="22"/>
              </w:rPr>
            </w:pPr>
          </w:p>
        </w:tc>
      </w:tr>
      <w:tr w:rsidR="00AB24B8" w:rsidRPr="00AB24B8" w14:paraId="36080E2B" w14:textId="77777777" w:rsidTr="00CF57D9">
        <w:trPr>
          <w:trHeight w:val="572"/>
        </w:trPr>
        <w:tc>
          <w:tcPr>
            <w:tcW w:w="2981" w:type="dxa"/>
            <w:tcBorders>
              <w:bottom w:val="single" w:sz="12" w:space="0" w:color="auto"/>
            </w:tcBorders>
            <w:vAlign w:val="center"/>
          </w:tcPr>
          <w:p w14:paraId="59941641" w14:textId="77777777" w:rsidR="00F87883" w:rsidRPr="00AB24B8" w:rsidRDefault="00F87883" w:rsidP="00AB24B8">
            <w:pPr>
              <w:ind w:right="-1"/>
              <w:jc w:val="both"/>
              <w:rPr>
                <w:rFonts w:cs="Arial"/>
                <w:color w:val="000000" w:themeColor="text1"/>
                <w:sz w:val="22"/>
                <w:szCs w:val="22"/>
              </w:rPr>
            </w:pPr>
          </w:p>
        </w:tc>
        <w:tc>
          <w:tcPr>
            <w:tcW w:w="2970" w:type="dxa"/>
            <w:tcBorders>
              <w:bottom w:val="single" w:sz="12" w:space="0" w:color="auto"/>
            </w:tcBorders>
            <w:vAlign w:val="center"/>
          </w:tcPr>
          <w:p w14:paraId="21269827" w14:textId="77777777" w:rsidR="00F87883" w:rsidRPr="00AB24B8" w:rsidRDefault="00F87883" w:rsidP="00AB24B8">
            <w:pPr>
              <w:ind w:right="-1"/>
              <w:jc w:val="both"/>
              <w:rPr>
                <w:rFonts w:cs="Arial"/>
                <w:color w:val="000000" w:themeColor="text1"/>
                <w:sz w:val="22"/>
                <w:szCs w:val="22"/>
              </w:rPr>
            </w:pPr>
          </w:p>
        </w:tc>
        <w:tc>
          <w:tcPr>
            <w:tcW w:w="3667" w:type="dxa"/>
            <w:tcBorders>
              <w:bottom w:val="single" w:sz="12" w:space="0" w:color="auto"/>
            </w:tcBorders>
            <w:vAlign w:val="center"/>
          </w:tcPr>
          <w:p w14:paraId="60A7D028" w14:textId="77777777" w:rsidR="00F87883" w:rsidRPr="00AB24B8" w:rsidRDefault="00F87883" w:rsidP="00AB24B8">
            <w:pPr>
              <w:ind w:right="-1"/>
              <w:jc w:val="both"/>
              <w:rPr>
                <w:rFonts w:cs="Arial"/>
                <w:color w:val="000000" w:themeColor="text1"/>
                <w:sz w:val="22"/>
                <w:szCs w:val="22"/>
              </w:rPr>
            </w:pPr>
          </w:p>
          <w:p w14:paraId="20E96D05" w14:textId="77777777" w:rsidR="00F87883" w:rsidRPr="00AB24B8" w:rsidRDefault="00F87883" w:rsidP="00AB24B8">
            <w:pPr>
              <w:ind w:right="-1"/>
              <w:jc w:val="both"/>
              <w:rPr>
                <w:rFonts w:cs="Arial"/>
                <w:color w:val="000000" w:themeColor="text1"/>
                <w:sz w:val="22"/>
                <w:szCs w:val="22"/>
              </w:rPr>
            </w:pPr>
          </w:p>
        </w:tc>
      </w:tr>
    </w:tbl>
    <w:p w14:paraId="6E1447AF" w14:textId="77777777" w:rsidR="00F87883" w:rsidRPr="00AB24B8" w:rsidRDefault="00F87883" w:rsidP="00AB24B8">
      <w:pPr>
        <w:ind w:right="-1"/>
        <w:jc w:val="both"/>
        <w:rPr>
          <w:rFonts w:cs="Arial"/>
          <w:color w:val="000000" w:themeColor="text1"/>
          <w:sz w:val="22"/>
          <w:szCs w:val="22"/>
        </w:rPr>
      </w:pPr>
    </w:p>
    <w:p w14:paraId="1B0EEA08" w14:textId="77777777" w:rsidR="00F87883" w:rsidRPr="00AB24B8" w:rsidRDefault="00F87883" w:rsidP="00AB24B8">
      <w:pPr>
        <w:ind w:right="-1"/>
        <w:jc w:val="both"/>
        <w:rPr>
          <w:color w:val="000000" w:themeColor="text1"/>
          <w:sz w:val="22"/>
          <w:szCs w:val="22"/>
        </w:rPr>
      </w:pPr>
      <w:r w:rsidRPr="00AB24B8">
        <w:rPr>
          <w:color w:val="000000" w:themeColor="text1"/>
          <w:sz w:val="22"/>
          <w:szCs w:val="22"/>
        </w:rPr>
        <w:t xml:space="preserve">*) Mit seiner Unterschrift bestätigt der/die Teilnehmer/in, dass der Inhalt der Schulung verstanden wurde. </w:t>
      </w:r>
    </w:p>
    <w:p w14:paraId="2634E649" w14:textId="77777777" w:rsidR="00F87883" w:rsidRPr="00AB24B8" w:rsidRDefault="00F87883" w:rsidP="00AB24B8">
      <w:pPr>
        <w:ind w:right="-1"/>
        <w:jc w:val="both"/>
        <w:rPr>
          <w:rFonts w:cs="Arial"/>
          <w:color w:val="000000" w:themeColor="text1"/>
          <w:sz w:val="22"/>
          <w:szCs w:val="22"/>
        </w:rPr>
      </w:pPr>
    </w:p>
    <w:p w14:paraId="554B09D5" w14:textId="23155DE6" w:rsidR="003E4173" w:rsidRPr="00337566" w:rsidRDefault="003E4173" w:rsidP="003E4173">
      <w:pPr>
        <w:ind w:right="-144"/>
        <w:jc w:val="both"/>
        <w:rPr>
          <w:rFonts w:cs="Arial"/>
          <w:sz w:val="22"/>
          <w:szCs w:val="22"/>
        </w:rPr>
      </w:pPr>
      <w:r w:rsidRPr="00337566">
        <w:rPr>
          <w:rFonts w:cs="Arial"/>
          <w:b/>
          <w:sz w:val="22"/>
          <w:szCs w:val="22"/>
        </w:rPr>
        <w:t xml:space="preserve">Ablauf: </w:t>
      </w:r>
      <w:r w:rsidRPr="00337566">
        <w:rPr>
          <w:rFonts w:cs="Arial"/>
          <w:sz w:val="22"/>
          <w:szCs w:val="22"/>
        </w:rPr>
        <w:t>Die Elektrokurzschulungen sind für die verantwortlichen Elektrofachkräfte (VEFK) gedacht, um diese in Ihrer Schulungs- und Unterweisungsarbeit zu unterstützen. Die Kurzschulungen können von der VEFK selbst oder von entsprechend befähigten Beschäftigten durchgeführt werden. Es ist darauf zu achten, dass nicht nur die eigenen Elektro-</w:t>
      </w:r>
      <w:r w:rsidR="00072F86">
        <w:rPr>
          <w:rFonts w:cs="Arial"/>
          <w:sz w:val="22"/>
          <w:szCs w:val="22"/>
        </w:rPr>
        <w:t xml:space="preserve"> </w:t>
      </w:r>
      <w:r w:rsidRPr="00337566">
        <w:rPr>
          <w:rFonts w:cs="Arial"/>
          <w:sz w:val="22"/>
          <w:szCs w:val="22"/>
        </w:rPr>
        <w:t>Mitarbeiter, sondern auch die Leiharbeiter geschult werden.</w:t>
      </w:r>
    </w:p>
    <w:p w14:paraId="6D67E25E" w14:textId="1B71275E" w:rsidR="00B03014" w:rsidRPr="00AB24B8" w:rsidRDefault="00B03014" w:rsidP="003E4173">
      <w:pPr>
        <w:ind w:right="-1"/>
        <w:jc w:val="both"/>
        <w:rPr>
          <w:rFonts w:cs="Arial"/>
          <w:color w:val="000000" w:themeColor="text1"/>
          <w:sz w:val="22"/>
          <w:szCs w:val="22"/>
        </w:rPr>
      </w:pPr>
    </w:p>
    <w:sectPr w:rsidR="00B03014" w:rsidRPr="00AB24B8" w:rsidSect="000D0A32">
      <w:headerReference w:type="default" r:id="rId13"/>
      <w:footerReference w:type="default" r:id="rId14"/>
      <w:pgSz w:w="11906" w:h="16838"/>
      <w:pgMar w:top="1418" w:right="1134" w:bottom="1134" w:left="1134"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C6D4F" w14:textId="77777777" w:rsidR="00236911" w:rsidRDefault="00236911">
      <w:r>
        <w:separator/>
      </w:r>
    </w:p>
  </w:endnote>
  <w:endnote w:type="continuationSeparator" w:id="0">
    <w:p w14:paraId="0077ABC7" w14:textId="77777777" w:rsidR="00236911" w:rsidRDefault="002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13"/>
      <w:gridCol w:w="1114"/>
      <w:gridCol w:w="1114"/>
      <w:gridCol w:w="1114"/>
      <w:gridCol w:w="1114"/>
      <w:gridCol w:w="1114"/>
      <w:gridCol w:w="1114"/>
    </w:tblGrid>
    <w:tr w:rsidR="000D3F83" w:rsidRPr="00FA3A35" w14:paraId="380CFD4D" w14:textId="77777777" w:rsidTr="006618CF">
      <w:trPr>
        <w:trHeight w:val="132"/>
      </w:trPr>
      <w:tc>
        <w:tcPr>
          <w:tcW w:w="1811" w:type="dxa"/>
          <w:vAlign w:val="center"/>
        </w:tcPr>
        <w:p w14:paraId="454E0CE0" w14:textId="77777777" w:rsidR="000D3F83" w:rsidRPr="00FA3A35" w:rsidRDefault="000D3F83" w:rsidP="00474259">
          <w:pPr>
            <w:pStyle w:val="Fuzeile"/>
            <w:ind w:right="-83"/>
            <w:rPr>
              <w:rFonts w:cs="Arial"/>
              <w:sz w:val="16"/>
              <w:szCs w:val="16"/>
            </w:rPr>
          </w:pPr>
          <w:r w:rsidRPr="00FA3A35">
            <w:rPr>
              <w:rFonts w:cs="Arial"/>
              <w:sz w:val="16"/>
              <w:szCs w:val="16"/>
            </w:rPr>
            <w:t>Ausgabe/Revision:</w:t>
          </w:r>
        </w:p>
      </w:tc>
      <w:tc>
        <w:tcPr>
          <w:tcW w:w="1113" w:type="dxa"/>
          <w:vAlign w:val="center"/>
        </w:tcPr>
        <w:p w14:paraId="5E50C2F1" w14:textId="77777777" w:rsidR="000D3F83" w:rsidRPr="00FA3A35" w:rsidRDefault="00856444" w:rsidP="00474259">
          <w:pPr>
            <w:pStyle w:val="Fuzeile"/>
            <w:ind w:right="-83"/>
            <w:rPr>
              <w:rFonts w:cs="Arial"/>
              <w:sz w:val="16"/>
              <w:szCs w:val="16"/>
            </w:rPr>
          </w:pPr>
          <w:r w:rsidRPr="00FA3A35">
            <w:rPr>
              <w:rFonts w:cs="Arial"/>
              <w:sz w:val="16"/>
              <w:szCs w:val="16"/>
            </w:rPr>
            <w:t>0</w:t>
          </w:r>
        </w:p>
      </w:tc>
      <w:tc>
        <w:tcPr>
          <w:tcW w:w="1114" w:type="dxa"/>
          <w:vAlign w:val="center"/>
        </w:tcPr>
        <w:p w14:paraId="5B538206" w14:textId="7FDA1049" w:rsidR="000D3F83" w:rsidRPr="00FA3A35" w:rsidRDefault="00465ACD" w:rsidP="00474259">
          <w:pPr>
            <w:pStyle w:val="Fuzeile"/>
            <w:ind w:right="-83"/>
            <w:rPr>
              <w:rFonts w:cs="Arial"/>
              <w:sz w:val="16"/>
              <w:szCs w:val="16"/>
            </w:rPr>
          </w:pPr>
          <w:r>
            <w:rPr>
              <w:rFonts w:cs="Arial"/>
              <w:sz w:val="16"/>
              <w:szCs w:val="16"/>
            </w:rPr>
            <w:t>1</w:t>
          </w:r>
        </w:p>
      </w:tc>
      <w:tc>
        <w:tcPr>
          <w:tcW w:w="1114" w:type="dxa"/>
          <w:vAlign w:val="center"/>
        </w:tcPr>
        <w:p w14:paraId="2DAFFE4B" w14:textId="7190C209" w:rsidR="000D3F83" w:rsidRPr="00FA3A35" w:rsidRDefault="00433DD2" w:rsidP="00474259">
          <w:pPr>
            <w:pStyle w:val="Fuzeile"/>
            <w:ind w:right="-83"/>
            <w:rPr>
              <w:rFonts w:cs="Arial"/>
              <w:sz w:val="16"/>
              <w:szCs w:val="16"/>
            </w:rPr>
          </w:pPr>
          <w:r>
            <w:rPr>
              <w:rFonts w:cs="Arial"/>
              <w:sz w:val="16"/>
              <w:szCs w:val="16"/>
            </w:rPr>
            <w:t>2</w:t>
          </w:r>
        </w:p>
      </w:tc>
      <w:tc>
        <w:tcPr>
          <w:tcW w:w="1114" w:type="dxa"/>
          <w:vAlign w:val="center"/>
        </w:tcPr>
        <w:p w14:paraId="53BB3C1E" w14:textId="22D19596" w:rsidR="000D3F83" w:rsidRPr="00FA3A35" w:rsidRDefault="00323325" w:rsidP="00474259">
          <w:pPr>
            <w:pStyle w:val="Fuzeile"/>
            <w:ind w:right="-83"/>
            <w:rPr>
              <w:rFonts w:cs="Arial"/>
              <w:sz w:val="16"/>
              <w:szCs w:val="16"/>
            </w:rPr>
          </w:pPr>
          <w:r>
            <w:rPr>
              <w:rFonts w:cs="Arial"/>
              <w:sz w:val="16"/>
              <w:szCs w:val="16"/>
            </w:rPr>
            <w:t>3</w:t>
          </w:r>
        </w:p>
      </w:tc>
      <w:tc>
        <w:tcPr>
          <w:tcW w:w="1114" w:type="dxa"/>
          <w:vAlign w:val="center"/>
        </w:tcPr>
        <w:p w14:paraId="50FE1F91" w14:textId="77777777" w:rsidR="000D3F83" w:rsidRPr="00FA3A35" w:rsidRDefault="000D3F83" w:rsidP="00474259">
          <w:pPr>
            <w:pStyle w:val="Fuzeile"/>
            <w:ind w:right="-83"/>
            <w:rPr>
              <w:rFonts w:cs="Arial"/>
              <w:sz w:val="16"/>
              <w:szCs w:val="16"/>
            </w:rPr>
          </w:pPr>
        </w:p>
      </w:tc>
      <w:tc>
        <w:tcPr>
          <w:tcW w:w="1114" w:type="dxa"/>
          <w:vAlign w:val="center"/>
        </w:tcPr>
        <w:p w14:paraId="400DE141" w14:textId="77777777" w:rsidR="000D3F83" w:rsidRPr="00FA3A35" w:rsidRDefault="000D3F83" w:rsidP="00474259">
          <w:pPr>
            <w:pStyle w:val="Fuzeile"/>
            <w:ind w:right="-83"/>
            <w:rPr>
              <w:rFonts w:cs="Arial"/>
              <w:sz w:val="16"/>
              <w:szCs w:val="16"/>
            </w:rPr>
          </w:pPr>
          <w:r w:rsidRPr="00FA3A35">
            <w:rPr>
              <w:rFonts w:cs="Arial"/>
              <w:sz w:val="16"/>
              <w:szCs w:val="16"/>
            </w:rPr>
            <w:t>Seite:</w:t>
          </w:r>
        </w:p>
      </w:tc>
      <w:tc>
        <w:tcPr>
          <w:tcW w:w="1114" w:type="dxa"/>
          <w:vAlign w:val="center"/>
        </w:tcPr>
        <w:p w14:paraId="6F8763CF" w14:textId="77777777" w:rsidR="000D3F83" w:rsidRPr="00FA3A35" w:rsidRDefault="000D3F83" w:rsidP="00474259">
          <w:pPr>
            <w:pStyle w:val="Fuzeile"/>
            <w:ind w:right="-83"/>
            <w:rPr>
              <w:rFonts w:cs="Arial"/>
              <w:sz w:val="16"/>
              <w:szCs w:val="16"/>
            </w:rPr>
          </w:pP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PAGE</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r w:rsidRPr="00FA3A35">
            <w:rPr>
              <w:rFonts w:cs="Arial"/>
              <w:sz w:val="16"/>
              <w:szCs w:val="16"/>
            </w:rPr>
            <w:t xml:space="preserve"> von </w:t>
          </w: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NUMPAGES</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p>
      </w:tc>
    </w:tr>
    <w:tr w:rsidR="000D3F83" w:rsidRPr="00FA3A35" w14:paraId="5456E345" w14:textId="77777777" w:rsidTr="006618CF">
      <w:tc>
        <w:tcPr>
          <w:tcW w:w="1811" w:type="dxa"/>
          <w:vAlign w:val="center"/>
        </w:tcPr>
        <w:p w14:paraId="655E4B9C" w14:textId="77777777" w:rsidR="000D3F83" w:rsidRPr="00FA3A35" w:rsidRDefault="000D3F83" w:rsidP="00474259">
          <w:pPr>
            <w:pStyle w:val="Fuzeile"/>
            <w:ind w:right="-83"/>
            <w:rPr>
              <w:rFonts w:cs="Arial"/>
              <w:sz w:val="16"/>
              <w:szCs w:val="16"/>
            </w:rPr>
          </w:pPr>
          <w:r w:rsidRPr="00FA3A35">
            <w:rPr>
              <w:rFonts w:cs="Arial"/>
              <w:sz w:val="16"/>
              <w:szCs w:val="16"/>
            </w:rPr>
            <w:t>Datum:</w:t>
          </w:r>
        </w:p>
      </w:tc>
      <w:tc>
        <w:tcPr>
          <w:tcW w:w="1113" w:type="dxa"/>
          <w:vAlign w:val="center"/>
        </w:tcPr>
        <w:p w14:paraId="6D879B4D" w14:textId="55B93CAB" w:rsidR="000D3F83" w:rsidRPr="00FA3A35" w:rsidRDefault="00AB24B8" w:rsidP="00474259">
          <w:pPr>
            <w:pStyle w:val="Fuzeile"/>
            <w:ind w:right="-83"/>
            <w:rPr>
              <w:rFonts w:cs="Arial"/>
              <w:sz w:val="16"/>
              <w:szCs w:val="16"/>
            </w:rPr>
          </w:pPr>
          <w:r>
            <w:rPr>
              <w:rFonts w:cs="Arial"/>
              <w:sz w:val="16"/>
              <w:szCs w:val="16"/>
            </w:rPr>
            <w:t>03.2018</w:t>
          </w:r>
        </w:p>
      </w:tc>
      <w:tc>
        <w:tcPr>
          <w:tcW w:w="1114" w:type="dxa"/>
          <w:vAlign w:val="center"/>
        </w:tcPr>
        <w:p w14:paraId="065DCDF1" w14:textId="5F000482" w:rsidR="000D3F83" w:rsidRPr="00FA3A35" w:rsidRDefault="00465ACD" w:rsidP="00474259">
          <w:pPr>
            <w:pStyle w:val="Fuzeile"/>
            <w:ind w:right="-83"/>
            <w:rPr>
              <w:rFonts w:cs="Arial"/>
              <w:sz w:val="16"/>
              <w:szCs w:val="16"/>
            </w:rPr>
          </w:pPr>
          <w:r>
            <w:rPr>
              <w:rFonts w:cs="Arial"/>
              <w:sz w:val="16"/>
              <w:szCs w:val="16"/>
            </w:rPr>
            <w:t>0</w:t>
          </w:r>
          <w:r w:rsidR="00C56800">
            <w:rPr>
              <w:rFonts w:cs="Arial"/>
              <w:sz w:val="16"/>
              <w:szCs w:val="16"/>
            </w:rPr>
            <w:t>9</w:t>
          </w:r>
          <w:r>
            <w:rPr>
              <w:rFonts w:cs="Arial"/>
              <w:sz w:val="16"/>
              <w:szCs w:val="16"/>
            </w:rPr>
            <w:t>.2019</w:t>
          </w:r>
        </w:p>
      </w:tc>
      <w:tc>
        <w:tcPr>
          <w:tcW w:w="1114" w:type="dxa"/>
          <w:vAlign w:val="center"/>
        </w:tcPr>
        <w:p w14:paraId="57B2387E" w14:textId="2EB35EE4" w:rsidR="000D3F83" w:rsidRPr="00FA3A35" w:rsidRDefault="00433DD2" w:rsidP="00474259">
          <w:pPr>
            <w:pStyle w:val="Fuzeile"/>
            <w:ind w:right="-83"/>
            <w:rPr>
              <w:rFonts w:cs="Arial"/>
              <w:sz w:val="16"/>
              <w:szCs w:val="16"/>
            </w:rPr>
          </w:pPr>
          <w:r>
            <w:rPr>
              <w:rFonts w:cs="Arial"/>
              <w:sz w:val="16"/>
              <w:szCs w:val="16"/>
            </w:rPr>
            <w:t>12.2020</w:t>
          </w:r>
        </w:p>
      </w:tc>
      <w:tc>
        <w:tcPr>
          <w:tcW w:w="1114" w:type="dxa"/>
          <w:vAlign w:val="center"/>
        </w:tcPr>
        <w:p w14:paraId="6B2E1E7A" w14:textId="6CA8A7FA" w:rsidR="000D3F83" w:rsidRPr="00FA3A35" w:rsidRDefault="00323325" w:rsidP="00474259">
          <w:pPr>
            <w:pStyle w:val="Fuzeile"/>
            <w:ind w:right="-83"/>
            <w:rPr>
              <w:rFonts w:cs="Arial"/>
              <w:sz w:val="16"/>
              <w:szCs w:val="16"/>
            </w:rPr>
          </w:pPr>
          <w:r>
            <w:rPr>
              <w:rFonts w:cs="Arial"/>
              <w:sz w:val="16"/>
              <w:szCs w:val="16"/>
            </w:rPr>
            <w:t>04.2021</w:t>
          </w:r>
        </w:p>
      </w:tc>
      <w:tc>
        <w:tcPr>
          <w:tcW w:w="1114" w:type="dxa"/>
          <w:vAlign w:val="center"/>
        </w:tcPr>
        <w:p w14:paraId="63540CF4" w14:textId="77777777" w:rsidR="000D3F83" w:rsidRPr="00FA3A35" w:rsidRDefault="000D3F83" w:rsidP="00474259">
          <w:pPr>
            <w:pStyle w:val="Fuzeile"/>
            <w:ind w:right="-83"/>
            <w:rPr>
              <w:rFonts w:cs="Arial"/>
              <w:sz w:val="16"/>
              <w:szCs w:val="16"/>
            </w:rPr>
          </w:pPr>
        </w:p>
      </w:tc>
      <w:tc>
        <w:tcPr>
          <w:tcW w:w="1114" w:type="dxa"/>
          <w:vAlign w:val="center"/>
        </w:tcPr>
        <w:p w14:paraId="2A81D65E" w14:textId="77777777" w:rsidR="000D3F83" w:rsidRPr="00FA3A35" w:rsidRDefault="000D3F83" w:rsidP="00474259">
          <w:pPr>
            <w:pStyle w:val="Fuzeile"/>
            <w:ind w:right="-83"/>
            <w:rPr>
              <w:rFonts w:cs="Arial"/>
              <w:sz w:val="16"/>
              <w:szCs w:val="16"/>
            </w:rPr>
          </w:pPr>
          <w:r w:rsidRPr="00FA3A35">
            <w:rPr>
              <w:rFonts w:cs="Arial"/>
              <w:sz w:val="16"/>
              <w:szCs w:val="16"/>
            </w:rPr>
            <w:t>Gültig ab:</w:t>
          </w:r>
        </w:p>
      </w:tc>
      <w:tc>
        <w:tcPr>
          <w:tcW w:w="1114" w:type="dxa"/>
          <w:vAlign w:val="center"/>
        </w:tcPr>
        <w:p w14:paraId="520992F0" w14:textId="77777777" w:rsidR="000D3F83" w:rsidRPr="00FA3A35" w:rsidRDefault="000D3F83" w:rsidP="00474259">
          <w:pPr>
            <w:pStyle w:val="Fuzeile"/>
            <w:ind w:right="-83"/>
            <w:rPr>
              <w:rFonts w:cs="Arial"/>
              <w:sz w:val="16"/>
              <w:szCs w:val="16"/>
            </w:rPr>
          </w:pPr>
        </w:p>
      </w:tc>
    </w:tr>
    <w:tr w:rsidR="00433DD2" w:rsidRPr="00FA3A35" w14:paraId="02D8B56F" w14:textId="77777777" w:rsidTr="006618CF">
      <w:tc>
        <w:tcPr>
          <w:tcW w:w="1811" w:type="dxa"/>
          <w:vAlign w:val="center"/>
        </w:tcPr>
        <w:p w14:paraId="24599EFE" w14:textId="77777777" w:rsidR="00433DD2" w:rsidRPr="00FA3A35" w:rsidRDefault="00433DD2" w:rsidP="00433DD2">
          <w:pPr>
            <w:pStyle w:val="Fuzeile"/>
            <w:ind w:right="-83"/>
            <w:rPr>
              <w:rFonts w:cs="Arial"/>
              <w:sz w:val="16"/>
              <w:szCs w:val="16"/>
            </w:rPr>
          </w:pPr>
          <w:r w:rsidRPr="00FA3A35">
            <w:rPr>
              <w:rFonts w:cs="Arial"/>
              <w:sz w:val="16"/>
              <w:szCs w:val="16"/>
            </w:rPr>
            <w:t>Erstellt/geändert:</w:t>
          </w:r>
        </w:p>
      </w:tc>
      <w:tc>
        <w:tcPr>
          <w:tcW w:w="1113" w:type="dxa"/>
          <w:vAlign w:val="center"/>
        </w:tcPr>
        <w:p w14:paraId="1D353058" w14:textId="5D15A8E4" w:rsidR="00433DD2" w:rsidRPr="00FA3A35" w:rsidRDefault="00433DD2" w:rsidP="00433DD2">
          <w:pPr>
            <w:pStyle w:val="Fuzeile"/>
            <w:ind w:right="-83"/>
            <w:rPr>
              <w:rFonts w:cs="Arial"/>
              <w:sz w:val="15"/>
              <w:szCs w:val="16"/>
            </w:rPr>
          </w:pPr>
          <w:r w:rsidRPr="00FA3A35">
            <w:rPr>
              <w:rFonts w:cs="Arial"/>
              <w:sz w:val="15"/>
              <w:szCs w:val="16"/>
            </w:rPr>
            <w:t>R.O.E</w:t>
          </w:r>
          <w:r>
            <w:rPr>
              <w:rFonts w:cs="Arial"/>
              <w:sz w:val="15"/>
              <w:szCs w:val="16"/>
            </w:rPr>
            <w:t>.</w:t>
          </w:r>
          <w:r w:rsidRPr="00FA3A35">
            <w:rPr>
              <w:rFonts w:cs="Arial"/>
              <w:sz w:val="15"/>
              <w:szCs w:val="16"/>
            </w:rPr>
            <w:t>GmbH</w:t>
          </w:r>
        </w:p>
      </w:tc>
      <w:tc>
        <w:tcPr>
          <w:tcW w:w="1114" w:type="dxa"/>
          <w:vAlign w:val="center"/>
        </w:tcPr>
        <w:p w14:paraId="1C8C710B" w14:textId="4B24AC6C" w:rsidR="00433DD2" w:rsidRPr="00FA3A35" w:rsidRDefault="00433DD2" w:rsidP="00433DD2">
          <w:pPr>
            <w:pStyle w:val="Fuzeile"/>
            <w:ind w:right="-83"/>
            <w:rPr>
              <w:rFonts w:cs="Arial"/>
              <w:sz w:val="16"/>
              <w:szCs w:val="16"/>
            </w:rPr>
          </w:pPr>
          <w:r w:rsidRPr="00FA3A35">
            <w:rPr>
              <w:rFonts w:cs="Arial"/>
              <w:sz w:val="15"/>
              <w:szCs w:val="16"/>
            </w:rPr>
            <w:t>R.O.E</w:t>
          </w:r>
          <w:r>
            <w:rPr>
              <w:rFonts w:cs="Arial"/>
              <w:sz w:val="15"/>
              <w:szCs w:val="16"/>
            </w:rPr>
            <w:t>.</w:t>
          </w:r>
          <w:r w:rsidRPr="00FA3A35">
            <w:rPr>
              <w:rFonts w:cs="Arial"/>
              <w:sz w:val="15"/>
              <w:szCs w:val="16"/>
            </w:rPr>
            <w:t>GmbH</w:t>
          </w:r>
        </w:p>
      </w:tc>
      <w:tc>
        <w:tcPr>
          <w:tcW w:w="1114" w:type="dxa"/>
          <w:vAlign w:val="center"/>
        </w:tcPr>
        <w:p w14:paraId="52D97B00" w14:textId="07CD1929" w:rsidR="00433DD2" w:rsidRPr="00FA3A35" w:rsidRDefault="00433DD2" w:rsidP="00433DD2">
          <w:pPr>
            <w:pStyle w:val="Fuzeile"/>
            <w:ind w:right="-83"/>
            <w:rPr>
              <w:rFonts w:cs="Arial"/>
              <w:sz w:val="16"/>
              <w:szCs w:val="16"/>
            </w:rPr>
          </w:pPr>
          <w:proofErr w:type="spellStart"/>
          <w:r w:rsidRPr="00FA3A35">
            <w:rPr>
              <w:rFonts w:cs="Arial"/>
              <w:sz w:val="15"/>
              <w:szCs w:val="16"/>
            </w:rPr>
            <w:t>R.O.E</w:t>
          </w:r>
          <w:r>
            <w:rPr>
              <w:rFonts w:cs="Arial"/>
              <w:sz w:val="15"/>
              <w:szCs w:val="16"/>
            </w:rPr>
            <w:t>.</w:t>
          </w:r>
          <w:r w:rsidRPr="00FA3A35">
            <w:rPr>
              <w:rFonts w:cs="Arial"/>
              <w:sz w:val="15"/>
              <w:szCs w:val="16"/>
            </w:rPr>
            <w:t>GmbH</w:t>
          </w:r>
          <w:proofErr w:type="spellEnd"/>
        </w:p>
      </w:tc>
      <w:tc>
        <w:tcPr>
          <w:tcW w:w="1114" w:type="dxa"/>
          <w:vAlign w:val="center"/>
        </w:tcPr>
        <w:p w14:paraId="7C509E31" w14:textId="3FF4366C" w:rsidR="00433DD2" w:rsidRPr="00FA3A35" w:rsidRDefault="00323325" w:rsidP="00433DD2">
          <w:pPr>
            <w:pStyle w:val="Fuzeile"/>
            <w:ind w:right="-83"/>
            <w:rPr>
              <w:rFonts w:cs="Arial"/>
              <w:sz w:val="16"/>
              <w:szCs w:val="16"/>
            </w:rPr>
          </w:pPr>
          <w:proofErr w:type="spellStart"/>
          <w:r>
            <w:rPr>
              <w:rFonts w:cs="Arial"/>
              <w:sz w:val="15"/>
              <w:szCs w:val="16"/>
            </w:rPr>
            <w:t>R</w:t>
          </w:r>
          <w:r w:rsidRPr="00FA3A35">
            <w:rPr>
              <w:rFonts w:cs="Arial"/>
              <w:sz w:val="15"/>
              <w:szCs w:val="16"/>
            </w:rPr>
            <w:t>.O.E</w:t>
          </w:r>
          <w:r>
            <w:rPr>
              <w:rFonts w:cs="Arial"/>
              <w:sz w:val="15"/>
              <w:szCs w:val="16"/>
            </w:rPr>
            <w:t>.</w:t>
          </w:r>
          <w:r w:rsidRPr="00FA3A35">
            <w:rPr>
              <w:rFonts w:cs="Arial"/>
              <w:sz w:val="15"/>
              <w:szCs w:val="16"/>
            </w:rPr>
            <w:t>GmbH</w:t>
          </w:r>
          <w:proofErr w:type="spellEnd"/>
        </w:p>
      </w:tc>
      <w:tc>
        <w:tcPr>
          <w:tcW w:w="1114" w:type="dxa"/>
          <w:vAlign w:val="center"/>
        </w:tcPr>
        <w:p w14:paraId="3BD1ACEC" w14:textId="77777777" w:rsidR="00433DD2" w:rsidRPr="00FA3A35" w:rsidRDefault="00433DD2" w:rsidP="00433DD2">
          <w:pPr>
            <w:pStyle w:val="Fuzeile"/>
            <w:ind w:right="-83"/>
            <w:rPr>
              <w:rFonts w:cs="Arial"/>
              <w:sz w:val="16"/>
              <w:szCs w:val="16"/>
            </w:rPr>
          </w:pPr>
        </w:p>
      </w:tc>
      <w:tc>
        <w:tcPr>
          <w:tcW w:w="1114" w:type="dxa"/>
          <w:shd w:val="clear" w:color="auto" w:fill="auto"/>
          <w:vAlign w:val="center"/>
        </w:tcPr>
        <w:p w14:paraId="75E39B98" w14:textId="77777777" w:rsidR="00433DD2" w:rsidRPr="00FA3A35" w:rsidRDefault="00433DD2" w:rsidP="00433DD2">
          <w:pPr>
            <w:pStyle w:val="Fuzeile"/>
            <w:ind w:right="-83"/>
            <w:rPr>
              <w:rFonts w:cs="Arial"/>
              <w:sz w:val="16"/>
              <w:szCs w:val="16"/>
            </w:rPr>
          </w:pPr>
        </w:p>
      </w:tc>
      <w:tc>
        <w:tcPr>
          <w:tcW w:w="1114" w:type="dxa"/>
          <w:vAlign w:val="center"/>
        </w:tcPr>
        <w:p w14:paraId="37D50976" w14:textId="77777777" w:rsidR="00433DD2" w:rsidRPr="00FA3A35" w:rsidRDefault="00433DD2" w:rsidP="00433DD2">
          <w:pPr>
            <w:pStyle w:val="Fuzeile"/>
            <w:ind w:right="-83"/>
            <w:rPr>
              <w:rFonts w:cs="Arial"/>
              <w:sz w:val="16"/>
              <w:szCs w:val="16"/>
            </w:rPr>
          </w:pPr>
        </w:p>
      </w:tc>
    </w:tr>
    <w:tr w:rsidR="00433DD2" w:rsidRPr="00FA3A35" w14:paraId="6F58E370" w14:textId="77777777" w:rsidTr="006618CF">
      <w:tc>
        <w:tcPr>
          <w:tcW w:w="1811" w:type="dxa"/>
          <w:vAlign w:val="center"/>
        </w:tcPr>
        <w:p w14:paraId="4EB51454" w14:textId="77777777" w:rsidR="00433DD2" w:rsidRPr="00FA3A35" w:rsidRDefault="00433DD2" w:rsidP="00433DD2">
          <w:pPr>
            <w:pStyle w:val="Fuzeile"/>
            <w:ind w:right="-83"/>
            <w:rPr>
              <w:rFonts w:cs="Arial"/>
              <w:sz w:val="16"/>
              <w:szCs w:val="16"/>
            </w:rPr>
          </w:pPr>
          <w:r w:rsidRPr="00FA3A35">
            <w:rPr>
              <w:rFonts w:cs="Arial"/>
              <w:sz w:val="16"/>
              <w:szCs w:val="16"/>
            </w:rPr>
            <w:t>Genehmigt:</w:t>
          </w:r>
        </w:p>
      </w:tc>
      <w:tc>
        <w:tcPr>
          <w:tcW w:w="1113" w:type="dxa"/>
          <w:vAlign w:val="center"/>
        </w:tcPr>
        <w:p w14:paraId="13D9AC6B" w14:textId="77777777" w:rsidR="00433DD2" w:rsidRPr="00FA3A35" w:rsidRDefault="00433DD2" w:rsidP="00433DD2">
          <w:pPr>
            <w:pStyle w:val="Fuzeile"/>
            <w:ind w:right="-83"/>
            <w:rPr>
              <w:rFonts w:cs="Arial"/>
              <w:sz w:val="16"/>
              <w:szCs w:val="16"/>
            </w:rPr>
          </w:pPr>
        </w:p>
      </w:tc>
      <w:tc>
        <w:tcPr>
          <w:tcW w:w="1114" w:type="dxa"/>
          <w:vAlign w:val="center"/>
        </w:tcPr>
        <w:p w14:paraId="20B83D72" w14:textId="77777777" w:rsidR="00433DD2" w:rsidRPr="00FA3A35" w:rsidRDefault="00433DD2" w:rsidP="00433DD2">
          <w:pPr>
            <w:pStyle w:val="Fuzeile"/>
            <w:ind w:right="-83"/>
            <w:rPr>
              <w:rFonts w:cs="Arial"/>
              <w:sz w:val="16"/>
              <w:szCs w:val="16"/>
            </w:rPr>
          </w:pPr>
        </w:p>
      </w:tc>
      <w:tc>
        <w:tcPr>
          <w:tcW w:w="1114" w:type="dxa"/>
          <w:vAlign w:val="center"/>
        </w:tcPr>
        <w:p w14:paraId="5719F735" w14:textId="77777777" w:rsidR="00433DD2" w:rsidRPr="00FA3A35" w:rsidRDefault="00433DD2" w:rsidP="00433DD2">
          <w:pPr>
            <w:pStyle w:val="Fuzeile"/>
            <w:ind w:right="-83"/>
            <w:rPr>
              <w:rFonts w:cs="Arial"/>
              <w:sz w:val="16"/>
              <w:szCs w:val="16"/>
            </w:rPr>
          </w:pPr>
        </w:p>
      </w:tc>
      <w:tc>
        <w:tcPr>
          <w:tcW w:w="1114" w:type="dxa"/>
          <w:vAlign w:val="center"/>
        </w:tcPr>
        <w:p w14:paraId="1A2DA052" w14:textId="77777777" w:rsidR="00433DD2" w:rsidRPr="00FA3A35" w:rsidRDefault="00433DD2" w:rsidP="00433DD2">
          <w:pPr>
            <w:pStyle w:val="Fuzeile"/>
            <w:ind w:right="-83"/>
            <w:rPr>
              <w:rFonts w:cs="Arial"/>
              <w:sz w:val="16"/>
              <w:szCs w:val="16"/>
            </w:rPr>
          </w:pPr>
        </w:p>
      </w:tc>
      <w:tc>
        <w:tcPr>
          <w:tcW w:w="1114" w:type="dxa"/>
          <w:vAlign w:val="center"/>
        </w:tcPr>
        <w:p w14:paraId="636C2B20" w14:textId="77777777" w:rsidR="00433DD2" w:rsidRPr="00FA3A35" w:rsidRDefault="00433DD2" w:rsidP="00433DD2">
          <w:pPr>
            <w:pStyle w:val="Fuzeile"/>
            <w:ind w:right="-83"/>
            <w:rPr>
              <w:rFonts w:cs="Arial"/>
              <w:sz w:val="16"/>
              <w:szCs w:val="16"/>
            </w:rPr>
          </w:pPr>
        </w:p>
      </w:tc>
      <w:tc>
        <w:tcPr>
          <w:tcW w:w="1114" w:type="dxa"/>
          <w:shd w:val="clear" w:color="auto" w:fill="auto"/>
          <w:vAlign w:val="center"/>
        </w:tcPr>
        <w:p w14:paraId="47BF5373" w14:textId="77777777" w:rsidR="00433DD2" w:rsidRPr="00FA3A35" w:rsidRDefault="00433DD2" w:rsidP="00433DD2">
          <w:pPr>
            <w:pStyle w:val="Fuzeile"/>
            <w:ind w:right="-83"/>
            <w:rPr>
              <w:rFonts w:cs="Arial"/>
              <w:sz w:val="16"/>
              <w:szCs w:val="16"/>
            </w:rPr>
          </w:pPr>
        </w:p>
      </w:tc>
      <w:tc>
        <w:tcPr>
          <w:tcW w:w="1114" w:type="dxa"/>
          <w:vAlign w:val="center"/>
        </w:tcPr>
        <w:p w14:paraId="11F1410A" w14:textId="77777777" w:rsidR="00433DD2" w:rsidRPr="00FA3A35" w:rsidRDefault="00433DD2" w:rsidP="00433DD2">
          <w:pPr>
            <w:pStyle w:val="Fuzeile"/>
            <w:ind w:right="-83"/>
            <w:rPr>
              <w:rFonts w:cs="Arial"/>
              <w:sz w:val="16"/>
              <w:szCs w:val="16"/>
            </w:rPr>
          </w:pPr>
        </w:p>
      </w:tc>
    </w:tr>
  </w:tbl>
  <w:p w14:paraId="401A327A" w14:textId="77777777" w:rsidR="002A7BDE" w:rsidRPr="00FA3A35" w:rsidRDefault="000D3F83" w:rsidP="006618CF">
    <w:pPr>
      <w:spacing w:before="60"/>
      <w:rPr>
        <w:rFonts w:cs="Arial"/>
      </w:rPr>
    </w:pPr>
    <w:r w:rsidRPr="00FA3A35">
      <w:rPr>
        <w:rFonts w:cs="Arial"/>
        <w:b/>
        <w:sz w:val="16"/>
      </w:rPr>
      <w:t xml:space="preserve">© Copyright </w:t>
    </w:r>
    <w:r w:rsidR="00C97BCF" w:rsidRPr="00FA3A35">
      <w:rPr>
        <w:rFonts w:cs="Arial"/>
        <w:b/>
        <w:sz w:val="16"/>
      </w:rPr>
      <w:t>R.O.E. Online GmbH</w:t>
    </w:r>
    <w:r w:rsidRPr="00FA3A35">
      <w:rPr>
        <w:rFonts w:cs="Arial"/>
        <w:b/>
        <w:sz w:val="16"/>
      </w:rPr>
      <w:t>,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A6442" w14:textId="77777777" w:rsidR="00236911" w:rsidRDefault="00236911">
      <w:r>
        <w:separator/>
      </w:r>
    </w:p>
  </w:footnote>
  <w:footnote w:type="continuationSeparator" w:id="0">
    <w:p w14:paraId="2B6ABFBC" w14:textId="77777777" w:rsidR="00236911" w:rsidRDefault="0023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5026"/>
      <w:gridCol w:w="2236"/>
    </w:tblGrid>
    <w:tr w:rsidR="000D3F83" w:rsidRPr="00A866DC" w14:paraId="5E7C5E53" w14:textId="77777777" w:rsidTr="006618CF">
      <w:trPr>
        <w:trHeight w:val="841"/>
      </w:trPr>
      <w:tc>
        <w:tcPr>
          <w:tcW w:w="2346" w:type="dxa"/>
          <w:vAlign w:val="center"/>
        </w:tcPr>
        <w:p w14:paraId="41ED86DD" w14:textId="57BE902C" w:rsidR="000D3F83" w:rsidRPr="00A866DC" w:rsidRDefault="005A4B74" w:rsidP="00784E2E">
          <w:pPr>
            <w:pStyle w:val="MittleresRaster21"/>
            <w:jc w:val="center"/>
            <w:rPr>
              <w:rFonts w:ascii="Arial" w:hAnsi="Arial" w:cs="Arial"/>
              <w:sz w:val="18"/>
            </w:rPr>
          </w:pPr>
          <w:r>
            <w:rPr>
              <w:rFonts w:ascii="Arial" w:hAnsi="Arial" w:cs="Arial"/>
              <w:noProof/>
              <w:sz w:val="18"/>
            </w:rPr>
            <w:drawing>
              <wp:inline distT="0" distB="0" distL="0" distR="0" wp14:anchorId="44ADD71A" wp14:editId="77025A15">
                <wp:extent cx="639551" cy="627380"/>
                <wp:effectExtent l="0" t="0" r="8255" b="1270"/>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639657" cy="627484"/>
                        </a:xfrm>
                        <a:prstGeom prst="rect">
                          <a:avLst/>
                        </a:prstGeom>
                      </pic:spPr>
                    </pic:pic>
                  </a:graphicData>
                </a:graphic>
              </wp:inline>
            </w:drawing>
          </w:r>
        </w:p>
      </w:tc>
      <w:tc>
        <w:tcPr>
          <w:tcW w:w="5026"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36" w:type="dxa"/>
          <w:vAlign w:val="center"/>
        </w:tcPr>
        <w:p w14:paraId="66F84BAF" w14:textId="77777777" w:rsidR="000D3F83" w:rsidRPr="00A866DC" w:rsidRDefault="00C97BCF" w:rsidP="00C97BCF">
          <w:pPr>
            <w:jc w:val="center"/>
            <w:rPr>
              <w:rFonts w:cs="Arial"/>
            </w:rPr>
          </w:pPr>
          <w:r w:rsidRPr="00A866DC">
            <w:rPr>
              <w:rFonts w:cs="Arial"/>
              <w:noProof/>
            </w:rPr>
            <w:t>Firmenlogo</w:t>
          </w:r>
        </w:p>
      </w:tc>
    </w:tr>
    <w:tr w:rsidR="000D3F83" w:rsidRPr="00BC2EF4" w14:paraId="592200E8" w14:textId="77777777" w:rsidTr="006618CF">
      <w:trPr>
        <w:trHeight w:val="832"/>
      </w:trPr>
      <w:tc>
        <w:tcPr>
          <w:tcW w:w="2346" w:type="dxa"/>
          <w:vAlign w:val="center"/>
        </w:tcPr>
        <w:p w14:paraId="643B899D" w14:textId="1B3AD797" w:rsidR="000D3F83" w:rsidRPr="00BC2EF4" w:rsidRDefault="000D3F83" w:rsidP="00474259">
          <w:pPr>
            <w:jc w:val="center"/>
            <w:rPr>
              <w:rFonts w:cs="Arial"/>
            </w:rPr>
          </w:pPr>
          <w:r w:rsidRPr="00BC2EF4">
            <w:rPr>
              <w:rFonts w:cs="Arial"/>
              <w:b/>
            </w:rPr>
            <w:t>UW_KU_</w:t>
          </w:r>
          <w:r w:rsidR="002058F1">
            <w:rPr>
              <w:rFonts w:cs="Arial"/>
              <w:b/>
            </w:rPr>
            <w:t>1</w:t>
          </w:r>
          <w:r w:rsidR="00713E4A">
            <w:rPr>
              <w:rFonts w:cs="Arial"/>
              <w:b/>
            </w:rPr>
            <w:t>1</w:t>
          </w:r>
        </w:p>
      </w:tc>
      <w:tc>
        <w:tcPr>
          <w:tcW w:w="5026" w:type="dxa"/>
          <w:vAlign w:val="center"/>
        </w:tcPr>
        <w:p w14:paraId="642B8D80" w14:textId="77777777" w:rsidR="00713E4A" w:rsidRPr="00713E4A" w:rsidRDefault="00713E4A" w:rsidP="00713E4A">
          <w:pPr>
            <w:jc w:val="center"/>
            <w:rPr>
              <w:rFonts w:cs="Arial"/>
              <w:sz w:val="28"/>
              <w:szCs w:val="28"/>
            </w:rPr>
          </w:pPr>
          <w:r w:rsidRPr="00713E4A">
            <w:rPr>
              <w:rFonts w:cs="Arial"/>
              <w:sz w:val="28"/>
              <w:szCs w:val="28"/>
            </w:rPr>
            <w:t xml:space="preserve">Zugänglichkeit von </w:t>
          </w:r>
        </w:p>
        <w:p w14:paraId="5B1B48B7" w14:textId="3B6D6990" w:rsidR="000D3F83" w:rsidRPr="00BC2EF4" w:rsidRDefault="00713E4A" w:rsidP="00713E4A">
          <w:pPr>
            <w:jc w:val="center"/>
            <w:rPr>
              <w:rFonts w:cs="Arial"/>
              <w:sz w:val="28"/>
              <w:szCs w:val="28"/>
            </w:rPr>
          </w:pPr>
          <w:r w:rsidRPr="00713E4A">
            <w:rPr>
              <w:rFonts w:cs="Arial"/>
              <w:sz w:val="28"/>
              <w:szCs w:val="28"/>
            </w:rPr>
            <w:t>Schaltgerätekombinationen</w:t>
          </w:r>
        </w:p>
      </w:tc>
      <w:tc>
        <w:tcPr>
          <w:tcW w:w="2236" w:type="dxa"/>
          <w:vAlign w:val="center"/>
        </w:tcPr>
        <w:p w14:paraId="40C177E9" w14:textId="77777777" w:rsidR="000D3F83" w:rsidRPr="00BC2EF4" w:rsidRDefault="000D3F83" w:rsidP="00474259">
          <w:pPr>
            <w:jc w:val="center"/>
            <w:rPr>
              <w:rFonts w:cs="Arial"/>
            </w:rPr>
          </w:pPr>
        </w:p>
      </w:tc>
    </w:tr>
  </w:tbl>
  <w:p w14:paraId="0889A744" w14:textId="77777777" w:rsidR="002A7BDE" w:rsidRPr="000D3F83" w:rsidRDefault="002A7BDE" w:rsidP="000D3F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01D0F"/>
    <w:multiLevelType w:val="hybridMultilevel"/>
    <w:tmpl w:val="0B70461C"/>
    <w:lvl w:ilvl="0" w:tplc="04070017">
      <w:start w:val="1"/>
      <w:numFmt w:val="lowerLetter"/>
      <w:lvlText w:val="%1)"/>
      <w:lvlJc w:val="left"/>
      <w:pPr>
        <w:ind w:left="360"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 w15:restartNumberingAfterBreak="0">
    <w:nsid w:val="7B041321"/>
    <w:multiLevelType w:val="hybridMultilevel"/>
    <w:tmpl w:val="32369360"/>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2" w15:restartNumberingAfterBreak="0">
    <w:nsid w:val="7D0A4EC8"/>
    <w:multiLevelType w:val="hybridMultilevel"/>
    <w:tmpl w:val="0AAEF3BE"/>
    <w:lvl w:ilvl="0" w:tplc="04070001">
      <w:start w:val="1"/>
      <w:numFmt w:val="bullet"/>
      <w:lvlText w:val=""/>
      <w:lvlJc w:val="left"/>
      <w:pPr>
        <w:ind w:left="280" w:hanging="360"/>
      </w:pPr>
      <w:rPr>
        <w:rFonts w:ascii="Symbol" w:hAnsi="Symbol" w:hint="default"/>
      </w:rPr>
    </w:lvl>
    <w:lvl w:ilvl="1" w:tplc="04070003" w:tentative="1">
      <w:start w:val="1"/>
      <w:numFmt w:val="bullet"/>
      <w:lvlText w:val="o"/>
      <w:lvlJc w:val="left"/>
      <w:pPr>
        <w:ind w:left="1000" w:hanging="360"/>
      </w:pPr>
      <w:rPr>
        <w:rFonts w:ascii="Courier New" w:hAnsi="Courier New" w:cs="Courier New" w:hint="default"/>
      </w:rPr>
    </w:lvl>
    <w:lvl w:ilvl="2" w:tplc="04070005" w:tentative="1">
      <w:start w:val="1"/>
      <w:numFmt w:val="bullet"/>
      <w:lvlText w:val=""/>
      <w:lvlJc w:val="left"/>
      <w:pPr>
        <w:ind w:left="1720" w:hanging="360"/>
      </w:pPr>
      <w:rPr>
        <w:rFonts w:ascii="Wingdings" w:hAnsi="Wingdings" w:hint="default"/>
      </w:rPr>
    </w:lvl>
    <w:lvl w:ilvl="3" w:tplc="04070001" w:tentative="1">
      <w:start w:val="1"/>
      <w:numFmt w:val="bullet"/>
      <w:lvlText w:val=""/>
      <w:lvlJc w:val="left"/>
      <w:pPr>
        <w:ind w:left="2440" w:hanging="360"/>
      </w:pPr>
      <w:rPr>
        <w:rFonts w:ascii="Symbol" w:hAnsi="Symbol" w:hint="default"/>
      </w:rPr>
    </w:lvl>
    <w:lvl w:ilvl="4" w:tplc="04070003" w:tentative="1">
      <w:start w:val="1"/>
      <w:numFmt w:val="bullet"/>
      <w:lvlText w:val="o"/>
      <w:lvlJc w:val="left"/>
      <w:pPr>
        <w:ind w:left="3160" w:hanging="360"/>
      </w:pPr>
      <w:rPr>
        <w:rFonts w:ascii="Courier New" w:hAnsi="Courier New" w:cs="Courier New" w:hint="default"/>
      </w:rPr>
    </w:lvl>
    <w:lvl w:ilvl="5" w:tplc="04070005" w:tentative="1">
      <w:start w:val="1"/>
      <w:numFmt w:val="bullet"/>
      <w:lvlText w:val=""/>
      <w:lvlJc w:val="left"/>
      <w:pPr>
        <w:ind w:left="3880" w:hanging="360"/>
      </w:pPr>
      <w:rPr>
        <w:rFonts w:ascii="Wingdings" w:hAnsi="Wingdings" w:hint="default"/>
      </w:rPr>
    </w:lvl>
    <w:lvl w:ilvl="6" w:tplc="04070001" w:tentative="1">
      <w:start w:val="1"/>
      <w:numFmt w:val="bullet"/>
      <w:lvlText w:val=""/>
      <w:lvlJc w:val="left"/>
      <w:pPr>
        <w:ind w:left="4600" w:hanging="360"/>
      </w:pPr>
      <w:rPr>
        <w:rFonts w:ascii="Symbol" w:hAnsi="Symbol" w:hint="default"/>
      </w:rPr>
    </w:lvl>
    <w:lvl w:ilvl="7" w:tplc="04070003" w:tentative="1">
      <w:start w:val="1"/>
      <w:numFmt w:val="bullet"/>
      <w:lvlText w:val="o"/>
      <w:lvlJc w:val="left"/>
      <w:pPr>
        <w:ind w:left="5320" w:hanging="360"/>
      </w:pPr>
      <w:rPr>
        <w:rFonts w:ascii="Courier New" w:hAnsi="Courier New" w:cs="Courier New" w:hint="default"/>
      </w:rPr>
    </w:lvl>
    <w:lvl w:ilvl="8" w:tplc="04070005" w:tentative="1">
      <w:start w:val="1"/>
      <w:numFmt w:val="bullet"/>
      <w:lvlText w:val=""/>
      <w:lvlJc w:val="left"/>
      <w:pPr>
        <w:ind w:left="604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677D"/>
    <w:rsid w:val="00007E03"/>
    <w:rsid w:val="00014CCE"/>
    <w:rsid w:val="00027F84"/>
    <w:rsid w:val="00032FDB"/>
    <w:rsid w:val="00033E2A"/>
    <w:rsid w:val="000353F4"/>
    <w:rsid w:val="00040E3F"/>
    <w:rsid w:val="00042C6C"/>
    <w:rsid w:val="00042CD4"/>
    <w:rsid w:val="00043813"/>
    <w:rsid w:val="00045D73"/>
    <w:rsid w:val="00047E60"/>
    <w:rsid w:val="00050B5F"/>
    <w:rsid w:val="00054DE8"/>
    <w:rsid w:val="00060250"/>
    <w:rsid w:val="000630CC"/>
    <w:rsid w:val="0006696B"/>
    <w:rsid w:val="00072F86"/>
    <w:rsid w:val="00073D58"/>
    <w:rsid w:val="00080802"/>
    <w:rsid w:val="00081AF1"/>
    <w:rsid w:val="000857C9"/>
    <w:rsid w:val="000915AB"/>
    <w:rsid w:val="000931DA"/>
    <w:rsid w:val="00093697"/>
    <w:rsid w:val="000A2574"/>
    <w:rsid w:val="000A29B2"/>
    <w:rsid w:val="000A2BDE"/>
    <w:rsid w:val="000A3364"/>
    <w:rsid w:val="000A4040"/>
    <w:rsid w:val="000B0485"/>
    <w:rsid w:val="000B2871"/>
    <w:rsid w:val="000B5D66"/>
    <w:rsid w:val="000B63C1"/>
    <w:rsid w:val="000B728F"/>
    <w:rsid w:val="000C3F52"/>
    <w:rsid w:val="000D0A32"/>
    <w:rsid w:val="000D3F83"/>
    <w:rsid w:val="000E49B4"/>
    <w:rsid w:val="000E719E"/>
    <w:rsid w:val="000F2384"/>
    <w:rsid w:val="00107851"/>
    <w:rsid w:val="00107FF1"/>
    <w:rsid w:val="001122B9"/>
    <w:rsid w:val="00116C94"/>
    <w:rsid w:val="00117926"/>
    <w:rsid w:val="00117AA2"/>
    <w:rsid w:val="0012300F"/>
    <w:rsid w:val="00127406"/>
    <w:rsid w:val="00130BD6"/>
    <w:rsid w:val="001319BE"/>
    <w:rsid w:val="00133B78"/>
    <w:rsid w:val="00137228"/>
    <w:rsid w:val="00141349"/>
    <w:rsid w:val="00141F76"/>
    <w:rsid w:val="001441C9"/>
    <w:rsid w:val="0015462A"/>
    <w:rsid w:val="00156BFD"/>
    <w:rsid w:val="00162022"/>
    <w:rsid w:val="00165E85"/>
    <w:rsid w:val="00167B6C"/>
    <w:rsid w:val="00172154"/>
    <w:rsid w:val="001725EE"/>
    <w:rsid w:val="001824CF"/>
    <w:rsid w:val="0018338F"/>
    <w:rsid w:val="001876DB"/>
    <w:rsid w:val="00192817"/>
    <w:rsid w:val="00195B36"/>
    <w:rsid w:val="00195CB3"/>
    <w:rsid w:val="001A0446"/>
    <w:rsid w:val="001A732A"/>
    <w:rsid w:val="001B09EE"/>
    <w:rsid w:val="001B22A5"/>
    <w:rsid w:val="001B48BE"/>
    <w:rsid w:val="001C2B0E"/>
    <w:rsid w:val="001C3A89"/>
    <w:rsid w:val="001C525F"/>
    <w:rsid w:val="001C6E01"/>
    <w:rsid w:val="001D1C35"/>
    <w:rsid w:val="001D6090"/>
    <w:rsid w:val="001E1FCD"/>
    <w:rsid w:val="001E509A"/>
    <w:rsid w:val="001F3EEB"/>
    <w:rsid w:val="001F4C03"/>
    <w:rsid w:val="002015C7"/>
    <w:rsid w:val="00204E30"/>
    <w:rsid w:val="00205708"/>
    <w:rsid w:val="002058F1"/>
    <w:rsid w:val="00205ED0"/>
    <w:rsid w:val="00217045"/>
    <w:rsid w:val="0023088A"/>
    <w:rsid w:val="0023562E"/>
    <w:rsid w:val="00236911"/>
    <w:rsid w:val="002406C5"/>
    <w:rsid w:val="002414FA"/>
    <w:rsid w:val="0024427B"/>
    <w:rsid w:val="002503CF"/>
    <w:rsid w:val="0025264C"/>
    <w:rsid w:val="00256AC2"/>
    <w:rsid w:val="0026056C"/>
    <w:rsid w:val="00261D61"/>
    <w:rsid w:val="002663EA"/>
    <w:rsid w:val="002678D9"/>
    <w:rsid w:val="00267971"/>
    <w:rsid w:val="002752FD"/>
    <w:rsid w:val="00283128"/>
    <w:rsid w:val="00285741"/>
    <w:rsid w:val="0028586B"/>
    <w:rsid w:val="00290A38"/>
    <w:rsid w:val="00292EF3"/>
    <w:rsid w:val="002A7BDE"/>
    <w:rsid w:val="002B486C"/>
    <w:rsid w:val="002B5C14"/>
    <w:rsid w:val="002C6960"/>
    <w:rsid w:val="002C7232"/>
    <w:rsid w:val="002D1D3A"/>
    <w:rsid w:val="002D36E6"/>
    <w:rsid w:val="002E0C47"/>
    <w:rsid w:val="002E1457"/>
    <w:rsid w:val="002E1591"/>
    <w:rsid w:val="002E71DE"/>
    <w:rsid w:val="002F04E7"/>
    <w:rsid w:val="002F2217"/>
    <w:rsid w:val="002F5C00"/>
    <w:rsid w:val="0030385F"/>
    <w:rsid w:val="00303C23"/>
    <w:rsid w:val="00303CEF"/>
    <w:rsid w:val="00307FF4"/>
    <w:rsid w:val="00310D11"/>
    <w:rsid w:val="00311044"/>
    <w:rsid w:val="00312BA5"/>
    <w:rsid w:val="00320179"/>
    <w:rsid w:val="00323325"/>
    <w:rsid w:val="00331B49"/>
    <w:rsid w:val="00334624"/>
    <w:rsid w:val="00336066"/>
    <w:rsid w:val="00337566"/>
    <w:rsid w:val="00337677"/>
    <w:rsid w:val="00337B00"/>
    <w:rsid w:val="0034095C"/>
    <w:rsid w:val="00341B65"/>
    <w:rsid w:val="003560BF"/>
    <w:rsid w:val="0036642C"/>
    <w:rsid w:val="0037026C"/>
    <w:rsid w:val="00381DA4"/>
    <w:rsid w:val="0038435E"/>
    <w:rsid w:val="00392DF9"/>
    <w:rsid w:val="003A47A4"/>
    <w:rsid w:val="003A5CBA"/>
    <w:rsid w:val="003A766C"/>
    <w:rsid w:val="003B33E3"/>
    <w:rsid w:val="003B39EF"/>
    <w:rsid w:val="003C16CD"/>
    <w:rsid w:val="003C31C2"/>
    <w:rsid w:val="003C370C"/>
    <w:rsid w:val="003C496C"/>
    <w:rsid w:val="003C5641"/>
    <w:rsid w:val="003C7031"/>
    <w:rsid w:val="003D008D"/>
    <w:rsid w:val="003D1BE1"/>
    <w:rsid w:val="003D4C3F"/>
    <w:rsid w:val="003E4173"/>
    <w:rsid w:val="003E60A4"/>
    <w:rsid w:val="003E6CCD"/>
    <w:rsid w:val="003E749D"/>
    <w:rsid w:val="003F147E"/>
    <w:rsid w:val="003F216A"/>
    <w:rsid w:val="004029A6"/>
    <w:rsid w:val="00402EA6"/>
    <w:rsid w:val="00407955"/>
    <w:rsid w:val="00416285"/>
    <w:rsid w:val="00416D6B"/>
    <w:rsid w:val="00423473"/>
    <w:rsid w:val="0042498C"/>
    <w:rsid w:val="00424E9E"/>
    <w:rsid w:val="00427C17"/>
    <w:rsid w:val="004302D1"/>
    <w:rsid w:val="00433DD2"/>
    <w:rsid w:val="00434A4B"/>
    <w:rsid w:val="00446822"/>
    <w:rsid w:val="00456569"/>
    <w:rsid w:val="00457F21"/>
    <w:rsid w:val="004628FC"/>
    <w:rsid w:val="004630E8"/>
    <w:rsid w:val="00465ACD"/>
    <w:rsid w:val="00467344"/>
    <w:rsid w:val="00473B28"/>
    <w:rsid w:val="00474259"/>
    <w:rsid w:val="004875F3"/>
    <w:rsid w:val="00491D35"/>
    <w:rsid w:val="00497325"/>
    <w:rsid w:val="004A1D63"/>
    <w:rsid w:val="004A3198"/>
    <w:rsid w:val="004A6B04"/>
    <w:rsid w:val="004B0FB2"/>
    <w:rsid w:val="004B6F6E"/>
    <w:rsid w:val="004C44CA"/>
    <w:rsid w:val="004D5C8D"/>
    <w:rsid w:val="004D7CFA"/>
    <w:rsid w:val="004E00DC"/>
    <w:rsid w:val="004E0A8F"/>
    <w:rsid w:val="004E7494"/>
    <w:rsid w:val="004F1600"/>
    <w:rsid w:val="004F28D8"/>
    <w:rsid w:val="004F4F0C"/>
    <w:rsid w:val="00500585"/>
    <w:rsid w:val="0050558F"/>
    <w:rsid w:val="0050674D"/>
    <w:rsid w:val="00507717"/>
    <w:rsid w:val="0051077A"/>
    <w:rsid w:val="00521FA9"/>
    <w:rsid w:val="0052250B"/>
    <w:rsid w:val="005245CC"/>
    <w:rsid w:val="00527AAE"/>
    <w:rsid w:val="00530673"/>
    <w:rsid w:val="00531F9F"/>
    <w:rsid w:val="00537549"/>
    <w:rsid w:val="00537F44"/>
    <w:rsid w:val="005450C3"/>
    <w:rsid w:val="005545FD"/>
    <w:rsid w:val="00567EC3"/>
    <w:rsid w:val="00575529"/>
    <w:rsid w:val="0058031B"/>
    <w:rsid w:val="00592FA3"/>
    <w:rsid w:val="005A3597"/>
    <w:rsid w:val="005A4B74"/>
    <w:rsid w:val="005B470F"/>
    <w:rsid w:val="005C2CBA"/>
    <w:rsid w:val="005D6A3B"/>
    <w:rsid w:val="005D6FD5"/>
    <w:rsid w:val="005D7A8F"/>
    <w:rsid w:val="005E092B"/>
    <w:rsid w:val="005E0C09"/>
    <w:rsid w:val="005E60FE"/>
    <w:rsid w:val="005F0730"/>
    <w:rsid w:val="005F2262"/>
    <w:rsid w:val="005F4D8C"/>
    <w:rsid w:val="005F4E81"/>
    <w:rsid w:val="00600B37"/>
    <w:rsid w:val="00601F09"/>
    <w:rsid w:val="00615F8A"/>
    <w:rsid w:val="00616683"/>
    <w:rsid w:val="00617FE6"/>
    <w:rsid w:val="006207B4"/>
    <w:rsid w:val="00625C19"/>
    <w:rsid w:val="006262F6"/>
    <w:rsid w:val="0062688B"/>
    <w:rsid w:val="00633E79"/>
    <w:rsid w:val="0063544C"/>
    <w:rsid w:val="00650470"/>
    <w:rsid w:val="0065056D"/>
    <w:rsid w:val="0065754A"/>
    <w:rsid w:val="006614D5"/>
    <w:rsid w:val="006618CF"/>
    <w:rsid w:val="00666DE2"/>
    <w:rsid w:val="00675494"/>
    <w:rsid w:val="006775DC"/>
    <w:rsid w:val="00686CBC"/>
    <w:rsid w:val="00690D18"/>
    <w:rsid w:val="00694B02"/>
    <w:rsid w:val="006B7BE6"/>
    <w:rsid w:val="006C31D6"/>
    <w:rsid w:val="006D0820"/>
    <w:rsid w:val="006D0B5D"/>
    <w:rsid w:val="006D6C64"/>
    <w:rsid w:val="006E0D57"/>
    <w:rsid w:val="006E12F0"/>
    <w:rsid w:val="006E410E"/>
    <w:rsid w:val="006E468E"/>
    <w:rsid w:val="006E6A65"/>
    <w:rsid w:val="006F0E69"/>
    <w:rsid w:val="006F2CAA"/>
    <w:rsid w:val="00700677"/>
    <w:rsid w:val="00712A05"/>
    <w:rsid w:val="00713E4A"/>
    <w:rsid w:val="00716634"/>
    <w:rsid w:val="00717452"/>
    <w:rsid w:val="007221CB"/>
    <w:rsid w:val="00724074"/>
    <w:rsid w:val="00726559"/>
    <w:rsid w:val="00743FCC"/>
    <w:rsid w:val="00746D1A"/>
    <w:rsid w:val="00752650"/>
    <w:rsid w:val="00754F27"/>
    <w:rsid w:val="00757336"/>
    <w:rsid w:val="00773149"/>
    <w:rsid w:val="00773E6E"/>
    <w:rsid w:val="00781915"/>
    <w:rsid w:val="00782F69"/>
    <w:rsid w:val="00784E2E"/>
    <w:rsid w:val="00787B06"/>
    <w:rsid w:val="00792272"/>
    <w:rsid w:val="00795256"/>
    <w:rsid w:val="00797AB6"/>
    <w:rsid w:val="00797FEE"/>
    <w:rsid w:val="007A1F0C"/>
    <w:rsid w:val="007A3F0B"/>
    <w:rsid w:val="007A4B38"/>
    <w:rsid w:val="007A74D5"/>
    <w:rsid w:val="007B05BA"/>
    <w:rsid w:val="007B219D"/>
    <w:rsid w:val="007B3CAF"/>
    <w:rsid w:val="007C0CB6"/>
    <w:rsid w:val="007C3AAD"/>
    <w:rsid w:val="007D04FD"/>
    <w:rsid w:val="007D43AB"/>
    <w:rsid w:val="007E348A"/>
    <w:rsid w:val="007E3510"/>
    <w:rsid w:val="007E543B"/>
    <w:rsid w:val="007E6378"/>
    <w:rsid w:val="007F3BF2"/>
    <w:rsid w:val="007F4293"/>
    <w:rsid w:val="007F58E2"/>
    <w:rsid w:val="007F7A63"/>
    <w:rsid w:val="0080323B"/>
    <w:rsid w:val="008066E5"/>
    <w:rsid w:val="008118EF"/>
    <w:rsid w:val="008119DD"/>
    <w:rsid w:val="00811ED0"/>
    <w:rsid w:val="0081285D"/>
    <w:rsid w:val="00812D72"/>
    <w:rsid w:val="00822C58"/>
    <w:rsid w:val="00827614"/>
    <w:rsid w:val="0083499E"/>
    <w:rsid w:val="00834C22"/>
    <w:rsid w:val="008350F4"/>
    <w:rsid w:val="008352BA"/>
    <w:rsid w:val="008372B7"/>
    <w:rsid w:val="00837BAD"/>
    <w:rsid w:val="00837E37"/>
    <w:rsid w:val="00842447"/>
    <w:rsid w:val="00846D90"/>
    <w:rsid w:val="0085425E"/>
    <w:rsid w:val="00855CA6"/>
    <w:rsid w:val="00855DC9"/>
    <w:rsid w:val="00856444"/>
    <w:rsid w:val="008575D0"/>
    <w:rsid w:val="00861BBB"/>
    <w:rsid w:val="00862CF0"/>
    <w:rsid w:val="00874BE6"/>
    <w:rsid w:val="00874C81"/>
    <w:rsid w:val="008760A6"/>
    <w:rsid w:val="008804B4"/>
    <w:rsid w:val="00882F9F"/>
    <w:rsid w:val="008856C2"/>
    <w:rsid w:val="008862EB"/>
    <w:rsid w:val="0089014B"/>
    <w:rsid w:val="0089137C"/>
    <w:rsid w:val="008931EB"/>
    <w:rsid w:val="008A33CC"/>
    <w:rsid w:val="008A5910"/>
    <w:rsid w:val="008B23A9"/>
    <w:rsid w:val="008B325F"/>
    <w:rsid w:val="008B3859"/>
    <w:rsid w:val="008B4CE3"/>
    <w:rsid w:val="008E2D70"/>
    <w:rsid w:val="008E3078"/>
    <w:rsid w:val="008E50FC"/>
    <w:rsid w:val="008E6A21"/>
    <w:rsid w:val="008E6AEC"/>
    <w:rsid w:val="008F2B7A"/>
    <w:rsid w:val="008F675F"/>
    <w:rsid w:val="008F7FAC"/>
    <w:rsid w:val="00900CD9"/>
    <w:rsid w:val="009079BE"/>
    <w:rsid w:val="009150F8"/>
    <w:rsid w:val="009165C2"/>
    <w:rsid w:val="00916B2F"/>
    <w:rsid w:val="00923E3D"/>
    <w:rsid w:val="00924D11"/>
    <w:rsid w:val="009332A9"/>
    <w:rsid w:val="009341F3"/>
    <w:rsid w:val="0093476C"/>
    <w:rsid w:val="00936359"/>
    <w:rsid w:val="0094768E"/>
    <w:rsid w:val="00950A9C"/>
    <w:rsid w:val="009513D6"/>
    <w:rsid w:val="0095259F"/>
    <w:rsid w:val="009536A0"/>
    <w:rsid w:val="009606B2"/>
    <w:rsid w:val="00966214"/>
    <w:rsid w:val="009712F5"/>
    <w:rsid w:val="00974928"/>
    <w:rsid w:val="00977F63"/>
    <w:rsid w:val="009809F8"/>
    <w:rsid w:val="0099071E"/>
    <w:rsid w:val="0099151C"/>
    <w:rsid w:val="00994EEC"/>
    <w:rsid w:val="009964C6"/>
    <w:rsid w:val="00996AA4"/>
    <w:rsid w:val="009970F1"/>
    <w:rsid w:val="009A1EA9"/>
    <w:rsid w:val="009A37B2"/>
    <w:rsid w:val="009A3E8D"/>
    <w:rsid w:val="009B14E3"/>
    <w:rsid w:val="009B4674"/>
    <w:rsid w:val="009B5BB1"/>
    <w:rsid w:val="009B64A6"/>
    <w:rsid w:val="009C3C8F"/>
    <w:rsid w:val="009C5B3A"/>
    <w:rsid w:val="009E030A"/>
    <w:rsid w:val="009E0DA2"/>
    <w:rsid w:val="009E503E"/>
    <w:rsid w:val="009F49DF"/>
    <w:rsid w:val="00A03648"/>
    <w:rsid w:val="00A0422A"/>
    <w:rsid w:val="00A16C64"/>
    <w:rsid w:val="00A23AA2"/>
    <w:rsid w:val="00A23B10"/>
    <w:rsid w:val="00A25DB9"/>
    <w:rsid w:val="00A277A3"/>
    <w:rsid w:val="00A30CDA"/>
    <w:rsid w:val="00A318EA"/>
    <w:rsid w:val="00A32764"/>
    <w:rsid w:val="00A361B2"/>
    <w:rsid w:val="00A52431"/>
    <w:rsid w:val="00A613D4"/>
    <w:rsid w:val="00A72C0D"/>
    <w:rsid w:val="00A74C06"/>
    <w:rsid w:val="00A7661F"/>
    <w:rsid w:val="00A861B5"/>
    <w:rsid w:val="00A86382"/>
    <w:rsid w:val="00A866DC"/>
    <w:rsid w:val="00A909C9"/>
    <w:rsid w:val="00A9306E"/>
    <w:rsid w:val="00AA33F2"/>
    <w:rsid w:val="00AA67D9"/>
    <w:rsid w:val="00AB21AF"/>
    <w:rsid w:val="00AB24B8"/>
    <w:rsid w:val="00AC3DB8"/>
    <w:rsid w:val="00AD2D69"/>
    <w:rsid w:val="00AD4FA1"/>
    <w:rsid w:val="00AE205E"/>
    <w:rsid w:val="00AE70E3"/>
    <w:rsid w:val="00AF2FBA"/>
    <w:rsid w:val="00AF4DD5"/>
    <w:rsid w:val="00B03014"/>
    <w:rsid w:val="00B1047F"/>
    <w:rsid w:val="00B15B95"/>
    <w:rsid w:val="00B167FC"/>
    <w:rsid w:val="00B178D2"/>
    <w:rsid w:val="00B260AF"/>
    <w:rsid w:val="00B40A66"/>
    <w:rsid w:val="00B41813"/>
    <w:rsid w:val="00B41A77"/>
    <w:rsid w:val="00B458FB"/>
    <w:rsid w:val="00B460AB"/>
    <w:rsid w:val="00B519D3"/>
    <w:rsid w:val="00B5318B"/>
    <w:rsid w:val="00B54173"/>
    <w:rsid w:val="00B541FC"/>
    <w:rsid w:val="00B54223"/>
    <w:rsid w:val="00B55DFA"/>
    <w:rsid w:val="00B63509"/>
    <w:rsid w:val="00B67D13"/>
    <w:rsid w:val="00B75CE1"/>
    <w:rsid w:val="00B764C8"/>
    <w:rsid w:val="00B84AFB"/>
    <w:rsid w:val="00B84C97"/>
    <w:rsid w:val="00B85E03"/>
    <w:rsid w:val="00BB250E"/>
    <w:rsid w:val="00BB5B2B"/>
    <w:rsid w:val="00BC2EF4"/>
    <w:rsid w:val="00BC5E35"/>
    <w:rsid w:val="00BD06FE"/>
    <w:rsid w:val="00BE3C39"/>
    <w:rsid w:val="00BF1F48"/>
    <w:rsid w:val="00BF4E9B"/>
    <w:rsid w:val="00BF6448"/>
    <w:rsid w:val="00BF6CAD"/>
    <w:rsid w:val="00C02836"/>
    <w:rsid w:val="00C10E74"/>
    <w:rsid w:val="00C11825"/>
    <w:rsid w:val="00C16FD0"/>
    <w:rsid w:val="00C1760D"/>
    <w:rsid w:val="00C176DD"/>
    <w:rsid w:val="00C233F4"/>
    <w:rsid w:val="00C24532"/>
    <w:rsid w:val="00C33C10"/>
    <w:rsid w:val="00C33D72"/>
    <w:rsid w:val="00C34332"/>
    <w:rsid w:val="00C361C7"/>
    <w:rsid w:val="00C36FBA"/>
    <w:rsid w:val="00C40060"/>
    <w:rsid w:val="00C420A2"/>
    <w:rsid w:val="00C424A9"/>
    <w:rsid w:val="00C441F0"/>
    <w:rsid w:val="00C46F17"/>
    <w:rsid w:val="00C51FD5"/>
    <w:rsid w:val="00C55654"/>
    <w:rsid w:val="00C5623E"/>
    <w:rsid w:val="00C56800"/>
    <w:rsid w:val="00C5747C"/>
    <w:rsid w:val="00C60762"/>
    <w:rsid w:val="00C664F4"/>
    <w:rsid w:val="00C67109"/>
    <w:rsid w:val="00C71616"/>
    <w:rsid w:val="00C725CB"/>
    <w:rsid w:val="00C740C3"/>
    <w:rsid w:val="00C76F57"/>
    <w:rsid w:val="00C90655"/>
    <w:rsid w:val="00C94250"/>
    <w:rsid w:val="00C97BCF"/>
    <w:rsid w:val="00CA1C65"/>
    <w:rsid w:val="00CA6B5A"/>
    <w:rsid w:val="00CA7579"/>
    <w:rsid w:val="00CB2536"/>
    <w:rsid w:val="00CC0B71"/>
    <w:rsid w:val="00CC743C"/>
    <w:rsid w:val="00CD671E"/>
    <w:rsid w:val="00CD6727"/>
    <w:rsid w:val="00CD67CA"/>
    <w:rsid w:val="00CD7C97"/>
    <w:rsid w:val="00CD7EB4"/>
    <w:rsid w:val="00CE495C"/>
    <w:rsid w:val="00CE628D"/>
    <w:rsid w:val="00CE6485"/>
    <w:rsid w:val="00CE7E6B"/>
    <w:rsid w:val="00CF0AB6"/>
    <w:rsid w:val="00CF2ABD"/>
    <w:rsid w:val="00CF2C00"/>
    <w:rsid w:val="00CF4868"/>
    <w:rsid w:val="00CF57D9"/>
    <w:rsid w:val="00CF6574"/>
    <w:rsid w:val="00D0216B"/>
    <w:rsid w:val="00D03DF4"/>
    <w:rsid w:val="00D04E33"/>
    <w:rsid w:val="00D050DE"/>
    <w:rsid w:val="00D06C67"/>
    <w:rsid w:val="00D14014"/>
    <w:rsid w:val="00D15947"/>
    <w:rsid w:val="00D15DA8"/>
    <w:rsid w:val="00D20D7B"/>
    <w:rsid w:val="00D2120B"/>
    <w:rsid w:val="00D339B8"/>
    <w:rsid w:val="00D350D5"/>
    <w:rsid w:val="00D41DD2"/>
    <w:rsid w:val="00D44CE5"/>
    <w:rsid w:val="00D52FF6"/>
    <w:rsid w:val="00D543A8"/>
    <w:rsid w:val="00D55457"/>
    <w:rsid w:val="00D62E1E"/>
    <w:rsid w:val="00D637E9"/>
    <w:rsid w:val="00D705B4"/>
    <w:rsid w:val="00D70AD7"/>
    <w:rsid w:val="00D7240E"/>
    <w:rsid w:val="00D809BC"/>
    <w:rsid w:val="00D81BBB"/>
    <w:rsid w:val="00D833F3"/>
    <w:rsid w:val="00D86C7E"/>
    <w:rsid w:val="00D95850"/>
    <w:rsid w:val="00D967C2"/>
    <w:rsid w:val="00DA4E5E"/>
    <w:rsid w:val="00DA6C96"/>
    <w:rsid w:val="00DB127A"/>
    <w:rsid w:val="00DB16AE"/>
    <w:rsid w:val="00DB4DA2"/>
    <w:rsid w:val="00DC396F"/>
    <w:rsid w:val="00DC6AF3"/>
    <w:rsid w:val="00DD1921"/>
    <w:rsid w:val="00DD2B28"/>
    <w:rsid w:val="00DD5368"/>
    <w:rsid w:val="00DD6181"/>
    <w:rsid w:val="00DE18CE"/>
    <w:rsid w:val="00DE58F5"/>
    <w:rsid w:val="00DE62FC"/>
    <w:rsid w:val="00DE6863"/>
    <w:rsid w:val="00DF0998"/>
    <w:rsid w:val="00E1134E"/>
    <w:rsid w:val="00E174BB"/>
    <w:rsid w:val="00E17EBF"/>
    <w:rsid w:val="00E22259"/>
    <w:rsid w:val="00E23310"/>
    <w:rsid w:val="00E25936"/>
    <w:rsid w:val="00E265F4"/>
    <w:rsid w:val="00E26C5D"/>
    <w:rsid w:val="00E320AE"/>
    <w:rsid w:val="00E35267"/>
    <w:rsid w:val="00E418AB"/>
    <w:rsid w:val="00E420A0"/>
    <w:rsid w:val="00E5198F"/>
    <w:rsid w:val="00E525C7"/>
    <w:rsid w:val="00E53AEB"/>
    <w:rsid w:val="00E55DBE"/>
    <w:rsid w:val="00E570D3"/>
    <w:rsid w:val="00E65F8E"/>
    <w:rsid w:val="00E747CA"/>
    <w:rsid w:val="00E7666A"/>
    <w:rsid w:val="00E81DDB"/>
    <w:rsid w:val="00E84FD2"/>
    <w:rsid w:val="00E85313"/>
    <w:rsid w:val="00E94B8A"/>
    <w:rsid w:val="00E94BCD"/>
    <w:rsid w:val="00EA078F"/>
    <w:rsid w:val="00EA135F"/>
    <w:rsid w:val="00EA1B36"/>
    <w:rsid w:val="00EA216A"/>
    <w:rsid w:val="00EA6087"/>
    <w:rsid w:val="00EB11A4"/>
    <w:rsid w:val="00EB4592"/>
    <w:rsid w:val="00EC172B"/>
    <w:rsid w:val="00EC7378"/>
    <w:rsid w:val="00ED277A"/>
    <w:rsid w:val="00EF0331"/>
    <w:rsid w:val="00F02DAC"/>
    <w:rsid w:val="00F31511"/>
    <w:rsid w:val="00F35089"/>
    <w:rsid w:val="00F36887"/>
    <w:rsid w:val="00F4058E"/>
    <w:rsid w:val="00F408B2"/>
    <w:rsid w:val="00F45DB9"/>
    <w:rsid w:val="00F532DA"/>
    <w:rsid w:val="00F57E17"/>
    <w:rsid w:val="00F62D41"/>
    <w:rsid w:val="00F705DB"/>
    <w:rsid w:val="00F72A9D"/>
    <w:rsid w:val="00F74177"/>
    <w:rsid w:val="00F741E5"/>
    <w:rsid w:val="00F749EB"/>
    <w:rsid w:val="00F7726A"/>
    <w:rsid w:val="00F7734E"/>
    <w:rsid w:val="00F827FC"/>
    <w:rsid w:val="00F85185"/>
    <w:rsid w:val="00F859A0"/>
    <w:rsid w:val="00F87883"/>
    <w:rsid w:val="00F909B4"/>
    <w:rsid w:val="00F90D14"/>
    <w:rsid w:val="00F95041"/>
    <w:rsid w:val="00F9646A"/>
    <w:rsid w:val="00FA1E6B"/>
    <w:rsid w:val="00FA3A35"/>
    <w:rsid w:val="00FB365C"/>
    <w:rsid w:val="00FB4B47"/>
    <w:rsid w:val="00FB7230"/>
    <w:rsid w:val="00FC099F"/>
    <w:rsid w:val="00FC1AFA"/>
    <w:rsid w:val="00FC623E"/>
    <w:rsid w:val="00FD30A0"/>
    <w:rsid w:val="00FD40BD"/>
    <w:rsid w:val="00FD6667"/>
    <w:rsid w:val="00FE1344"/>
    <w:rsid w:val="00FE1D76"/>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E320AE"/>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styleId="Tabellenraster">
    <w:name w:val="Table Grid"/>
    <w:basedOn w:val="NormaleTabelle"/>
    <w:uiPriority w:val="5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E320AE"/>
    <w:rPr>
      <w:rFonts w:ascii="Cambria" w:hAnsi="Cambria"/>
      <w:b/>
      <w:bCs/>
      <w:kern w:val="32"/>
      <w:sz w:val="32"/>
      <w:szCs w:val="32"/>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paragraph" w:styleId="Funotentext">
    <w:name w:val="footnote text"/>
    <w:basedOn w:val="Standard"/>
    <w:link w:val="FunotentextZchn"/>
    <w:uiPriority w:val="99"/>
    <w:semiHidden/>
    <w:unhideWhenUsed/>
    <w:rsid w:val="00F87883"/>
    <w:rPr>
      <w:sz w:val="20"/>
      <w:lang w:val="x-none" w:eastAsia="x-none"/>
    </w:rPr>
  </w:style>
  <w:style w:type="character" w:customStyle="1" w:styleId="FunotentextZchn">
    <w:name w:val="Fußnotentext Zchn"/>
    <w:basedOn w:val="Absatz-Standardschriftart"/>
    <w:link w:val="Funotentext"/>
    <w:uiPriority w:val="99"/>
    <w:semiHidden/>
    <w:rsid w:val="00F87883"/>
    <w:rPr>
      <w:rFonts w:ascii="Arial" w:hAnsi="Arial"/>
      <w:lang w:val="x-none" w:eastAsia="x-none"/>
    </w:rPr>
  </w:style>
  <w:style w:type="character" w:styleId="Funotenzeichen">
    <w:name w:val="footnote reference"/>
    <w:uiPriority w:val="99"/>
    <w:semiHidden/>
    <w:unhideWhenUsed/>
    <w:rsid w:val="00F87883"/>
    <w:rPr>
      <w:vertAlign w:val="superscript"/>
    </w:rPr>
  </w:style>
  <w:style w:type="paragraph" w:customStyle="1" w:styleId="Default">
    <w:name w:val="Default"/>
    <w:rsid w:val="00FA3A35"/>
    <w:pPr>
      <w:autoSpaceDE w:val="0"/>
      <w:autoSpaceDN w:val="0"/>
      <w:adjustRightInd w:val="0"/>
    </w:pPr>
    <w:rPr>
      <w:rFonts w:ascii="Cambria" w:hAnsi="Cambria" w:cs="Cambria"/>
      <w:color w:val="000000"/>
      <w:sz w:val="24"/>
      <w:szCs w:val="24"/>
    </w:rPr>
  </w:style>
  <w:style w:type="paragraph" w:styleId="Beschriftung">
    <w:name w:val="caption"/>
    <w:basedOn w:val="Standard"/>
    <w:next w:val="Standard"/>
    <w:unhideWhenUsed/>
    <w:qFormat/>
    <w:locked/>
    <w:rsid w:val="00FA3A35"/>
    <w:pPr>
      <w:spacing w:after="200"/>
    </w:pPr>
    <w:rPr>
      <w:i/>
      <w:iCs/>
      <w:color w:val="44546A" w:themeColor="text2"/>
      <w:sz w:val="18"/>
      <w:szCs w:val="18"/>
    </w:rPr>
  </w:style>
  <w:style w:type="character" w:styleId="Fett">
    <w:name w:val="Strong"/>
    <w:uiPriority w:val="22"/>
    <w:qFormat/>
    <w:locked/>
    <w:rsid w:val="009712F5"/>
    <w:rPr>
      <w:b/>
      <w:bCs/>
    </w:rPr>
  </w:style>
  <w:style w:type="paragraph" w:customStyle="1" w:styleId="Formatvorlage1">
    <w:name w:val="Formatvorlage1"/>
    <w:basedOn w:val="Titel"/>
    <w:link w:val="Formatvorlage1Zchn"/>
    <w:qFormat/>
    <w:rsid w:val="009712F5"/>
    <w:pPr>
      <w:spacing w:before="240" w:after="60"/>
      <w:contextualSpacing w:val="0"/>
      <w:outlineLvl w:val="0"/>
    </w:pPr>
    <w:rPr>
      <w:rFonts w:ascii="Arial" w:eastAsia="Times New Roman" w:hAnsi="Arial" w:cs="Arial"/>
      <w:b/>
      <w:bCs/>
      <w:spacing w:val="0"/>
      <w:sz w:val="24"/>
      <w:szCs w:val="32"/>
      <w:u w:val="single"/>
    </w:rPr>
  </w:style>
  <w:style w:type="character" w:customStyle="1" w:styleId="Formatvorlage1Zchn">
    <w:name w:val="Formatvorlage1 Zchn"/>
    <w:link w:val="Formatvorlage1"/>
    <w:rsid w:val="009712F5"/>
    <w:rPr>
      <w:rFonts w:ascii="Arial" w:hAnsi="Arial" w:cs="Arial"/>
      <w:b/>
      <w:bCs/>
      <w:kern w:val="28"/>
      <w:sz w:val="24"/>
      <w:szCs w:val="32"/>
      <w:u w:val="single"/>
    </w:rPr>
  </w:style>
  <w:style w:type="paragraph" w:styleId="Titel">
    <w:name w:val="Title"/>
    <w:basedOn w:val="Standard"/>
    <w:next w:val="Standard"/>
    <w:link w:val="TitelZchn"/>
    <w:qFormat/>
    <w:locked/>
    <w:rsid w:val="009712F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712F5"/>
    <w:rPr>
      <w:rFonts w:asciiTheme="majorHAnsi" w:eastAsiaTheme="majorEastAsia" w:hAnsiTheme="majorHAnsi" w:cstheme="majorBidi"/>
      <w:spacing w:val="-10"/>
      <w:kern w:val="28"/>
      <w:sz w:val="56"/>
      <w:szCs w:val="56"/>
    </w:rPr>
  </w:style>
  <w:style w:type="character" w:styleId="Hyperlink">
    <w:name w:val="Hyperlink"/>
    <w:uiPriority w:val="99"/>
    <w:unhideWhenUsed/>
    <w:rsid w:val="006618CF"/>
    <w:rPr>
      <w:color w:val="0000FF"/>
      <w:u w:val="single"/>
    </w:rPr>
  </w:style>
  <w:style w:type="character" w:styleId="Kommentarzeichen">
    <w:name w:val="annotation reference"/>
    <w:basedOn w:val="Absatz-Standardschriftart"/>
    <w:uiPriority w:val="99"/>
    <w:semiHidden/>
    <w:unhideWhenUsed/>
    <w:rsid w:val="00285741"/>
    <w:rPr>
      <w:sz w:val="16"/>
      <w:szCs w:val="16"/>
    </w:rPr>
  </w:style>
  <w:style w:type="paragraph" w:styleId="Kommentartext">
    <w:name w:val="annotation text"/>
    <w:basedOn w:val="Standard"/>
    <w:link w:val="KommentartextZchn"/>
    <w:uiPriority w:val="99"/>
    <w:semiHidden/>
    <w:unhideWhenUsed/>
    <w:rsid w:val="00285741"/>
    <w:rPr>
      <w:sz w:val="20"/>
    </w:rPr>
  </w:style>
  <w:style w:type="character" w:customStyle="1" w:styleId="KommentartextZchn">
    <w:name w:val="Kommentartext Zchn"/>
    <w:basedOn w:val="Absatz-Standardschriftart"/>
    <w:link w:val="Kommentartext"/>
    <w:uiPriority w:val="99"/>
    <w:semiHidden/>
    <w:rsid w:val="00285741"/>
    <w:rPr>
      <w:rFonts w:ascii="Arial" w:hAnsi="Arial"/>
    </w:rPr>
  </w:style>
  <w:style w:type="paragraph" w:styleId="Kommentarthema">
    <w:name w:val="annotation subject"/>
    <w:basedOn w:val="Kommentartext"/>
    <w:next w:val="Kommentartext"/>
    <w:link w:val="KommentarthemaZchn"/>
    <w:uiPriority w:val="99"/>
    <w:semiHidden/>
    <w:unhideWhenUsed/>
    <w:rsid w:val="00285741"/>
    <w:rPr>
      <w:b/>
      <w:bCs/>
    </w:rPr>
  </w:style>
  <w:style w:type="character" w:customStyle="1" w:styleId="KommentarthemaZchn">
    <w:name w:val="Kommentarthema Zchn"/>
    <w:basedOn w:val="KommentartextZchn"/>
    <w:link w:val="Kommentarthema"/>
    <w:uiPriority w:val="99"/>
    <w:semiHidden/>
    <w:rsid w:val="0028574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934557299">
      <w:bodyDiv w:val="1"/>
      <w:marLeft w:val="0"/>
      <w:marRight w:val="0"/>
      <w:marTop w:val="0"/>
      <w:marBottom w:val="0"/>
      <w:divBdr>
        <w:top w:val="none" w:sz="0" w:space="0" w:color="auto"/>
        <w:left w:val="none" w:sz="0" w:space="0" w:color="auto"/>
        <w:bottom w:val="none" w:sz="0" w:space="0" w:color="auto"/>
        <w:right w:val="none" w:sz="0" w:space="0" w:color="auto"/>
      </w:divBdr>
      <w:divsChild>
        <w:div w:id="1218709291">
          <w:marLeft w:val="0"/>
          <w:marRight w:val="0"/>
          <w:marTop w:val="0"/>
          <w:marBottom w:val="120"/>
          <w:divBdr>
            <w:top w:val="none" w:sz="0" w:space="0" w:color="auto"/>
            <w:left w:val="none" w:sz="0" w:space="0" w:color="auto"/>
            <w:bottom w:val="none" w:sz="0" w:space="0" w:color="auto"/>
            <w:right w:val="none" w:sz="0" w:space="0" w:color="auto"/>
          </w:divBdr>
        </w:div>
        <w:div w:id="2100641923">
          <w:marLeft w:val="0"/>
          <w:marRight w:val="0"/>
          <w:marTop w:val="0"/>
          <w:marBottom w:val="0"/>
          <w:divBdr>
            <w:top w:val="none" w:sz="0" w:space="0" w:color="auto"/>
            <w:left w:val="none" w:sz="0" w:space="0" w:color="auto"/>
            <w:bottom w:val="none" w:sz="0" w:space="0" w:color="auto"/>
            <w:right w:val="none" w:sz="0" w:space="0" w:color="auto"/>
          </w:divBdr>
        </w:div>
        <w:div w:id="395204010">
          <w:marLeft w:val="0"/>
          <w:marRight w:val="0"/>
          <w:marTop w:val="0"/>
          <w:marBottom w:val="0"/>
          <w:divBdr>
            <w:top w:val="none" w:sz="0" w:space="0" w:color="auto"/>
            <w:left w:val="none" w:sz="0" w:space="0" w:color="auto"/>
            <w:bottom w:val="none" w:sz="0" w:space="0" w:color="auto"/>
            <w:right w:val="none" w:sz="0" w:space="0" w:color="auto"/>
          </w:divBdr>
          <w:divsChild>
            <w:div w:id="167255880">
              <w:marLeft w:val="0"/>
              <w:marRight w:val="0"/>
              <w:marTop w:val="0"/>
              <w:marBottom w:val="120"/>
              <w:divBdr>
                <w:top w:val="none" w:sz="0" w:space="0" w:color="auto"/>
                <w:left w:val="none" w:sz="0" w:space="0" w:color="auto"/>
                <w:bottom w:val="none" w:sz="0" w:space="0" w:color="auto"/>
                <w:right w:val="none" w:sz="0" w:space="0" w:color="auto"/>
              </w:divBdr>
            </w:div>
          </w:divsChild>
        </w:div>
        <w:div w:id="2105101856">
          <w:marLeft w:val="0"/>
          <w:marRight w:val="0"/>
          <w:marTop w:val="0"/>
          <w:marBottom w:val="0"/>
          <w:divBdr>
            <w:top w:val="none" w:sz="0" w:space="0" w:color="auto"/>
            <w:left w:val="none" w:sz="0" w:space="0" w:color="auto"/>
            <w:bottom w:val="none" w:sz="0" w:space="0" w:color="auto"/>
            <w:right w:val="none" w:sz="0" w:space="0" w:color="auto"/>
          </w:divBdr>
        </w:div>
        <w:div w:id="1388648367">
          <w:marLeft w:val="0"/>
          <w:marRight w:val="0"/>
          <w:marTop w:val="0"/>
          <w:marBottom w:val="0"/>
          <w:divBdr>
            <w:top w:val="none" w:sz="0" w:space="0" w:color="auto"/>
            <w:left w:val="none" w:sz="0" w:space="0" w:color="auto"/>
            <w:bottom w:val="none" w:sz="0" w:space="0" w:color="auto"/>
            <w:right w:val="none" w:sz="0" w:space="0" w:color="auto"/>
          </w:divBdr>
          <w:divsChild>
            <w:div w:id="956910850">
              <w:marLeft w:val="0"/>
              <w:marRight w:val="0"/>
              <w:marTop w:val="0"/>
              <w:marBottom w:val="120"/>
              <w:divBdr>
                <w:top w:val="none" w:sz="0" w:space="0" w:color="auto"/>
                <w:left w:val="none" w:sz="0" w:space="0" w:color="auto"/>
                <w:bottom w:val="none" w:sz="0" w:space="0" w:color="auto"/>
                <w:right w:val="none" w:sz="0" w:space="0" w:color="auto"/>
              </w:divBdr>
            </w:div>
          </w:divsChild>
        </w:div>
        <w:div w:id="641036661">
          <w:marLeft w:val="0"/>
          <w:marRight w:val="0"/>
          <w:marTop w:val="0"/>
          <w:marBottom w:val="0"/>
          <w:divBdr>
            <w:top w:val="none" w:sz="0" w:space="0" w:color="auto"/>
            <w:left w:val="none" w:sz="0" w:space="0" w:color="auto"/>
            <w:bottom w:val="none" w:sz="0" w:space="0" w:color="auto"/>
            <w:right w:val="none" w:sz="0" w:space="0" w:color="auto"/>
          </w:divBdr>
        </w:div>
        <w:div w:id="1953121493">
          <w:marLeft w:val="0"/>
          <w:marRight w:val="0"/>
          <w:marTop w:val="0"/>
          <w:marBottom w:val="0"/>
          <w:divBdr>
            <w:top w:val="none" w:sz="0" w:space="0" w:color="auto"/>
            <w:left w:val="none" w:sz="0" w:space="0" w:color="auto"/>
            <w:bottom w:val="none" w:sz="0" w:space="0" w:color="auto"/>
            <w:right w:val="none" w:sz="0" w:space="0" w:color="auto"/>
          </w:divBdr>
          <w:divsChild>
            <w:div w:id="11015319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1582179">
      <w:bodyDiv w:val="1"/>
      <w:marLeft w:val="0"/>
      <w:marRight w:val="0"/>
      <w:marTop w:val="0"/>
      <w:marBottom w:val="0"/>
      <w:divBdr>
        <w:top w:val="none" w:sz="0" w:space="0" w:color="auto"/>
        <w:left w:val="none" w:sz="0" w:space="0" w:color="auto"/>
        <w:bottom w:val="none" w:sz="0" w:space="0" w:color="auto"/>
        <w:right w:val="none" w:sz="0" w:space="0" w:color="auto"/>
      </w:divBdr>
      <w:divsChild>
        <w:div w:id="379131778">
          <w:marLeft w:val="0"/>
          <w:marRight w:val="0"/>
          <w:marTop w:val="0"/>
          <w:marBottom w:val="0"/>
          <w:divBdr>
            <w:top w:val="none" w:sz="0" w:space="0" w:color="auto"/>
            <w:left w:val="none" w:sz="0" w:space="0" w:color="auto"/>
            <w:bottom w:val="none" w:sz="0" w:space="0" w:color="auto"/>
            <w:right w:val="none" w:sz="0" w:space="0" w:color="auto"/>
          </w:divBdr>
        </w:div>
      </w:divsChild>
    </w:div>
    <w:div w:id="1469279206">
      <w:bodyDiv w:val="1"/>
      <w:marLeft w:val="0"/>
      <w:marRight w:val="0"/>
      <w:marTop w:val="0"/>
      <w:marBottom w:val="0"/>
      <w:divBdr>
        <w:top w:val="none" w:sz="0" w:space="0" w:color="auto"/>
        <w:left w:val="none" w:sz="0" w:space="0" w:color="auto"/>
        <w:bottom w:val="none" w:sz="0" w:space="0" w:color="auto"/>
        <w:right w:val="none" w:sz="0" w:space="0" w:color="auto"/>
      </w:divBdr>
      <w:divsChild>
        <w:div w:id="1612590791">
          <w:marLeft w:val="0"/>
          <w:marRight w:val="0"/>
          <w:marTop w:val="0"/>
          <w:marBottom w:val="120"/>
          <w:divBdr>
            <w:top w:val="none" w:sz="0" w:space="0" w:color="auto"/>
            <w:left w:val="none" w:sz="0" w:space="0" w:color="auto"/>
            <w:bottom w:val="none" w:sz="0" w:space="0" w:color="auto"/>
            <w:right w:val="none" w:sz="0" w:space="0" w:color="auto"/>
          </w:divBdr>
        </w:div>
        <w:div w:id="625113905">
          <w:marLeft w:val="0"/>
          <w:marRight w:val="0"/>
          <w:marTop w:val="0"/>
          <w:marBottom w:val="0"/>
          <w:divBdr>
            <w:top w:val="none" w:sz="0" w:space="0" w:color="auto"/>
            <w:left w:val="none" w:sz="0" w:space="0" w:color="auto"/>
            <w:bottom w:val="none" w:sz="0" w:space="0" w:color="auto"/>
            <w:right w:val="none" w:sz="0" w:space="0" w:color="auto"/>
          </w:divBdr>
        </w:div>
        <w:div w:id="1382941381">
          <w:marLeft w:val="0"/>
          <w:marRight w:val="0"/>
          <w:marTop w:val="0"/>
          <w:marBottom w:val="0"/>
          <w:divBdr>
            <w:top w:val="none" w:sz="0" w:space="0" w:color="auto"/>
            <w:left w:val="none" w:sz="0" w:space="0" w:color="auto"/>
            <w:bottom w:val="none" w:sz="0" w:space="0" w:color="auto"/>
            <w:right w:val="none" w:sz="0" w:space="0" w:color="auto"/>
          </w:divBdr>
          <w:divsChild>
            <w:div w:id="968776949">
              <w:marLeft w:val="0"/>
              <w:marRight w:val="0"/>
              <w:marTop w:val="0"/>
              <w:marBottom w:val="120"/>
              <w:divBdr>
                <w:top w:val="none" w:sz="0" w:space="0" w:color="auto"/>
                <w:left w:val="none" w:sz="0" w:space="0" w:color="auto"/>
                <w:bottom w:val="none" w:sz="0" w:space="0" w:color="auto"/>
                <w:right w:val="none" w:sz="0" w:space="0" w:color="auto"/>
              </w:divBdr>
            </w:div>
          </w:divsChild>
        </w:div>
        <w:div w:id="1151867583">
          <w:marLeft w:val="0"/>
          <w:marRight w:val="0"/>
          <w:marTop w:val="0"/>
          <w:marBottom w:val="0"/>
          <w:divBdr>
            <w:top w:val="none" w:sz="0" w:space="0" w:color="auto"/>
            <w:left w:val="none" w:sz="0" w:space="0" w:color="auto"/>
            <w:bottom w:val="none" w:sz="0" w:space="0" w:color="auto"/>
            <w:right w:val="none" w:sz="0" w:space="0" w:color="auto"/>
          </w:divBdr>
        </w:div>
        <w:div w:id="701976440">
          <w:marLeft w:val="0"/>
          <w:marRight w:val="0"/>
          <w:marTop w:val="0"/>
          <w:marBottom w:val="0"/>
          <w:divBdr>
            <w:top w:val="none" w:sz="0" w:space="0" w:color="auto"/>
            <w:left w:val="none" w:sz="0" w:space="0" w:color="auto"/>
            <w:bottom w:val="none" w:sz="0" w:space="0" w:color="auto"/>
            <w:right w:val="none" w:sz="0" w:space="0" w:color="auto"/>
          </w:divBdr>
          <w:divsChild>
            <w:div w:id="522793571">
              <w:marLeft w:val="0"/>
              <w:marRight w:val="0"/>
              <w:marTop w:val="0"/>
              <w:marBottom w:val="120"/>
              <w:divBdr>
                <w:top w:val="none" w:sz="0" w:space="0" w:color="auto"/>
                <w:left w:val="none" w:sz="0" w:space="0" w:color="auto"/>
                <w:bottom w:val="none" w:sz="0" w:space="0" w:color="auto"/>
                <w:right w:val="none" w:sz="0" w:space="0" w:color="auto"/>
              </w:divBdr>
            </w:div>
          </w:divsChild>
        </w:div>
        <w:div w:id="1500534512">
          <w:marLeft w:val="0"/>
          <w:marRight w:val="0"/>
          <w:marTop w:val="0"/>
          <w:marBottom w:val="0"/>
          <w:divBdr>
            <w:top w:val="none" w:sz="0" w:space="0" w:color="auto"/>
            <w:left w:val="none" w:sz="0" w:space="0" w:color="auto"/>
            <w:bottom w:val="none" w:sz="0" w:space="0" w:color="auto"/>
            <w:right w:val="none" w:sz="0" w:space="0" w:color="auto"/>
          </w:divBdr>
        </w:div>
        <w:div w:id="66806993">
          <w:marLeft w:val="0"/>
          <w:marRight w:val="0"/>
          <w:marTop w:val="0"/>
          <w:marBottom w:val="0"/>
          <w:divBdr>
            <w:top w:val="none" w:sz="0" w:space="0" w:color="auto"/>
            <w:left w:val="none" w:sz="0" w:space="0" w:color="auto"/>
            <w:bottom w:val="none" w:sz="0" w:space="0" w:color="auto"/>
            <w:right w:val="none" w:sz="0" w:space="0" w:color="auto"/>
          </w:divBdr>
          <w:divsChild>
            <w:div w:id="12207444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 w:id="1941405220">
      <w:bodyDiv w:val="1"/>
      <w:marLeft w:val="0"/>
      <w:marRight w:val="0"/>
      <w:marTop w:val="0"/>
      <w:marBottom w:val="0"/>
      <w:divBdr>
        <w:top w:val="none" w:sz="0" w:space="0" w:color="auto"/>
        <w:left w:val="none" w:sz="0" w:space="0" w:color="auto"/>
        <w:bottom w:val="none" w:sz="0" w:space="0" w:color="auto"/>
        <w:right w:val="none" w:sz="0" w:space="0" w:color="auto"/>
      </w:divBdr>
      <w:divsChild>
        <w:div w:id="212815954">
          <w:marLeft w:val="0"/>
          <w:marRight w:val="0"/>
          <w:marTop w:val="0"/>
          <w:marBottom w:val="120"/>
          <w:divBdr>
            <w:top w:val="none" w:sz="0" w:space="0" w:color="auto"/>
            <w:left w:val="none" w:sz="0" w:space="0" w:color="auto"/>
            <w:bottom w:val="none" w:sz="0" w:space="0" w:color="auto"/>
            <w:right w:val="none" w:sz="0" w:space="0" w:color="auto"/>
          </w:divBdr>
        </w:div>
        <w:div w:id="1748114905">
          <w:marLeft w:val="0"/>
          <w:marRight w:val="0"/>
          <w:marTop w:val="0"/>
          <w:marBottom w:val="0"/>
          <w:divBdr>
            <w:top w:val="none" w:sz="0" w:space="0" w:color="auto"/>
            <w:left w:val="none" w:sz="0" w:space="0" w:color="auto"/>
            <w:bottom w:val="none" w:sz="0" w:space="0" w:color="auto"/>
            <w:right w:val="none" w:sz="0" w:space="0" w:color="auto"/>
          </w:divBdr>
        </w:div>
        <w:div w:id="508444542">
          <w:marLeft w:val="0"/>
          <w:marRight w:val="0"/>
          <w:marTop w:val="0"/>
          <w:marBottom w:val="0"/>
          <w:divBdr>
            <w:top w:val="none" w:sz="0" w:space="0" w:color="auto"/>
            <w:left w:val="none" w:sz="0" w:space="0" w:color="auto"/>
            <w:bottom w:val="none" w:sz="0" w:space="0" w:color="auto"/>
            <w:right w:val="none" w:sz="0" w:space="0" w:color="auto"/>
          </w:divBdr>
          <w:divsChild>
            <w:div w:id="802818600">
              <w:marLeft w:val="0"/>
              <w:marRight w:val="0"/>
              <w:marTop w:val="0"/>
              <w:marBottom w:val="120"/>
              <w:divBdr>
                <w:top w:val="none" w:sz="0" w:space="0" w:color="auto"/>
                <w:left w:val="none" w:sz="0" w:space="0" w:color="auto"/>
                <w:bottom w:val="none" w:sz="0" w:space="0" w:color="auto"/>
                <w:right w:val="none" w:sz="0" w:space="0" w:color="auto"/>
              </w:divBdr>
            </w:div>
          </w:divsChild>
        </w:div>
        <w:div w:id="1648243155">
          <w:marLeft w:val="0"/>
          <w:marRight w:val="0"/>
          <w:marTop w:val="0"/>
          <w:marBottom w:val="0"/>
          <w:divBdr>
            <w:top w:val="none" w:sz="0" w:space="0" w:color="auto"/>
            <w:left w:val="none" w:sz="0" w:space="0" w:color="auto"/>
            <w:bottom w:val="none" w:sz="0" w:space="0" w:color="auto"/>
            <w:right w:val="none" w:sz="0" w:space="0" w:color="auto"/>
          </w:divBdr>
        </w:div>
        <w:div w:id="1584103059">
          <w:marLeft w:val="0"/>
          <w:marRight w:val="0"/>
          <w:marTop w:val="0"/>
          <w:marBottom w:val="0"/>
          <w:divBdr>
            <w:top w:val="none" w:sz="0" w:space="0" w:color="auto"/>
            <w:left w:val="none" w:sz="0" w:space="0" w:color="auto"/>
            <w:bottom w:val="none" w:sz="0" w:space="0" w:color="auto"/>
            <w:right w:val="none" w:sz="0" w:space="0" w:color="auto"/>
          </w:divBdr>
          <w:divsChild>
            <w:div w:id="1913004904">
              <w:marLeft w:val="0"/>
              <w:marRight w:val="0"/>
              <w:marTop w:val="0"/>
              <w:marBottom w:val="120"/>
              <w:divBdr>
                <w:top w:val="none" w:sz="0" w:space="0" w:color="auto"/>
                <w:left w:val="none" w:sz="0" w:space="0" w:color="auto"/>
                <w:bottom w:val="none" w:sz="0" w:space="0" w:color="auto"/>
                <w:right w:val="none" w:sz="0" w:space="0" w:color="auto"/>
              </w:divBdr>
            </w:div>
          </w:divsChild>
        </w:div>
        <w:div w:id="179399158">
          <w:marLeft w:val="0"/>
          <w:marRight w:val="0"/>
          <w:marTop w:val="0"/>
          <w:marBottom w:val="0"/>
          <w:divBdr>
            <w:top w:val="none" w:sz="0" w:space="0" w:color="auto"/>
            <w:left w:val="none" w:sz="0" w:space="0" w:color="auto"/>
            <w:bottom w:val="none" w:sz="0" w:space="0" w:color="auto"/>
            <w:right w:val="none" w:sz="0" w:space="0" w:color="auto"/>
          </w:divBdr>
        </w:div>
        <w:div w:id="834607494">
          <w:marLeft w:val="0"/>
          <w:marRight w:val="0"/>
          <w:marTop w:val="0"/>
          <w:marBottom w:val="0"/>
          <w:divBdr>
            <w:top w:val="none" w:sz="0" w:space="0" w:color="auto"/>
            <w:left w:val="none" w:sz="0" w:space="0" w:color="auto"/>
            <w:bottom w:val="none" w:sz="0" w:space="0" w:color="auto"/>
            <w:right w:val="none" w:sz="0" w:space="0" w:color="auto"/>
          </w:divBdr>
          <w:divsChild>
            <w:div w:id="671877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9" ma:contentTypeDescription="Ein neues Dokument erstellen." ma:contentTypeScope="" ma:versionID="12c18e6bc0c91f2532c73ae918b009a7">
  <xsd:schema xmlns:xsd="http://www.w3.org/2001/XMLSchema" xmlns:xs="http://www.w3.org/2001/XMLSchema" xmlns:p="http://schemas.microsoft.com/office/2006/metadata/properties" xmlns:ns2="0ba9638b-9898-400c-aa80-e8ce42f10e4c" targetNamespace="http://schemas.microsoft.com/office/2006/metadata/properties" ma:root="true" ma:fieldsID="c452818881f39161e789e58a50665cad" ns2:_="">
    <xsd:import namespace="0ba9638b-9898-400c-aa80-e8ce42f10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5995-600C-40C7-9B47-CD667EEF8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63A67-4561-4C8D-A395-930AEEFBE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DB144-4075-4FA1-BDE2-CEF3ACDF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7340</Characters>
  <Application>Microsoft Office Word</Application>
  <DocSecurity>0</DocSecurity>
  <Lines>61</Lines>
  <Paragraphs>16</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Sicherheitsunterweisung 02_2010</vt:lpstr>
      <vt:lpstr>Auswahl von Stromerzeugern </vt:lpstr>
      <vt:lpstr/>
      <vt:lpstr>Bauartnormen</vt:lpstr>
      <vt:lpstr/>
      <vt:lpstr>Die Schutzmaßnahem und Ausführungen gemäß DGUV-Information 203-032</vt:lpstr>
    </vt:vector>
  </TitlesOfParts>
  <Company>Axima GmbH</Company>
  <LinksUpToDate>false</LinksUpToDate>
  <CharactersWithSpaces>8488</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Euler</dc:creator>
  <cp:keywords/>
  <cp:lastModifiedBy>René Brünn</cp:lastModifiedBy>
  <cp:revision>2</cp:revision>
  <cp:lastPrinted>2016-03-18T13:13:00Z</cp:lastPrinted>
  <dcterms:created xsi:type="dcterms:W3CDTF">2021-04-30T10:30:00Z</dcterms:created>
  <dcterms:modified xsi:type="dcterms:W3CDTF">2021-04-30T10:30:00Z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Order">
    <vt:r8>783800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