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379CF" w14:textId="733BB6C9" w:rsidR="003A118A" w:rsidRPr="003A118A" w:rsidRDefault="00F50BBB" w:rsidP="00F04A0E">
      <w:pPr>
        <w:autoSpaceDE w:val="0"/>
        <w:autoSpaceDN w:val="0"/>
        <w:adjustRightInd w:val="0"/>
        <w:spacing w:after="0"/>
        <w:jc w:val="both"/>
      </w:pPr>
      <w:r>
        <w:rPr>
          <w:rFonts w:eastAsia="PalatinoLinotype-Roman"/>
        </w:rPr>
        <w:t>I</w:t>
      </w:r>
      <w:r w:rsidR="000D45AD">
        <w:rPr>
          <w:rFonts w:eastAsia="PalatinoLinotype-Roman"/>
        </w:rPr>
        <w:t>n den</w:t>
      </w:r>
      <w:r>
        <w:rPr>
          <w:rFonts w:eastAsia="PalatinoLinotype-Roman"/>
        </w:rPr>
        <w:t xml:space="preserve"> vergangenen Elektro-</w:t>
      </w:r>
      <w:r w:rsidR="00696200">
        <w:rPr>
          <w:rFonts w:eastAsia="PalatinoLinotype-Roman"/>
        </w:rPr>
        <w:t>Tipps</w:t>
      </w:r>
      <w:r>
        <w:rPr>
          <w:rFonts w:eastAsia="PalatinoLinotype-Roman"/>
        </w:rPr>
        <w:t xml:space="preserve"> wurde</w:t>
      </w:r>
      <w:r w:rsidR="000D45AD">
        <w:rPr>
          <w:rFonts w:eastAsia="PalatinoLinotype-Roman"/>
        </w:rPr>
        <w:t>n</w:t>
      </w:r>
      <w:r>
        <w:rPr>
          <w:rFonts w:eastAsia="PalatinoLinotype-Roman"/>
        </w:rPr>
        <w:t xml:space="preserve"> die erste</w:t>
      </w:r>
      <w:r w:rsidR="000D45AD">
        <w:rPr>
          <w:rFonts w:eastAsia="PalatinoLinotype-Roman"/>
        </w:rPr>
        <w:t>n beiden</w:t>
      </w:r>
      <w:r>
        <w:rPr>
          <w:rFonts w:eastAsia="PalatinoLinotype-Roman"/>
        </w:rPr>
        <w:t xml:space="preserve"> Grundsatzfragen </w:t>
      </w:r>
      <w:r w:rsidR="00F04A0E">
        <w:rPr>
          <w:rFonts w:eastAsia="PalatinoLinotype-Roman"/>
        </w:rPr>
        <w:t>im Zusammenhang mit einer</w:t>
      </w:r>
      <w:r w:rsidR="00542355" w:rsidRPr="003A118A">
        <w:t xml:space="preserve"> nachträgliche</w:t>
      </w:r>
      <w:r w:rsidR="00F04A0E">
        <w:t>n</w:t>
      </w:r>
      <w:r w:rsidR="00542355" w:rsidRPr="003A118A">
        <w:t xml:space="preserve"> Konformitätsbewertung an einer bereits am Markt befindlichen Maschine oder Anlage </w:t>
      </w:r>
      <w:r w:rsidR="00F04A0E">
        <w:t xml:space="preserve">beantwortet. </w:t>
      </w:r>
    </w:p>
    <w:p w14:paraId="42D18F6A" w14:textId="77777777" w:rsidR="003A118A" w:rsidRDefault="003A118A" w:rsidP="003A118A">
      <w:pPr>
        <w:tabs>
          <w:tab w:val="left" w:pos="6075"/>
        </w:tabs>
        <w:spacing w:after="80"/>
        <w:jc w:val="both"/>
      </w:pPr>
    </w:p>
    <w:p w14:paraId="7172E507" w14:textId="77777777" w:rsidR="00542355" w:rsidRDefault="00542355" w:rsidP="003A118A">
      <w:pPr>
        <w:pStyle w:val="Listenabsatz"/>
        <w:numPr>
          <w:ilvl w:val="0"/>
          <w:numId w:val="9"/>
        </w:numPr>
        <w:tabs>
          <w:tab w:val="left" w:pos="6075"/>
        </w:tabs>
        <w:spacing w:after="120"/>
        <w:ind w:left="714" w:hanging="357"/>
        <w:contextualSpacing w:val="0"/>
        <w:jc w:val="both"/>
      </w:pPr>
      <w:r>
        <w:t xml:space="preserve">Werden </w:t>
      </w:r>
      <w:r w:rsidRPr="00893E8E">
        <w:t xml:space="preserve">Maschinen und Anlagen </w:t>
      </w:r>
      <w:r w:rsidRPr="00893E8E">
        <w:rPr>
          <w:b/>
          <w:u w:val="single"/>
        </w:rPr>
        <w:t>ohne</w:t>
      </w:r>
      <w:r w:rsidRPr="00893E8E">
        <w:t xml:space="preserve"> CE</w:t>
      </w:r>
      <w:r>
        <w:t>-Kennzeichnung,</w:t>
      </w:r>
      <w:r w:rsidRPr="00893E8E">
        <w:t xml:space="preserve"> </w:t>
      </w:r>
      <w:r>
        <w:t>die nach dem 31.12.1994 erstmalig in Verkehr gebracht wurden, mit mangelnder Rechtskonformität verwendet?</w:t>
      </w:r>
    </w:p>
    <w:p w14:paraId="5FC93101" w14:textId="77777777" w:rsidR="00542355" w:rsidRDefault="00542355" w:rsidP="003A118A">
      <w:pPr>
        <w:pStyle w:val="Listenabsatz"/>
        <w:numPr>
          <w:ilvl w:val="0"/>
          <w:numId w:val="9"/>
        </w:numPr>
        <w:tabs>
          <w:tab w:val="left" w:pos="6075"/>
        </w:tabs>
        <w:spacing w:after="120"/>
        <w:jc w:val="both"/>
      </w:pPr>
      <w:r>
        <w:t>Welche Bedeutung kann das CE-Zeichen im Gerichtsprozess haben?</w:t>
      </w:r>
    </w:p>
    <w:p w14:paraId="4469F01E" w14:textId="77777777" w:rsidR="00542355" w:rsidRDefault="00542355" w:rsidP="003A118A">
      <w:pPr>
        <w:numPr>
          <w:ilvl w:val="0"/>
          <w:numId w:val="9"/>
        </w:numPr>
        <w:spacing w:after="120"/>
        <w:contextualSpacing/>
        <w:jc w:val="both"/>
      </w:pPr>
      <w:r w:rsidRPr="00AA2999">
        <w:t xml:space="preserve">Was muss ich als Besitzer/Betreiber einer Maschine </w:t>
      </w:r>
      <w:r w:rsidRPr="00AA2999">
        <w:rPr>
          <w:b/>
          <w:u w:val="single"/>
        </w:rPr>
        <w:t>ohne</w:t>
      </w:r>
      <w:r w:rsidRPr="00AA2999">
        <w:t xml:space="preserve"> CE-Kennzeichnung</w:t>
      </w:r>
      <w:r>
        <w:t>, die nach dem 31.12.1994 erstmalig in Verkehr gebracht wurde,</w:t>
      </w:r>
      <w:r w:rsidRPr="00AA2999">
        <w:t xml:space="preserve"> tun?</w:t>
      </w:r>
    </w:p>
    <w:p w14:paraId="234AE83C" w14:textId="588957AF" w:rsidR="00542355" w:rsidRDefault="00542355" w:rsidP="003A118A">
      <w:pPr>
        <w:spacing w:after="0"/>
        <w:jc w:val="both"/>
      </w:pPr>
    </w:p>
    <w:p w14:paraId="17A10524" w14:textId="579C96DA" w:rsidR="00F04A0E" w:rsidRPr="003A118A" w:rsidRDefault="00F04A0E" w:rsidP="00F04A0E">
      <w:pPr>
        <w:autoSpaceDE w:val="0"/>
        <w:autoSpaceDN w:val="0"/>
        <w:adjustRightInd w:val="0"/>
        <w:spacing w:after="0"/>
        <w:jc w:val="both"/>
      </w:pPr>
      <w:r>
        <w:t xml:space="preserve">Dieser Elektro-Tipp beschäftigt sich mit der </w:t>
      </w:r>
      <w:r w:rsidR="000D45AD">
        <w:t>dritten</w:t>
      </w:r>
      <w:r>
        <w:t xml:space="preserve"> Grundsatzfrage:</w:t>
      </w:r>
    </w:p>
    <w:p w14:paraId="27F5B156" w14:textId="77777777" w:rsidR="00F04A0E" w:rsidRPr="00B47EE0" w:rsidRDefault="00F04A0E" w:rsidP="003A118A">
      <w:pPr>
        <w:spacing w:after="0"/>
        <w:jc w:val="both"/>
      </w:pPr>
    </w:p>
    <w:p w14:paraId="3DCC43A9" w14:textId="2D541565" w:rsidR="000D45AD" w:rsidRDefault="000D45AD" w:rsidP="000D45AD">
      <w:pPr>
        <w:spacing w:after="120"/>
        <w:contextualSpacing/>
        <w:jc w:val="both"/>
        <w:rPr>
          <w:b/>
        </w:rPr>
      </w:pPr>
      <w:r>
        <w:rPr>
          <w:rFonts w:eastAsia="PalatinoLinotype-Roman"/>
          <w:b/>
        </w:rPr>
        <w:t>Grundsatzfrage 3</w:t>
      </w:r>
      <w:r w:rsidRPr="00AF4577">
        <w:rPr>
          <w:rFonts w:eastAsia="PalatinoLinotype-Roman"/>
          <w:b/>
        </w:rPr>
        <w:t xml:space="preserve">: </w:t>
      </w:r>
      <w:r w:rsidRPr="00945B5C">
        <w:rPr>
          <w:b/>
        </w:rPr>
        <w:t xml:space="preserve">Was muss ich als Besitzer/Betreiber einer Maschine </w:t>
      </w:r>
      <w:r w:rsidRPr="00B87242">
        <w:rPr>
          <w:b/>
          <w:u w:val="single"/>
        </w:rPr>
        <w:t>ohne</w:t>
      </w:r>
      <w:r w:rsidRPr="00945B5C">
        <w:rPr>
          <w:b/>
        </w:rPr>
        <w:t xml:space="preserve"> CE-Kennzeichnung, die nach dem 31.12.1994 erstmalig in Verkehr gebracht wurden, tun?</w:t>
      </w:r>
    </w:p>
    <w:p w14:paraId="604C922B" w14:textId="77777777" w:rsidR="000D45AD" w:rsidRDefault="000D45AD" w:rsidP="000D45AD">
      <w:pPr>
        <w:spacing w:after="120"/>
        <w:contextualSpacing/>
        <w:jc w:val="both"/>
        <w:rPr>
          <w:b/>
        </w:rPr>
      </w:pPr>
    </w:p>
    <w:p w14:paraId="32489F0A" w14:textId="1702B953" w:rsidR="000D45AD" w:rsidRPr="000D45AD" w:rsidRDefault="000D45AD" w:rsidP="000D45AD">
      <w:pPr>
        <w:autoSpaceDE w:val="0"/>
        <w:autoSpaceDN w:val="0"/>
        <w:adjustRightInd w:val="0"/>
        <w:spacing w:after="0"/>
        <w:jc w:val="both"/>
        <w:rPr>
          <w:rFonts w:eastAsia="PalatinoLinotype-Roman"/>
        </w:rPr>
      </w:pPr>
      <w:r>
        <w:rPr>
          <w:rFonts w:eastAsia="PalatinoLinotype-Roman"/>
        </w:rPr>
        <w:t>Hierbei</w:t>
      </w:r>
      <w:r w:rsidRPr="004B02C5">
        <w:rPr>
          <w:rFonts w:eastAsia="PalatinoLinotype-Roman"/>
        </w:rPr>
        <w:t xml:space="preserve"> sind mehrere Faktoren zu berücksichtigen.</w:t>
      </w:r>
      <w:r>
        <w:rPr>
          <w:rFonts w:eastAsia="PalatinoLinotype-Roman"/>
        </w:rPr>
        <w:t xml:space="preserve"> </w:t>
      </w:r>
      <w:r w:rsidRPr="004B02C5">
        <w:rPr>
          <w:rFonts w:eastAsia="PalatinoLinotype-Roman"/>
        </w:rPr>
        <w:t xml:space="preserve">Eine Legalisierung durch </w:t>
      </w:r>
      <w:r>
        <w:rPr>
          <w:rFonts w:eastAsia="PalatinoLinotype-Roman"/>
        </w:rPr>
        <w:t>T</w:t>
      </w:r>
      <w:r w:rsidRPr="004B02C5">
        <w:rPr>
          <w:rFonts w:eastAsia="PalatinoLinotype-Roman"/>
        </w:rPr>
        <w:t>o</w:t>
      </w:r>
      <w:r>
        <w:rPr>
          <w:rFonts w:eastAsia="PalatinoLinotype-Roman"/>
        </w:rPr>
        <w:t>t</w:t>
      </w:r>
      <w:r w:rsidRPr="004B02C5">
        <w:rPr>
          <w:rFonts w:eastAsia="PalatinoLinotype-Roman"/>
        </w:rPr>
        <w:t xml:space="preserve">schweigen oder </w:t>
      </w:r>
      <w:r>
        <w:rPr>
          <w:rFonts w:eastAsia="PalatinoLinotype-Roman"/>
        </w:rPr>
        <w:t>S</w:t>
      </w:r>
      <w:r w:rsidRPr="004B02C5">
        <w:rPr>
          <w:rFonts w:eastAsia="PalatinoLinotype-Roman"/>
        </w:rPr>
        <w:t>uchen von fadenscheinigen Ausreden, dass es doch ha</w:t>
      </w:r>
      <w:r>
        <w:rPr>
          <w:rFonts w:eastAsia="PalatinoLinotype-Roman"/>
        </w:rPr>
        <w:t>lb so schlimm ist</w:t>
      </w:r>
      <w:r w:rsidR="0016115F">
        <w:rPr>
          <w:rFonts w:eastAsia="PalatinoLinotype-Roman"/>
        </w:rPr>
        <w:t>,</w:t>
      </w:r>
      <w:r>
        <w:rPr>
          <w:rFonts w:eastAsia="PalatinoLinotype-Roman"/>
        </w:rPr>
        <w:t xml:space="preserve"> Maschinen und</w:t>
      </w:r>
      <w:r w:rsidRPr="004B02C5">
        <w:rPr>
          <w:rFonts w:eastAsia="PalatinoLinotype-Roman"/>
        </w:rPr>
        <w:t xml:space="preserve">/oder Anlagen </w:t>
      </w:r>
      <w:r>
        <w:rPr>
          <w:rFonts w:eastAsia="PalatinoLinotype-Roman"/>
          <w:b/>
        </w:rPr>
        <w:t>mit mangelnder Rechtskonformität</w:t>
      </w:r>
      <w:r w:rsidRPr="004B02C5">
        <w:rPr>
          <w:rFonts w:eastAsia="PalatinoLinotype-Roman"/>
        </w:rPr>
        <w:t xml:space="preserve"> zu </w:t>
      </w:r>
      <w:r>
        <w:rPr>
          <w:rFonts w:eastAsia="PalatinoLinotype-Roman"/>
        </w:rPr>
        <w:t>verwenden</w:t>
      </w:r>
      <w:r w:rsidRPr="004B02C5">
        <w:rPr>
          <w:rFonts w:eastAsia="PalatinoLinotype-Roman"/>
        </w:rPr>
        <w:t xml:space="preserve"> – die „Anderen“ machen es ja auch – </w:t>
      </w:r>
      <w:r>
        <w:rPr>
          <w:rFonts w:eastAsia="PalatinoLinotype-Roman"/>
        </w:rPr>
        <w:t xml:space="preserve">ist rechtlich </w:t>
      </w:r>
      <w:r w:rsidRPr="009C6060">
        <w:rPr>
          <w:rFonts w:eastAsia="PalatinoLinotype-Roman"/>
          <w:b/>
        </w:rPr>
        <w:t>nicht</w:t>
      </w:r>
      <w:r>
        <w:rPr>
          <w:rFonts w:eastAsia="PalatinoLinotype-Roman"/>
        </w:rPr>
        <w:t xml:space="preserve"> möglich. </w:t>
      </w:r>
      <w:r w:rsidRPr="00EC1A89">
        <w:t xml:space="preserve">Grundsätzlich ist festzustellen, dass eine fehlende CE-Kennzeichnung </w:t>
      </w:r>
      <w:r w:rsidRPr="00EC1A89">
        <w:rPr>
          <w:b/>
        </w:rPr>
        <w:t>nicht</w:t>
      </w:r>
      <w:r w:rsidRPr="00EC1A89">
        <w:t xml:space="preserve"> zwangsläufig bedeuten muss, dass die Maschine oder Anlage </w:t>
      </w:r>
      <w:r w:rsidRPr="004966F1">
        <w:rPr>
          <w:b/>
        </w:rPr>
        <w:t>nicht</w:t>
      </w:r>
      <w:r w:rsidRPr="00EC1A89">
        <w:t xml:space="preserve"> ausreichend sicher ist.</w:t>
      </w:r>
    </w:p>
    <w:p w14:paraId="270A0565" w14:textId="77777777" w:rsidR="000D45AD" w:rsidRDefault="000D45AD" w:rsidP="000D45AD">
      <w:pPr>
        <w:autoSpaceDE w:val="0"/>
        <w:autoSpaceDN w:val="0"/>
        <w:adjustRightInd w:val="0"/>
        <w:spacing w:after="0"/>
        <w:jc w:val="both"/>
        <w:rPr>
          <w:rFonts w:eastAsia="PalatinoLinotype-Roman"/>
          <w:b/>
        </w:rPr>
      </w:pPr>
    </w:p>
    <w:p w14:paraId="467DC776" w14:textId="35DFA273" w:rsidR="000D45AD" w:rsidRPr="00542355" w:rsidRDefault="000D45AD" w:rsidP="000D45AD">
      <w:pPr>
        <w:autoSpaceDE w:val="0"/>
        <w:autoSpaceDN w:val="0"/>
        <w:adjustRightInd w:val="0"/>
        <w:spacing w:after="0"/>
        <w:jc w:val="both"/>
        <w:rPr>
          <w:rFonts w:eastAsia="PalatinoLinotype-Roman"/>
          <w:b/>
        </w:rPr>
      </w:pPr>
      <w:r>
        <w:rPr>
          <w:rFonts w:eastAsia="PalatinoLinotype-Roman"/>
          <w:b/>
        </w:rPr>
        <w:t>D. h.</w:t>
      </w:r>
      <w:r w:rsidR="0016115F">
        <w:rPr>
          <w:rFonts w:eastAsia="PalatinoLinotype-Roman"/>
          <w:b/>
        </w:rPr>
        <w:t>,</w:t>
      </w:r>
      <w:r>
        <w:rPr>
          <w:rFonts w:eastAsia="PalatinoLinotype-Roman"/>
          <w:b/>
        </w:rPr>
        <w:t xml:space="preserve"> der Arbeitgeber/Betreiber</w:t>
      </w:r>
      <w:r w:rsidR="0016115F">
        <w:rPr>
          <w:rFonts w:eastAsia="PalatinoLinotype-Roman"/>
          <w:b/>
        </w:rPr>
        <w:t>,</w:t>
      </w:r>
      <w:r>
        <w:rPr>
          <w:rFonts w:eastAsia="PalatinoLinotype-Roman"/>
          <w:b/>
        </w:rPr>
        <w:t xml:space="preserve"> der solche Maschinen und/oder Anlagen in seinem Bestand identifiziert hat, muss </w:t>
      </w:r>
      <w:r w:rsidRPr="005B5852">
        <w:rPr>
          <w:rFonts w:eastAsia="PalatinoLinotype-Roman"/>
          <w:b/>
          <w:u w:val="single"/>
        </w:rPr>
        <w:t>unverzüglich</w:t>
      </w:r>
      <w:r>
        <w:rPr>
          <w:rStyle w:val="Funotenzeichen"/>
          <w:rFonts w:eastAsia="PalatinoLinotype-Roman"/>
          <w:b/>
        </w:rPr>
        <w:footnoteReference w:id="1"/>
      </w:r>
      <w:r w:rsidRPr="005B5852">
        <w:rPr>
          <w:rFonts w:eastAsia="PalatinoLinotype-Roman"/>
          <w:b/>
        </w:rPr>
        <w:t xml:space="preserve"> </w:t>
      </w:r>
      <w:r>
        <w:rPr>
          <w:rFonts w:eastAsia="PalatinoLinotype-Roman"/>
          <w:b/>
        </w:rPr>
        <w:t>Handlungen an den Tag legen.</w:t>
      </w:r>
    </w:p>
    <w:p w14:paraId="6259D68D" w14:textId="77777777" w:rsidR="000D45AD" w:rsidRPr="008B6597" w:rsidRDefault="000D45AD" w:rsidP="000D45AD">
      <w:pPr>
        <w:pStyle w:val="Listenabsatz"/>
        <w:autoSpaceDE w:val="0"/>
        <w:autoSpaceDN w:val="0"/>
        <w:adjustRightInd w:val="0"/>
        <w:spacing w:after="120"/>
        <w:ind w:left="0"/>
        <w:contextualSpacing w:val="0"/>
        <w:jc w:val="both"/>
        <w:rPr>
          <w:b/>
          <w:bCs/>
          <w:i/>
        </w:rPr>
      </w:pPr>
      <w:r>
        <w:rPr>
          <w:b/>
          <w:bCs/>
          <w:i/>
        </w:rPr>
        <w:t>ArbSchG § </w:t>
      </w:r>
      <w:r w:rsidRPr="008B6597">
        <w:rPr>
          <w:b/>
          <w:bCs/>
          <w:i/>
        </w:rPr>
        <w:t>4 Allgemeine Grundsätze</w:t>
      </w:r>
    </w:p>
    <w:p w14:paraId="2B88D383" w14:textId="77777777" w:rsidR="000D45AD" w:rsidRPr="00BE59D1" w:rsidRDefault="000D45AD" w:rsidP="000D45AD">
      <w:pPr>
        <w:pStyle w:val="Listenabsatz"/>
        <w:autoSpaceDE w:val="0"/>
        <w:autoSpaceDN w:val="0"/>
        <w:adjustRightInd w:val="0"/>
        <w:spacing w:after="120"/>
        <w:contextualSpacing w:val="0"/>
        <w:jc w:val="both"/>
        <w:rPr>
          <w:bCs/>
          <w:i/>
        </w:rPr>
      </w:pPr>
      <w:r w:rsidRPr="00BE59D1">
        <w:rPr>
          <w:i/>
        </w:rPr>
        <w:t>Der Arbeitgeber hat bei Maßnahmen des Arbeitsschutzes von folgenden allgemeinen Grundsätzen auszugehen:</w:t>
      </w:r>
    </w:p>
    <w:p w14:paraId="3B271ED5" w14:textId="77777777" w:rsidR="000D45AD" w:rsidRPr="00BE59D1" w:rsidRDefault="000D45AD" w:rsidP="000D45AD">
      <w:pPr>
        <w:pStyle w:val="Listenabsatz"/>
        <w:autoSpaceDE w:val="0"/>
        <w:autoSpaceDN w:val="0"/>
        <w:adjustRightInd w:val="0"/>
        <w:spacing w:after="120"/>
        <w:contextualSpacing w:val="0"/>
        <w:jc w:val="both"/>
        <w:rPr>
          <w:bCs/>
          <w:i/>
        </w:rPr>
      </w:pPr>
      <w:r w:rsidRPr="00BE59D1">
        <w:rPr>
          <w:bCs/>
          <w:i/>
        </w:rPr>
        <w:t>[…]</w:t>
      </w:r>
    </w:p>
    <w:p w14:paraId="66D6ADD7" w14:textId="77777777" w:rsidR="000D45AD" w:rsidRPr="008B6597" w:rsidRDefault="000D45AD" w:rsidP="000D45AD">
      <w:pPr>
        <w:pStyle w:val="Listenabsatz"/>
        <w:numPr>
          <w:ilvl w:val="0"/>
          <w:numId w:val="10"/>
        </w:numPr>
        <w:autoSpaceDE w:val="0"/>
        <w:autoSpaceDN w:val="0"/>
        <w:adjustRightInd w:val="0"/>
        <w:spacing w:after="120"/>
        <w:jc w:val="both"/>
        <w:rPr>
          <w:rFonts w:eastAsia="PalatinoLinotype-Roman"/>
          <w:i/>
        </w:rPr>
      </w:pPr>
      <w:r w:rsidRPr="008B6597">
        <w:rPr>
          <w:i/>
        </w:rPr>
        <w:t xml:space="preserve">bei den Maßnahmen sind der </w:t>
      </w:r>
      <w:r w:rsidRPr="00BE59D1">
        <w:rPr>
          <w:b/>
          <w:i/>
        </w:rPr>
        <w:t>Stand von Technik</w:t>
      </w:r>
      <w:r w:rsidRPr="008B6597">
        <w:rPr>
          <w:i/>
        </w:rPr>
        <w:t>, Arbeitsmedizin und Hygiene sowie sonstige gesicherte arbeitswissenschaftliche Erkenntnisse zu berücksichtigen;</w:t>
      </w:r>
    </w:p>
    <w:p w14:paraId="54D7F07D" w14:textId="77777777" w:rsidR="000D45AD" w:rsidRDefault="000D45AD" w:rsidP="000D45AD">
      <w:pPr>
        <w:autoSpaceDE w:val="0"/>
        <w:autoSpaceDN w:val="0"/>
        <w:adjustRightInd w:val="0"/>
        <w:spacing w:after="120"/>
        <w:ind w:left="709"/>
        <w:jc w:val="both"/>
        <w:rPr>
          <w:bCs/>
          <w:i/>
        </w:rPr>
      </w:pPr>
      <w:r w:rsidRPr="00BE59D1">
        <w:rPr>
          <w:bCs/>
          <w:i/>
        </w:rPr>
        <w:t>[…]</w:t>
      </w:r>
    </w:p>
    <w:p w14:paraId="40B94ACA" w14:textId="77777777" w:rsidR="000D45AD" w:rsidRDefault="000D45AD" w:rsidP="000D45AD">
      <w:pPr>
        <w:pStyle w:val="Listenabsatz"/>
        <w:autoSpaceDE w:val="0"/>
        <w:autoSpaceDN w:val="0"/>
        <w:adjustRightInd w:val="0"/>
        <w:spacing w:after="120"/>
        <w:ind w:left="0"/>
        <w:contextualSpacing w:val="0"/>
        <w:jc w:val="both"/>
        <w:rPr>
          <w:b/>
          <w:bCs/>
          <w:i/>
        </w:rPr>
      </w:pPr>
      <w:r>
        <w:rPr>
          <w:b/>
          <w:bCs/>
          <w:i/>
        </w:rPr>
        <w:t>BetrSichV § </w:t>
      </w:r>
      <w:r w:rsidRPr="00BE59D1">
        <w:rPr>
          <w:b/>
          <w:bCs/>
          <w:i/>
        </w:rPr>
        <w:t>4 Grundpflichten des Arbeitgebers</w:t>
      </w:r>
    </w:p>
    <w:p w14:paraId="1F771169" w14:textId="77777777" w:rsidR="000D45AD" w:rsidRPr="00BE59D1" w:rsidRDefault="000D45AD" w:rsidP="000D45AD">
      <w:pPr>
        <w:pStyle w:val="Listenabsatz"/>
        <w:autoSpaceDE w:val="0"/>
        <w:autoSpaceDN w:val="0"/>
        <w:adjustRightInd w:val="0"/>
        <w:spacing w:after="120"/>
        <w:contextualSpacing w:val="0"/>
        <w:jc w:val="both"/>
        <w:rPr>
          <w:i/>
        </w:rPr>
      </w:pPr>
      <w:r w:rsidRPr="00BE59D1">
        <w:rPr>
          <w:i/>
        </w:rPr>
        <w:t>(1) Arbeitsmittel dürfen erst verwendet werden, nachdem der Arbeitgeber</w:t>
      </w:r>
    </w:p>
    <w:p w14:paraId="35E39D72" w14:textId="77777777" w:rsidR="000D45AD" w:rsidRPr="00BE59D1" w:rsidRDefault="000D45AD" w:rsidP="000D45AD">
      <w:pPr>
        <w:pStyle w:val="Listenabsatz"/>
        <w:autoSpaceDE w:val="0"/>
        <w:autoSpaceDN w:val="0"/>
        <w:adjustRightInd w:val="0"/>
        <w:spacing w:after="120"/>
        <w:contextualSpacing w:val="0"/>
        <w:jc w:val="both"/>
        <w:rPr>
          <w:i/>
        </w:rPr>
      </w:pPr>
      <w:r w:rsidRPr="00BE59D1">
        <w:rPr>
          <w:i/>
        </w:rPr>
        <w:t>1. eine Gefährdungsbeurteilung durchgeführt hat,</w:t>
      </w:r>
    </w:p>
    <w:p w14:paraId="781BF002" w14:textId="77777777" w:rsidR="000D45AD" w:rsidRPr="00BE59D1" w:rsidRDefault="000D45AD" w:rsidP="000D45AD">
      <w:pPr>
        <w:pStyle w:val="Listenabsatz"/>
        <w:autoSpaceDE w:val="0"/>
        <w:autoSpaceDN w:val="0"/>
        <w:adjustRightInd w:val="0"/>
        <w:spacing w:after="120"/>
        <w:contextualSpacing w:val="0"/>
        <w:jc w:val="both"/>
        <w:rPr>
          <w:i/>
        </w:rPr>
      </w:pPr>
      <w:r w:rsidRPr="00BE59D1">
        <w:rPr>
          <w:i/>
        </w:rPr>
        <w:t xml:space="preserve">2. die dabei ermittelten </w:t>
      </w:r>
      <w:r w:rsidRPr="00BE59D1">
        <w:rPr>
          <w:b/>
          <w:i/>
        </w:rPr>
        <w:t>Schutzmaßnahmen nach dem Stand der Technik</w:t>
      </w:r>
      <w:r w:rsidRPr="00BE59D1">
        <w:rPr>
          <w:i/>
        </w:rPr>
        <w:t xml:space="preserve"> getroffen hat und</w:t>
      </w:r>
    </w:p>
    <w:p w14:paraId="62D37582" w14:textId="77777777" w:rsidR="000D45AD" w:rsidRPr="00BE59D1" w:rsidRDefault="000D45AD" w:rsidP="000D45AD">
      <w:pPr>
        <w:pStyle w:val="Listenabsatz"/>
        <w:autoSpaceDE w:val="0"/>
        <w:autoSpaceDN w:val="0"/>
        <w:adjustRightInd w:val="0"/>
        <w:spacing w:after="120"/>
        <w:contextualSpacing w:val="0"/>
        <w:jc w:val="both"/>
        <w:rPr>
          <w:i/>
        </w:rPr>
      </w:pPr>
      <w:r w:rsidRPr="00BE59D1">
        <w:rPr>
          <w:i/>
        </w:rPr>
        <w:t xml:space="preserve">3. festgestellt hat, dass die Verwendung der Arbeitsmittel </w:t>
      </w:r>
      <w:r w:rsidRPr="00BE59D1">
        <w:rPr>
          <w:b/>
          <w:i/>
        </w:rPr>
        <w:t>nach dem Stand der Technik sicher ist.</w:t>
      </w:r>
    </w:p>
    <w:p w14:paraId="654FF4EF" w14:textId="77777777" w:rsidR="000D45AD" w:rsidRPr="00663174" w:rsidRDefault="000D45AD" w:rsidP="000D45AD">
      <w:pPr>
        <w:pStyle w:val="Listenabsatz"/>
        <w:autoSpaceDE w:val="0"/>
        <w:autoSpaceDN w:val="0"/>
        <w:adjustRightInd w:val="0"/>
        <w:spacing w:after="0"/>
        <w:jc w:val="both"/>
        <w:rPr>
          <w:i/>
        </w:rPr>
      </w:pPr>
      <w:r w:rsidRPr="00663174">
        <w:rPr>
          <w:i/>
        </w:rPr>
        <w:t>(2) Ergibt sich aus der Gefährdungsbeurteilung, dass Gefährdungen durch technische Schutzmaßnahmen nach</w:t>
      </w:r>
      <w:r>
        <w:rPr>
          <w:i/>
        </w:rPr>
        <w:t xml:space="preserve"> </w:t>
      </w:r>
      <w:r w:rsidRPr="00663174">
        <w:rPr>
          <w:i/>
        </w:rPr>
        <w:t xml:space="preserve">dem Stand der Technik nicht oder nur unzureichend vermieden </w:t>
      </w:r>
      <w:r w:rsidRPr="00663174">
        <w:rPr>
          <w:i/>
        </w:rPr>
        <w:lastRenderedPageBreak/>
        <w:t>werden können, hat der Arbeitgeber geeignete</w:t>
      </w:r>
      <w:r>
        <w:rPr>
          <w:i/>
        </w:rPr>
        <w:t xml:space="preserve"> </w:t>
      </w:r>
      <w:r w:rsidRPr="00663174">
        <w:rPr>
          <w:i/>
        </w:rPr>
        <w:t>organisatorische und personenbezogene Schutzmaßnahmen zu treffen. Technische Schutzmaßnahmen haben</w:t>
      </w:r>
      <w:r>
        <w:rPr>
          <w:i/>
        </w:rPr>
        <w:t xml:space="preserve"> </w:t>
      </w:r>
      <w:r w:rsidRPr="00663174">
        <w:rPr>
          <w:i/>
        </w:rPr>
        <w:t>Vorrang vor organisatorischen, diese haben wiederum Vorrang vor personenbezogenen Schutzmaßnahmen.</w:t>
      </w:r>
      <w:r>
        <w:rPr>
          <w:i/>
        </w:rPr>
        <w:t xml:space="preserve"> </w:t>
      </w:r>
      <w:r w:rsidRPr="00663174">
        <w:rPr>
          <w:i/>
        </w:rPr>
        <w:t>Die Verwendung persönlicher Schutzausrüstung ist für jeden Beschäftigten auf das erforderliche Minimum zu</w:t>
      </w:r>
      <w:r>
        <w:rPr>
          <w:i/>
        </w:rPr>
        <w:t xml:space="preserve"> </w:t>
      </w:r>
      <w:r w:rsidRPr="00663174">
        <w:rPr>
          <w:i/>
        </w:rPr>
        <w:t>beschränken.</w:t>
      </w:r>
    </w:p>
    <w:p w14:paraId="47746691" w14:textId="77777777" w:rsidR="000D45AD" w:rsidRDefault="000D45AD" w:rsidP="000D45AD">
      <w:pPr>
        <w:autoSpaceDE w:val="0"/>
        <w:autoSpaceDN w:val="0"/>
        <w:adjustRightInd w:val="0"/>
        <w:spacing w:after="0"/>
        <w:jc w:val="both"/>
        <w:rPr>
          <w:rFonts w:eastAsia="PalatinoLinotype-Roman"/>
          <w:b/>
        </w:rPr>
      </w:pPr>
    </w:p>
    <w:p w14:paraId="3ACDC579" w14:textId="3F679E1D" w:rsidR="000D45AD" w:rsidRPr="000D45AD" w:rsidRDefault="000D45AD" w:rsidP="000D45AD">
      <w:pPr>
        <w:autoSpaceDE w:val="0"/>
        <w:autoSpaceDN w:val="0"/>
        <w:adjustRightInd w:val="0"/>
        <w:spacing w:after="0"/>
        <w:jc w:val="both"/>
        <w:rPr>
          <w:rFonts w:eastAsia="PalatinoLinotype-Roman"/>
          <w:b/>
          <w:color w:val="000000" w:themeColor="text1"/>
        </w:rPr>
      </w:pPr>
      <w:r w:rsidRPr="000D45AD">
        <w:rPr>
          <w:rFonts w:eastAsia="PalatinoLinotype-Roman"/>
          <w:b/>
          <w:color w:val="000000" w:themeColor="text1"/>
        </w:rPr>
        <w:t>Fazit: Bei den getroffenen Schutzmaßnahmen ist immer der Stand der Technik zu berücksichtigen!</w:t>
      </w:r>
    </w:p>
    <w:p w14:paraId="031D859B" w14:textId="77777777" w:rsidR="000D45AD" w:rsidRDefault="000D45AD" w:rsidP="000D45AD">
      <w:pPr>
        <w:autoSpaceDE w:val="0"/>
        <w:autoSpaceDN w:val="0"/>
        <w:adjustRightInd w:val="0"/>
        <w:spacing w:after="0"/>
        <w:jc w:val="both"/>
        <w:rPr>
          <w:rFonts w:eastAsia="PalatinoLinotype-Roman"/>
          <w:b/>
        </w:rPr>
      </w:pPr>
    </w:p>
    <w:p w14:paraId="1E9B4C33" w14:textId="417B3C2E" w:rsidR="000D45AD" w:rsidRPr="006117EF" w:rsidRDefault="000D45AD" w:rsidP="000D45AD">
      <w:pPr>
        <w:autoSpaceDE w:val="0"/>
        <w:autoSpaceDN w:val="0"/>
        <w:adjustRightInd w:val="0"/>
        <w:spacing w:after="0"/>
        <w:jc w:val="both"/>
        <w:rPr>
          <w:rFonts w:eastAsia="PalatinoLinotype-Roman"/>
        </w:rPr>
      </w:pPr>
      <w:r w:rsidRPr="006117EF">
        <w:rPr>
          <w:rFonts w:eastAsia="PalatinoLinotype-Roman"/>
        </w:rPr>
        <w:t>Inwieweit hier das komplette, nach MRL erforderliche, Konformitätsbewertungsverfahren inkl. der darin enthaltenen Risikobeurteilung zur Integration der Sicherheit in der Planungsphase</w:t>
      </w:r>
      <w:r>
        <w:rPr>
          <w:rFonts w:eastAsia="PalatinoLinotype-Roman"/>
        </w:rPr>
        <w:t>, der Anwendung des iterativen</w:t>
      </w:r>
      <w:r>
        <w:rPr>
          <w:rStyle w:val="Funotenzeichen"/>
          <w:rFonts w:eastAsia="PalatinoLinotype-Roman"/>
        </w:rPr>
        <w:footnoteReference w:id="2"/>
      </w:r>
      <w:r>
        <w:rPr>
          <w:rFonts w:eastAsia="PalatinoLinotype-Roman"/>
        </w:rPr>
        <w:t xml:space="preserve"> Verfahrens und der möglichen inhärenten</w:t>
      </w:r>
      <w:r>
        <w:rPr>
          <w:rStyle w:val="Funotenzeichen"/>
          <w:rFonts w:eastAsia="PalatinoLinotype-Roman"/>
        </w:rPr>
        <w:footnoteReference w:id="3"/>
      </w:r>
      <w:r>
        <w:rPr>
          <w:rFonts w:eastAsia="PalatinoLinotype-Roman"/>
        </w:rPr>
        <w:t xml:space="preserve"> Sicherheit</w:t>
      </w:r>
      <w:r w:rsidRPr="006117EF">
        <w:rPr>
          <w:rFonts w:eastAsia="PalatinoLinotype-Roman"/>
        </w:rPr>
        <w:t xml:space="preserve"> und der damit einhergehenden CE-Kennzeichnung bewerkstelligt werden kann, ist nicht abschließend zu beantworten. Hier ist aus Sicht der Autoren immer eine Einzelfallbetrachtung erforderlich. Ein Kochrezept gibt es nicht. </w:t>
      </w:r>
      <w:r w:rsidRPr="006117EF">
        <w:rPr>
          <w:rFonts w:eastAsia="PalatinoLinotype-Roman"/>
          <w:b/>
        </w:rPr>
        <w:t xml:space="preserve">Die </w:t>
      </w:r>
      <w:r>
        <w:rPr>
          <w:rFonts w:eastAsia="PalatinoLinotype-Roman"/>
          <w:b/>
        </w:rPr>
        <w:t xml:space="preserve">Ausstellung einer EG Konformitätserklärung inkl. </w:t>
      </w:r>
      <w:r w:rsidRPr="006117EF">
        <w:rPr>
          <w:rFonts w:eastAsia="PalatinoLinotype-Roman"/>
          <w:b/>
        </w:rPr>
        <w:t>CE-Kennzeichnung erfolgt</w:t>
      </w:r>
      <w:r w:rsidRPr="006117EF">
        <w:rPr>
          <w:rFonts w:eastAsia="PalatinoLinotype-Roman"/>
        </w:rPr>
        <w:t xml:space="preserve"> </w:t>
      </w:r>
      <w:r w:rsidRPr="006117EF">
        <w:rPr>
          <w:rFonts w:eastAsia="PalatinoLinotype-Roman"/>
          <w:b/>
          <w:u w:val="single"/>
        </w:rPr>
        <w:t>nicht</w:t>
      </w:r>
      <w:r w:rsidRPr="006117EF">
        <w:rPr>
          <w:rFonts w:eastAsia="PalatinoLinotype-Roman"/>
          <w:b/>
        </w:rPr>
        <w:t xml:space="preserve"> rückwirkend</w:t>
      </w:r>
      <w:r w:rsidRPr="006117EF">
        <w:rPr>
          <w:rFonts w:eastAsia="PalatinoLinotype-Roman"/>
        </w:rPr>
        <w:t xml:space="preserve">, sondern ab dem Tag der neuerlichen Inbetriebnahme </w:t>
      </w:r>
      <w:r>
        <w:rPr>
          <w:rFonts w:eastAsia="PalatinoLinotype-Roman"/>
        </w:rPr>
        <w:t>einhergehend mit der</w:t>
      </w:r>
      <w:r w:rsidRPr="006117EF">
        <w:rPr>
          <w:rFonts w:eastAsia="PalatinoLinotype-Roman"/>
        </w:rPr>
        <w:t xml:space="preserve"> Nachbesserung.</w:t>
      </w:r>
    </w:p>
    <w:p w14:paraId="46C6FF8B" w14:textId="77777777" w:rsidR="000D45AD" w:rsidRDefault="000D45AD" w:rsidP="000D45AD">
      <w:pPr>
        <w:autoSpaceDE w:val="0"/>
        <w:autoSpaceDN w:val="0"/>
        <w:adjustRightInd w:val="0"/>
        <w:spacing w:after="0"/>
        <w:jc w:val="both"/>
        <w:rPr>
          <w:rFonts w:eastAsia="PalatinoLinotype-Roman"/>
          <w:b/>
        </w:rPr>
      </w:pPr>
    </w:p>
    <w:p w14:paraId="5B465F1F" w14:textId="77777777" w:rsidR="000D45AD" w:rsidRPr="004966F1" w:rsidRDefault="000D45AD" w:rsidP="000D45AD">
      <w:pPr>
        <w:autoSpaceDE w:val="0"/>
        <w:autoSpaceDN w:val="0"/>
        <w:adjustRightInd w:val="0"/>
        <w:spacing w:after="0"/>
        <w:jc w:val="both"/>
        <w:rPr>
          <w:rFonts w:eastAsia="PalatinoLinotype-Roman"/>
        </w:rPr>
      </w:pPr>
      <w:r w:rsidRPr="00156349">
        <w:rPr>
          <w:rFonts w:eastAsia="PalatinoLinotype-Roman"/>
        </w:rPr>
        <w:t xml:space="preserve">Bei den vorgenannten Anforderungen ist jedoch immer die </w:t>
      </w:r>
      <w:r w:rsidRPr="004779A8">
        <w:rPr>
          <w:rFonts w:eastAsia="PalatinoLinotype-Roman"/>
          <w:b/>
        </w:rPr>
        <w:t>„Verhältnismäßigkeit“</w:t>
      </w:r>
      <w:r w:rsidRPr="00156349">
        <w:rPr>
          <w:rFonts w:eastAsia="PalatinoLinotype-Roman"/>
        </w:rPr>
        <w:t xml:space="preserve"> zu berücksichtigen.</w:t>
      </w:r>
      <w:r>
        <w:rPr>
          <w:rFonts w:eastAsia="PalatinoLinotype-Roman"/>
        </w:rPr>
        <w:t xml:space="preserve"> </w:t>
      </w:r>
      <w:r w:rsidRPr="004779A8">
        <w:rPr>
          <w:rFonts w:eastAsia="PalatinoLinotype-Roman"/>
          <w:b/>
        </w:rPr>
        <w:t>Jede staatliche Entscheidung muss dem Verhältnismäßigkeitsgrundsatz entsprechen</w:t>
      </w:r>
      <w:r w:rsidRPr="004779A8">
        <w:rPr>
          <w:rFonts w:eastAsia="PalatinoLinotype-Roman"/>
        </w:rPr>
        <w:t xml:space="preserve">, darf also nicht unangemessen belasten und nicht „über das Ziel hinausschießen“. </w:t>
      </w:r>
      <w:r>
        <w:rPr>
          <w:rFonts w:eastAsia="PalatinoLinotype-Roman"/>
        </w:rPr>
        <w:br/>
      </w:r>
      <w:r w:rsidRPr="004779A8">
        <w:rPr>
          <w:rFonts w:eastAsia="PalatinoLinotype-Roman"/>
        </w:rPr>
        <w:t xml:space="preserve">Juristen nennen das auch </w:t>
      </w:r>
      <w:r w:rsidRPr="004779A8">
        <w:rPr>
          <w:rFonts w:eastAsia="PalatinoLinotype-Roman"/>
          <w:b/>
        </w:rPr>
        <w:t>„Übermaßverbot“</w:t>
      </w:r>
      <w:r>
        <w:rPr>
          <w:rFonts w:eastAsia="PalatinoLinotype-Roman"/>
          <w:b/>
        </w:rPr>
        <w:t>.</w:t>
      </w:r>
    </w:p>
    <w:p w14:paraId="35BC0A1E" w14:textId="77777777" w:rsidR="000D45AD" w:rsidRPr="00542355" w:rsidRDefault="000D45AD" w:rsidP="000D45AD">
      <w:pPr>
        <w:spacing w:after="0"/>
        <w:jc w:val="both"/>
        <w:rPr>
          <w:rFonts w:eastAsia="PalatinoLinotype-Roman"/>
          <w:b/>
        </w:rPr>
      </w:pPr>
    </w:p>
    <w:p w14:paraId="12461A13" w14:textId="7B890966" w:rsidR="001E1F91" w:rsidRPr="00542355" w:rsidRDefault="001E1F91" w:rsidP="003A118A">
      <w:pPr>
        <w:spacing w:after="0"/>
        <w:jc w:val="both"/>
        <w:rPr>
          <w:rFonts w:eastAsia="PalatinoLinotype-Roman"/>
          <w:b/>
        </w:rPr>
      </w:pPr>
    </w:p>
    <w:sectPr w:rsidR="001E1F91" w:rsidRPr="00542355"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804AB" w14:textId="77777777" w:rsidR="00FD683D" w:rsidRDefault="00FD683D" w:rsidP="00826AF7">
      <w:r>
        <w:separator/>
      </w:r>
    </w:p>
    <w:p w14:paraId="1A67DB72" w14:textId="77777777" w:rsidR="00FD683D" w:rsidRDefault="00FD683D" w:rsidP="00826AF7"/>
    <w:p w14:paraId="1D5A6BF9" w14:textId="77777777" w:rsidR="00FD683D" w:rsidRDefault="00FD683D" w:rsidP="00826AF7"/>
  </w:endnote>
  <w:endnote w:type="continuationSeparator" w:id="0">
    <w:p w14:paraId="0D79BD97" w14:textId="77777777" w:rsidR="00FD683D" w:rsidRDefault="00FD683D" w:rsidP="00826AF7">
      <w:r>
        <w:continuationSeparator/>
      </w:r>
    </w:p>
    <w:p w14:paraId="126B0966" w14:textId="77777777" w:rsidR="00FD683D" w:rsidRDefault="00FD683D" w:rsidP="00826AF7"/>
    <w:p w14:paraId="2F5442BB" w14:textId="77777777" w:rsidR="00FD683D" w:rsidRDefault="00FD683D"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Linotype-Roman">
    <w:altName w:val="SimSun"/>
    <w:panose1 w:val="00000000000000000000"/>
    <w:charset w:val="00"/>
    <w:family w:val="roman"/>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84"/>
      <w:gridCol w:w="1044"/>
      <w:gridCol w:w="1114"/>
      <w:gridCol w:w="1114"/>
      <w:gridCol w:w="1114"/>
      <w:gridCol w:w="1114"/>
    </w:tblGrid>
    <w:tr w:rsidR="000F4359" w:rsidRPr="004C1C05" w14:paraId="59E54423" w14:textId="77777777" w:rsidTr="001A50B2">
      <w:trPr>
        <w:trHeight w:val="240"/>
      </w:trPr>
      <w:tc>
        <w:tcPr>
          <w:tcW w:w="1814" w:type="dxa"/>
          <w:vAlign w:val="center"/>
        </w:tcPr>
        <w:p w14:paraId="56395ACF" w14:textId="77777777" w:rsidR="000F4359" w:rsidRPr="004C1C05" w:rsidRDefault="000F4359" w:rsidP="000F4359">
          <w:pPr>
            <w:pStyle w:val="Fuzeile"/>
            <w:spacing w:after="0"/>
            <w:ind w:right="-83"/>
            <w:rPr>
              <w:sz w:val="16"/>
              <w:szCs w:val="16"/>
            </w:rPr>
          </w:pPr>
          <w:r w:rsidRPr="004C1C05">
            <w:rPr>
              <w:sz w:val="16"/>
              <w:szCs w:val="16"/>
            </w:rPr>
            <w:t>Ausgabe/Revision:</w:t>
          </w:r>
        </w:p>
      </w:tc>
      <w:tc>
        <w:tcPr>
          <w:tcW w:w="1113" w:type="dxa"/>
          <w:vAlign w:val="center"/>
        </w:tcPr>
        <w:p w14:paraId="715DA38B" w14:textId="11913F9E" w:rsidR="000F4359" w:rsidRPr="004C1C05" w:rsidRDefault="006A6CF7" w:rsidP="000F4359">
          <w:pPr>
            <w:pStyle w:val="Fuzeile"/>
            <w:spacing w:after="0"/>
            <w:ind w:right="-83"/>
            <w:rPr>
              <w:sz w:val="16"/>
              <w:szCs w:val="16"/>
            </w:rPr>
          </w:pPr>
          <w:r w:rsidRPr="004C1C05">
            <w:rPr>
              <w:sz w:val="16"/>
              <w:szCs w:val="16"/>
            </w:rPr>
            <w:t>0</w:t>
          </w:r>
        </w:p>
      </w:tc>
      <w:tc>
        <w:tcPr>
          <w:tcW w:w="1184" w:type="dxa"/>
          <w:vAlign w:val="center"/>
        </w:tcPr>
        <w:p w14:paraId="3057FE5D" w14:textId="462AFF7F" w:rsidR="000F4359" w:rsidRPr="004C1C05" w:rsidRDefault="0016115F" w:rsidP="000F4359">
          <w:pPr>
            <w:pStyle w:val="Fuzeile"/>
            <w:spacing w:after="0"/>
            <w:ind w:right="-83"/>
            <w:rPr>
              <w:sz w:val="16"/>
              <w:szCs w:val="16"/>
            </w:rPr>
          </w:pPr>
          <w:r>
            <w:rPr>
              <w:sz w:val="16"/>
              <w:szCs w:val="16"/>
            </w:rPr>
            <w:t>1</w:t>
          </w:r>
        </w:p>
      </w:tc>
      <w:tc>
        <w:tcPr>
          <w:tcW w:w="1044" w:type="dxa"/>
          <w:vAlign w:val="center"/>
        </w:tcPr>
        <w:p w14:paraId="3AC5FACB" w14:textId="77777777" w:rsidR="000F4359" w:rsidRPr="004C1C05" w:rsidRDefault="000F4359" w:rsidP="000F4359">
          <w:pPr>
            <w:pStyle w:val="Fuzeile"/>
            <w:spacing w:after="0"/>
            <w:ind w:right="-83"/>
            <w:rPr>
              <w:sz w:val="16"/>
              <w:szCs w:val="16"/>
            </w:rPr>
          </w:pPr>
        </w:p>
      </w:tc>
      <w:tc>
        <w:tcPr>
          <w:tcW w:w="1114" w:type="dxa"/>
          <w:vAlign w:val="center"/>
        </w:tcPr>
        <w:p w14:paraId="583322C0" w14:textId="77777777" w:rsidR="000F4359" w:rsidRPr="004C1C05" w:rsidRDefault="000F4359" w:rsidP="000F4359">
          <w:pPr>
            <w:pStyle w:val="Fuzeile"/>
            <w:spacing w:after="0"/>
            <w:ind w:right="-83"/>
            <w:rPr>
              <w:sz w:val="16"/>
              <w:szCs w:val="16"/>
            </w:rPr>
          </w:pPr>
        </w:p>
      </w:tc>
      <w:tc>
        <w:tcPr>
          <w:tcW w:w="1114" w:type="dxa"/>
          <w:vAlign w:val="center"/>
        </w:tcPr>
        <w:p w14:paraId="3CC8F3E5" w14:textId="77777777" w:rsidR="000F4359" w:rsidRPr="004C1C05" w:rsidRDefault="000F4359" w:rsidP="000F4359">
          <w:pPr>
            <w:pStyle w:val="Fuzeile"/>
            <w:spacing w:after="0"/>
            <w:ind w:right="-83"/>
            <w:rPr>
              <w:sz w:val="16"/>
              <w:szCs w:val="16"/>
            </w:rPr>
          </w:pPr>
        </w:p>
      </w:tc>
      <w:tc>
        <w:tcPr>
          <w:tcW w:w="1114" w:type="dxa"/>
          <w:vAlign w:val="center"/>
        </w:tcPr>
        <w:p w14:paraId="0441715C" w14:textId="77777777" w:rsidR="000F4359" w:rsidRPr="004C1C05" w:rsidRDefault="000F4359" w:rsidP="000F4359">
          <w:pPr>
            <w:pStyle w:val="Fuzeile"/>
            <w:spacing w:after="0"/>
            <w:ind w:right="-83"/>
            <w:rPr>
              <w:sz w:val="16"/>
              <w:szCs w:val="16"/>
            </w:rPr>
          </w:pPr>
          <w:r w:rsidRPr="004C1C05">
            <w:rPr>
              <w:sz w:val="16"/>
              <w:szCs w:val="16"/>
            </w:rPr>
            <w:t>Seite:</w:t>
          </w:r>
        </w:p>
      </w:tc>
      <w:tc>
        <w:tcPr>
          <w:tcW w:w="1114" w:type="dxa"/>
          <w:vAlign w:val="center"/>
        </w:tcPr>
        <w:p w14:paraId="5DA68FBE" w14:textId="77777777" w:rsidR="000F4359" w:rsidRPr="004C1C05" w:rsidRDefault="000F4359" w:rsidP="000F4359">
          <w:pPr>
            <w:pStyle w:val="Fuzeile"/>
            <w:spacing w:after="0"/>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sidR="00F97810">
            <w:rPr>
              <w:noProof/>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sidR="00F97810">
            <w:rPr>
              <w:noProof/>
              <w:sz w:val="16"/>
              <w:szCs w:val="16"/>
            </w:rPr>
            <w:t>1</w:t>
          </w:r>
          <w:r w:rsidRPr="004C1C05">
            <w:rPr>
              <w:sz w:val="16"/>
              <w:szCs w:val="16"/>
            </w:rPr>
            <w:fldChar w:fldCharType="end"/>
          </w:r>
        </w:p>
      </w:tc>
    </w:tr>
    <w:tr w:rsidR="000F4359" w:rsidRPr="004C1C05" w14:paraId="170C4AA8" w14:textId="77777777" w:rsidTr="001A50B2">
      <w:tc>
        <w:tcPr>
          <w:tcW w:w="1814" w:type="dxa"/>
          <w:vAlign w:val="center"/>
        </w:tcPr>
        <w:p w14:paraId="4B73E3EE" w14:textId="77777777" w:rsidR="000F4359" w:rsidRPr="004C1C05" w:rsidRDefault="000F4359" w:rsidP="000F4359">
          <w:pPr>
            <w:pStyle w:val="Fuzeile"/>
            <w:spacing w:after="0"/>
            <w:ind w:right="-83"/>
            <w:rPr>
              <w:sz w:val="16"/>
              <w:szCs w:val="16"/>
            </w:rPr>
          </w:pPr>
          <w:r w:rsidRPr="004C1C05">
            <w:rPr>
              <w:sz w:val="16"/>
              <w:szCs w:val="16"/>
            </w:rPr>
            <w:t>Datum:</w:t>
          </w:r>
        </w:p>
      </w:tc>
      <w:tc>
        <w:tcPr>
          <w:tcW w:w="1113" w:type="dxa"/>
          <w:vAlign w:val="center"/>
        </w:tcPr>
        <w:p w14:paraId="37FC0CE9" w14:textId="7D5BF11B" w:rsidR="000F4359" w:rsidRPr="004C1C05" w:rsidRDefault="00812651" w:rsidP="000F4359">
          <w:pPr>
            <w:pStyle w:val="Fuzeile"/>
            <w:spacing w:after="0"/>
            <w:ind w:right="-83"/>
            <w:rPr>
              <w:sz w:val="16"/>
              <w:szCs w:val="16"/>
            </w:rPr>
          </w:pPr>
          <w:r>
            <w:rPr>
              <w:sz w:val="16"/>
              <w:szCs w:val="16"/>
            </w:rPr>
            <w:t>0</w:t>
          </w:r>
          <w:r w:rsidR="000D45AD">
            <w:rPr>
              <w:sz w:val="16"/>
              <w:szCs w:val="16"/>
            </w:rPr>
            <w:t>4</w:t>
          </w:r>
          <w:r w:rsidR="00FD088D">
            <w:rPr>
              <w:sz w:val="16"/>
              <w:szCs w:val="16"/>
            </w:rPr>
            <w:t>.</w:t>
          </w:r>
          <w:r>
            <w:rPr>
              <w:sz w:val="16"/>
              <w:szCs w:val="16"/>
            </w:rPr>
            <w:t>2019</w:t>
          </w:r>
        </w:p>
      </w:tc>
      <w:tc>
        <w:tcPr>
          <w:tcW w:w="1184" w:type="dxa"/>
          <w:vAlign w:val="center"/>
        </w:tcPr>
        <w:p w14:paraId="5B880C40" w14:textId="612ED6A0" w:rsidR="000F4359" w:rsidRPr="004C1C05" w:rsidRDefault="0016115F" w:rsidP="000F4359">
          <w:pPr>
            <w:pStyle w:val="Fuzeile"/>
            <w:spacing w:after="0"/>
            <w:ind w:right="-83"/>
            <w:rPr>
              <w:sz w:val="16"/>
              <w:szCs w:val="16"/>
            </w:rPr>
          </w:pPr>
          <w:r>
            <w:rPr>
              <w:sz w:val="16"/>
              <w:szCs w:val="16"/>
            </w:rPr>
            <w:t>08.2019</w:t>
          </w:r>
        </w:p>
      </w:tc>
      <w:tc>
        <w:tcPr>
          <w:tcW w:w="1044" w:type="dxa"/>
          <w:vAlign w:val="center"/>
        </w:tcPr>
        <w:p w14:paraId="0D4AE9A4" w14:textId="77777777" w:rsidR="000F4359" w:rsidRPr="004C1C05" w:rsidRDefault="000F4359" w:rsidP="000F4359">
          <w:pPr>
            <w:pStyle w:val="Fuzeile"/>
            <w:spacing w:after="0"/>
            <w:ind w:right="-83"/>
            <w:rPr>
              <w:sz w:val="16"/>
              <w:szCs w:val="16"/>
            </w:rPr>
          </w:pPr>
        </w:p>
      </w:tc>
      <w:tc>
        <w:tcPr>
          <w:tcW w:w="1114" w:type="dxa"/>
          <w:vAlign w:val="center"/>
        </w:tcPr>
        <w:p w14:paraId="0DF1EBC2" w14:textId="77777777" w:rsidR="000F4359" w:rsidRPr="004C1C05" w:rsidRDefault="000F4359" w:rsidP="000F4359">
          <w:pPr>
            <w:pStyle w:val="Fuzeile"/>
            <w:spacing w:after="0"/>
            <w:ind w:right="-83"/>
            <w:rPr>
              <w:sz w:val="16"/>
              <w:szCs w:val="16"/>
            </w:rPr>
          </w:pPr>
        </w:p>
      </w:tc>
      <w:tc>
        <w:tcPr>
          <w:tcW w:w="1114" w:type="dxa"/>
          <w:vAlign w:val="center"/>
        </w:tcPr>
        <w:p w14:paraId="14EE2747" w14:textId="77777777" w:rsidR="000F4359" w:rsidRPr="004C1C05" w:rsidRDefault="000F4359" w:rsidP="000F4359">
          <w:pPr>
            <w:pStyle w:val="Fuzeile"/>
            <w:spacing w:after="0"/>
            <w:ind w:right="-83"/>
            <w:rPr>
              <w:sz w:val="16"/>
              <w:szCs w:val="16"/>
            </w:rPr>
          </w:pPr>
        </w:p>
      </w:tc>
      <w:tc>
        <w:tcPr>
          <w:tcW w:w="1114" w:type="dxa"/>
          <w:vAlign w:val="center"/>
        </w:tcPr>
        <w:p w14:paraId="0F65924F" w14:textId="77777777" w:rsidR="000F4359" w:rsidRPr="004C1C05" w:rsidRDefault="000F4359" w:rsidP="000F4359">
          <w:pPr>
            <w:pStyle w:val="Fuzeile"/>
            <w:spacing w:after="0"/>
            <w:ind w:right="-83"/>
            <w:rPr>
              <w:sz w:val="16"/>
              <w:szCs w:val="16"/>
            </w:rPr>
          </w:pPr>
          <w:r w:rsidRPr="004C1C05">
            <w:rPr>
              <w:sz w:val="16"/>
              <w:szCs w:val="16"/>
            </w:rPr>
            <w:t>Gültig ab:</w:t>
          </w:r>
        </w:p>
      </w:tc>
      <w:tc>
        <w:tcPr>
          <w:tcW w:w="1114" w:type="dxa"/>
          <w:vAlign w:val="center"/>
        </w:tcPr>
        <w:p w14:paraId="46AA8710" w14:textId="77777777" w:rsidR="000F4359" w:rsidRPr="004C1C05" w:rsidRDefault="000F4359" w:rsidP="000F4359">
          <w:pPr>
            <w:pStyle w:val="Fuzeile"/>
            <w:spacing w:after="0"/>
            <w:ind w:right="-83"/>
            <w:rPr>
              <w:sz w:val="16"/>
              <w:szCs w:val="16"/>
            </w:rPr>
          </w:pPr>
        </w:p>
      </w:tc>
    </w:tr>
    <w:tr w:rsidR="000F4359" w:rsidRPr="004C1C05" w14:paraId="1CDEF039" w14:textId="77777777" w:rsidTr="001A50B2">
      <w:tc>
        <w:tcPr>
          <w:tcW w:w="1814" w:type="dxa"/>
          <w:vAlign w:val="center"/>
        </w:tcPr>
        <w:p w14:paraId="4D98BA57" w14:textId="77777777" w:rsidR="000F4359" w:rsidRPr="004C1C05" w:rsidRDefault="000F4359" w:rsidP="000F4359">
          <w:pPr>
            <w:pStyle w:val="Fuzeile"/>
            <w:spacing w:after="0"/>
            <w:ind w:right="-83"/>
            <w:rPr>
              <w:sz w:val="16"/>
              <w:szCs w:val="16"/>
            </w:rPr>
          </w:pPr>
          <w:r w:rsidRPr="004C1C05">
            <w:rPr>
              <w:sz w:val="16"/>
              <w:szCs w:val="16"/>
            </w:rPr>
            <w:t>Erstellt/geändert:</w:t>
          </w:r>
        </w:p>
      </w:tc>
      <w:tc>
        <w:tcPr>
          <w:tcW w:w="1113" w:type="dxa"/>
          <w:vAlign w:val="center"/>
        </w:tcPr>
        <w:p w14:paraId="773174FE" w14:textId="71D8675A" w:rsidR="000F4359" w:rsidRPr="004C1C05" w:rsidRDefault="004C1C05" w:rsidP="000F4359">
          <w:pPr>
            <w:pStyle w:val="Fuzeile"/>
            <w:spacing w:after="0"/>
            <w:ind w:right="-83"/>
            <w:rPr>
              <w:sz w:val="16"/>
              <w:szCs w:val="16"/>
            </w:rPr>
          </w:pPr>
          <w:r>
            <w:rPr>
              <w:sz w:val="16"/>
              <w:szCs w:val="16"/>
            </w:rPr>
            <w:t>R.O.E.</w:t>
          </w:r>
          <w:r w:rsidR="006A6CF7" w:rsidRPr="004C1C05">
            <w:rPr>
              <w:sz w:val="16"/>
              <w:szCs w:val="16"/>
            </w:rPr>
            <w:t>GmbH</w:t>
          </w:r>
        </w:p>
      </w:tc>
      <w:tc>
        <w:tcPr>
          <w:tcW w:w="1184" w:type="dxa"/>
          <w:vAlign w:val="center"/>
        </w:tcPr>
        <w:p w14:paraId="3F6228DD" w14:textId="582EF2A9" w:rsidR="000F4359" w:rsidRPr="004C1C05" w:rsidRDefault="0016115F" w:rsidP="000F4359">
          <w:pPr>
            <w:pStyle w:val="Fuzeile"/>
            <w:spacing w:after="0"/>
            <w:ind w:right="-83"/>
            <w:rPr>
              <w:sz w:val="16"/>
              <w:szCs w:val="16"/>
            </w:rPr>
          </w:pPr>
          <w:r>
            <w:rPr>
              <w:sz w:val="16"/>
              <w:szCs w:val="16"/>
            </w:rPr>
            <w:t>R.O.E. GmbH</w:t>
          </w:r>
        </w:p>
      </w:tc>
      <w:tc>
        <w:tcPr>
          <w:tcW w:w="1044" w:type="dxa"/>
          <w:vAlign w:val="center"/>
        </w:tcPr>
        <w:p w14:paraId="33C6720A" w14:textId="77777777" w:rsidR="000F4359" w:rsidRPr="004C1C05" w:rsidRDefault="000F4359" w:rsidP="000F4359">
          <w:pPr>
            <w:pStyle w:val="Fuzeile"/>
            <w:spacing w:after="0"/>
            <w:ind w:right="-83"/>
            <w:rPr>
              <w:sz w:val="16"/>
              <w:szCs w:val="16"/>
            </w:rPr>
          </w:pPr>
        </w:p>
      </w:tc>
      <w:tc>
        <w:tcPr>
          <w:tcW w:w="1114" w:type="dxa"/>
          <w:vAlign w:val="center"/>
        </w:tcPr>
        <w:p w14:paraId="5F11B59C" w14:textId="77777777" w:rsidR="000F4359" w:rsidRPr="004C1C05" w:rsidRDefault="000F4359" w:rsidP="000F4359">
          <w:pPr>
            <w:pStyle w:val="Fuzeile"/>
            <w:spacing w:after="0"/>
            <w:ind w:right="-83"/>
            <w:rPr>
              <w:sz w:val="16"/>
              <w:szCs w:val="16"/>
            </w:rPr>
          </w:pPr>
        </w:p>
      </w:tc>
      <w:tc>
        <w:tcPr>
          <w:tcW w:w="1114" w:type="dxa"/>
          <w:vAlign w:val="center"/>
        </w:tcPr>
        <w:p w14:paraId="4571028E"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4C1C05" w:rsidRDefault="000F4359" w:rsidP="000F4359">
          <w:pPr>
            <w:pStyle w:val="Fuzeile"/>
            <w:spacing w:after="0"/>
            <w:ind w:right="-83"/>
            <w:rPr>
              <w:sz w:val="16"/>
              <w:szCs w:val="16"/>
            </w:rPr>
          </w:pPr>
        </w:p>
      </w:tc>
      <w:tc>
        <w:tcPr>
          <w:tcW w:w="1114" w:type="dxa"/>
          <w:vAlign w:val="center"/>
        </w:tcPr>
        <w:p w14:paraId="78D19F73" w14:textId="77777777" w:rsidR="000F4359" w:rsidRPr="004C1C05" w:rsidRDefault="000F4359" w:rsidP="000F4359">
          <w:pPr>
            <w:pStyle w:val="Fuzeile"/>
            <w:spacing w:after="0"/>
            <w:ind w:right="-83"/>
            <w:rPr>
              <w:sz w:val="16"/>
              <w:szCs w:val="16"/>
            </w:rPr>
          </w:pPr>
        </w:p>
      </w:tc>
    </w:tr>
    <w:tr w:rsidR="000F4359" w:rsidRPr="004C1C05" w14:paraId="237051E6" w14:textId="77777777" w:rsidTr="001A50B2">
      <w:tc>
        <w:tcPr>
          <w:tcW w:w="1814" w:type="dxa"/>
          <w:vAlign w:val="center"/>
        </w:tcPr>
        <w:p w14:paraId="2FB26E7C" w14:textId="77777777" w:rsidR="000F4359" w:rsidRPr="004C1C05" w:rsidRDefault="000F4359" w:rsidP="000F4359">
          <w:pPr>
            <w:pStyle w:val="Fuzeile"/>
            <w:spacing w:after="0"/>
            <w:ind w:right="-83"/>
            <w:rPr>
              <w:sz w:val="16"/>
              <w:szCs w:val="16"/>
            </w:rPr>
          </w:pPr>
          <w:r w:rsidRPr="004C1C05">
            <w:rPr>
              <w:sz w:val="16"/>
              <w:szCs w:val="16"/>
            </w:rPr>
            <w:t>Genehmigt:</w:t>
          </w:r>
        </w:p>
      </w:tc>
      <w:tc>
        <w:tcPr>
          <w:tcW w:w="1113" w:type="dxa"/>
          <w:vAlign w:val="center"/>
        </w:tcPr>
        <w:p w14:paraId="6B45523A" w14:textId="77777777" w:rsidR="000F4359" w:rsidRPr="004C1C05" w:rsidRDefault="000F4359" w:rsidP="000F4359">
          <w:pPr>
            <w:pStyle w:val="Fuzeile"/>
            <w:spacing w:after="0"/>
            <w:ind w:right="-83"/>
            <w:rPr>
              <w:sz w:val="16"/>
              <w:szCs w:val="16"/>
            </w:rPr>
          </w:pPr>
        </w:p>
      </w:tc>
      <w:tc>
        <w:tcPr>
          <w:tcW w:w="1184" w:type="dxa"/>
          <w:vAlign w:val="center"/>
        </w:tcPr>
        <w:p w14:paraId="5D706A56" w14:textId="77777777" w:rsidR="000F4359" w:rsidRPr="004C1C05" w:rsidRDefault="000F4359" w:rsidP="000F4359">
          <w:pPr>
            <w:pStyle w:val="Fuzeile"/>
            <w:spacing w:after="0"/>
            <w:ind w:right="-83"/>
            <w:rPr>
              <w:sz w:val="16"/>
              <w:szCs w:val="16"/>
            </w:rPr>
          </w:pPr>
        </w:p>
      </w:tc>
      <w:tc>
        <w:tcPr>
          <w:tcW w:w="1044" w:type="dxa"/>
          <w:vAlign w:val="center"/>
        </w:tcPr>
        <w:p w14:paraId="3CAC5B68" w14:textId="77777777" w:rsidR="000F4359" w:rsidRPr="004C1C05" w:rsidRDefault="000F4359" w:rsidP="000F4359">
          <w:pPr>
            <w:pStyle w:val="Fuzeile"/>
            <w:spacing w:after="0"/>
            <w:ind w:right="-83"/>
            <w:rPr>
              <w:sz w:val="16"/>
              <w:szCs w:val="16"/>
            </w:rPr>
          </w:pPr>
        </w:p>
      </w:tc>
      <w:tc>
        <w:tcPr>
          <w:tcW w:w="1114" w:type="dxa"/>
          <w:vAlign w:val="center"/>
        </w:tcPr>
        <w:p w14:paraId="3B3B696B" w14:textId="77777777" w:rsidR="000F4359" w:rsidRPr="004C1C05" w:rsidRDefault="000F4359" w:rsidP="000F4359">
          <w:pPr>
            <w:pStyle w:val="Fuzeile"/>
            <w:spacing w:after="0"/>
            <w:ind w:right="-83"/>
            <w:rPr>
              <w:sz w:val="16"/>
              <w:szCs w:val="16"/>
            </w:rPr>
          </w:pPr>
        </w:p>
      </w:tc>
      <w:tc>
        <w:tcPr>
          <w:tcW w:w="1114" w:type="dxa"/>
          <w:vAlign w:val="center"/>
        </w:tcPr>
        <w:p w14:paraId="7147F008"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4C1C05" w:rsidRDefault="000F4359" w:rsidP="000F4359">
          <w:pPr>
            <w:pStyle w:val="Fuzeile"/>
            <w:spacing w:after="0"/>
            <w:ind w:right="-83"/>
            <w:rPr>
              <w:sz w:val="16"/>
              <w:szCs w:val="16"/>
            </w:rPr>
          </w:pPr>
        </w:p>
      </w:tc>
      <w:tc>
        <w:tcPr>
          <w:tcW w:w="1114" w:type="dxa"/>
          <w:vAlign w:val="center"/>
        </w:tcPr>
        <w:p w14:paraId="24F34379" w14:textId="77777777" w:rsidR="000F4359" w:rsidRPr="004C1C05" w:rsidRDefault="000F4359" w:rsidP="000F4359">
          <w:pPr>
            <w:pStyle w:val="Fuzeile"/>
            <w:spacing w:after="0"/>
            <w:ind w:right="-83"/>
            <w:rPr>
              <w:sz w:val="16"/>
              <w:szCs w:val="16"/>
            </w:rPr>
          </w:pPr>
        </w:p>
      </w:tc>
    </w:tr>
  </w:tbl>
  <w:p w14:paraId="2702AF56" w14:textId="77777777" w:rsidR="00330719" w:rsidRPr="004C1C05" w:rsidRDefault="000F4359" w:rsidP="004D74DA">
    <w:pPr>
      <w:spacing w:before="60"/>
    </w:pPr>
    <w:r w:rsidRPr="004C1C05">
      <w:rPr>
        <w:b/>
        <w:sz w:val="16"/>
      </w:rPr>
      <w:t xml:space="preserve">© Copyright </w:t>
    </w:r>
    <w:r w:rsidR="004679BF" w:rsidRPr="004C1C05">
      <w:rPr>
        <w:b/>
        <w:sz w:val="16"/>
      </w:rPr>
      <w:t>R.O.E. Online GmbH</w:t>
    </w:r>
    <w:r w:rsidRPr="004C1C05">
      <w:rPr>
        <w:b/>
        <w:sz w:val="16"/>
      </w:rPr>
      <w:t>, keine unerlaubte Vervielfältigung</w:t>
    </w:r>
    <w:r w:rsidR="00445BD0" w:rsidRPr="004C1C05">
      <w:rPr>
        <w:b/>
        <w:sz w:val="16"/>
      </w:rPr>
      <w:t>,</w:t>
    </w:r>
    <w:r w:rsidRPr="004C1C05">
      <w:rPr>
        <w:b/>
        <w:sz w:val="16"/>
      </w:rPr>
      <w:t xml:space="preserve"> auch </w:t>
    </w:r>
    <w:r w:rsidR="00445BD0" w:rsidRPr="004C1C05">
      <w:rPr>
        <w:b/>
        <w:sz w:val="16"/>
      </w:rPr>
      <w:t xml:space="preserve">nicht </w:t>
    </w:r>
    <w:r w:rsidR="00B8757B" w:rsidRPr="004C1C05">
      <w:rPr>
        <w:b/>
        <w:sz w:val="16"/>
      </w:rPr>
      <w:t>a</w:t>
    </w:r>
    <w:r w:rsidRPr="004C1C05">
      <w:rPr>
        <w:b/>
        <w:sz w:val="16"/>
      </w:rPr>
      <w:t>uszugsweise</w:t>
    </w:r>
    <w:r w:rsidR="00445BD0" w:rsidRPr="004C1C05">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69A8F" w14:textId="77777777" w:rsidR="00FD683D" w:rsidRDefault="00FD683D" w:rsidP="00826AF7">
      <w:r>
        <w:separator/>
      </w:r>
    </w:p>
    <w:p w14:paraId="0A542C74" w14:textId="77777777" w:rsidR="00FD683D" w:rsidRDefault="00FD683D" w:rsidP="00826AF7"/>
    <w:p w14:paraId="5A3A2313" w14:textId="77777777" w:rsidR="00FD683D" w:rsidRDefault="00FD683D" w:rsidP="00826AF7"/>
  </w:footnote>
  <w:footnote w:type="continuationSeparator" w:id="0">
    <w:p w14:paraId="25666874" w14:textId="77777777" w:rsidR="00FD683D" w:rsidRDefault="00FD683D" w:rsidP="00826AF7">
      <w:r>
        <w:continuationSeparator/>
      </w:r>
    </w:p>
    <w:p w14:paraId="64C202EE" w14:textId="77777777" w:rsidR="00FD683D" w:rsidRDefault="00FD683D" w:rsidP="00826AF7"/>
    <w:p w14:paraId="01F747AC" w14:textId="77777777" w:rsidR="00FD683D" w:rsidRDefault="00FD683D" w:rsidP="00826AF7"/>
  </w:footnote>
  <w:footnote w:id="1">
    <w:p w14:paraId="09DD0348" w14:textId="77777777" w:rsidR="000D45AD" w:rsidRDefault="000D45AD" w:rsidP="000D45AD">
      <w:pPr>
        <w:pStyle w:val="Funotentext"/>
      </w:pPr>
      <w:r>
        <w:rPr>
          <w:rStyle w:val="Funotenzeichen"/>
        </w:rPr>
        <w:footnoteRef/>
      </w:r>
      <w:r>
        <w:t xml:space="preserve"> Unverzüglich bedeutet ohne schuldhafte Verzögerung, siehe BGB § 121</w:t>
      </w:r>
    </w:p>
  </w:footnote>
  <w:footnote w:id="2">
    <w:p w14:paraId="7ED3A796" w14:textId="77777777" w:rsidR="000D45AD" w:rsidRDefault="000D45AD" w:rsidP="000D45AD">
      <w:pPr>
        <w:pStyle w:val="Funotentext"/>
      </w:pPr>
      <w:r>
        <w:rPr>
          <w:rStyle w:val="Funotenzeichen"/>
        </w:rPr>
        <w:footnoteRef/>
      </w:r>
      <w:r>
        <w:t xml:space="preserve"> Beim iterativen Verfahren spricht man von Feedback-Schleifen. Dies ist ein Prozess, wo man sich durch das Wiederholen gleicher oder ähnlicher Handlungen einer Lösung für eine Aufgabenstellung (schaffen von Sicherheit für den Verwender) annähert und im besten Fall erreicht.</w:t>
      </w:r>
    </w:p>
  </w:footnote>
  <w:footnote w:id="3">
    <w:p w14:paraId="18D11BCF" w14:textId="77777777" w:rsidR="000D45AD" w:rsidRDefault="000D45AD" w:rsidP="000D45AD">
      <w:pPr>
        <w:pStyle w:val="Funotentext"/>
      </w:pPr>
      <w:r>
        <w:rPr>
          <w:rStyle w:val="Funotenzeichen"/>
        </w:rPr>
        <w:footnoteRef/>
      </w:r>
      <w:r>
        <w:t xml:space="preserve"> Inhärent bedeutet in sich sicher gebaut. Die Sicherheit ist in der Konstruktion innewohnend. Die Sicherheit wird von innen heraus, „von selbst“ wirksam.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4D74DA">
      <w:trPr>
        <w:trHeight w:val="841"/>
      </w:trPr>
      <w:tc>
        <w:tcPr>
          <w:tcW w:w="2349" w:type="dxa"/>
          <w:vAlign w:val="center"/>
        </w:tcPr>
        <w:p w14:paraId="742C4325" w14:textId="77C2FC82" w:rsidR="00DB66E9" w:rsidRPr="00E21DC0" w:rsidRDefault="001A50B2" w:rsidP="00C40A14">
          <w:pPr>
            <w:pStyle w:val="KeinLeerraum"/>
            <w:jc w:val="center"/>
            <w:rPr>
              <w:b/>
              <w:sz w:val="18"/>
            </w:rPr>
          </w:pPr>
          <w:r>
            <w:rPr>
              <w:noProof/>
            </w:rPr>
            <w:drawing>
              <wp:inline distT="0" distB="0" distL="0" distR="0" wp14:anchorId="001AAC2E" wp14:editId="1A4C23C6">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4D74DA">
      <w:trPr>
        <w:trHeight w:val="832"/>
      </w:trPr>
      <w:tc>
        <w:tcPr>
          <w:tcW w:w="2349" w:type="dxa"/>
          <w:vAlign w:val="center"/>
        </w:tcPr>
        <w:p w14:paraId="37896C1D" w14:textId="7166E70C" w:rsidR="00330719" w:rsidRPr="00E21DC0" w:rsidRDefault="002303AC" w:rsidP="002A63CB">
          <w:pPr>
            <w:jc w:val="center"/>
          </w:pPr>
          <w:r w:rsidRPr="00E21DC0">
            <w:rPr>
              <w:b/>
            </w:rPr>
            <w:t>UW_ET_</w:t>
          </w:r>
          <w:r w:rsidR="003A118A">
            <w:rPr>
              <w:b/>
            </w:rPr>
            <w:t>4</w:t>
          </w:r>
          <w:r w:rsidR="000D45AD">
            <w:rPr>
              <w:b/>
            </w:rPr>
            <w:t>6</w:t>
          </w:r>
        </w:p>
      </w:tc>
      <w:tc>
        <w:tcPr>
          <w:tcW w:w="5026" w:type="dxa"/>
          <w:vAlign w:val="center"/>
        </w:tcPr>
        <w:p w14:paraId="6B5061A9" w14:textId="77777777" w:rsidR="003A118A" w:rsidRDefault="00542355" w:rsidP="00292EAA">
          <w:pPr>
            <w:spacing w:after="0"/>
            <w:jc w:val="center"/>
            <w:rPr>
              <w:sz w:val="28"/>
              <w:szCs w:val="28"/>
            </w:rPr>
          </w:pPr>
          <w:r>
            <w:rPr>
              <w:sz w:val="28"/>
              <w:szCs w:val="28"/>
            </w:rPr>
            <w:t>Nachträgliche CE-Kennzeichnung</w:t>
          </w:r>
        </w:p>
        <w:p w14:paraId="2E05780B" w14:textId="36A6BB04" w:rsidR="00330719" w:rsidRPr="00B2005A" w:rsidRDefault="003A118A" w:rsidP="00292EAA">
          <w:pPr>
            <w:spacing w:after="0"/>
            <w:jc w:val="center"/>
            <w:rPr>
              <w:sz w:val="28"/>
              <w:szCs w:val="28"/>
            </w:rPr>
          </w:pPr>
          <w:r>
            <w:rPr>
              <w:sz w:val="28"/>
              <w:szCs w:val="28"/>
            </w:rPr>
            <w:t xml:space="preserve">Teil </w:t>
          </w:r>
          <w:r w:rsidR="000D45AD">
            <w:rPr>
              <w:sz w:val="28"/>
              <w:szCs w:val="28"/>
            </w:rPr>
            <w:t>3</w:t>
          </w:r>
        </w:p>
      </w:tc>
      <w:tc>
        <w:tcPr>
          <w:tcW w:w="2236" w:type="dxa"/>
          <w:vAlign w:val="center"/>
        </w:tcPr>
        <w:p w14:paraId="22DAF9DE" w14:textId="77777777" w:rsidR="00330719" w:rsidRPr="00E21DC0" w:rsidRDefault="00330719" w:rsidP="002A63CB">
          <w:pPr>
            <w:jc w:val="center"/>
          </w:pPr>
        </w:p>
      </w:tc>
    </w:tr>
  </w:tbl>
  <w:p w14:paraId="1D17CDA2" w14:textId="34D44E39"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8C632C7"/>
    <w:multiLevelType w:val="hybridMultilevel"/>
    <w:tmpl w:val="8758B06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6"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CD73BA5"/>
    <w:multiLevelType w:val="hybridMultilevel"/>
    <w:tmpl w:val="58D6688E"/>
    <w:lvl w:ilvl="0" w:tplc="3418F018">
      <w:start w:val="3"/>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9" w15:restartNumberingAfterBreak="0">
    <w:nsid w:val="4EEC6D32"/>
    <w:multiLevelType w:val="hybridMultilevel"/>
    <w:tmpl w:val="F69A1F20"/>
    <w:lvl w:ilvl="0" w:tplc="04070001">
      <w:start w:val="1"/>
      <w:numFmt w:val="bullet"/>
      <w:lvlText w:val=""/>
      <w:lvlJc w:val="left"/>
      <w:pPr>
        <w:ind w:left="720" w:hanging="360"/>
      </w:pPr>
      <w:rPr>
        <w:rFonts w:ascii="Symbol" w:hAnsi="Symbol" w:hint="default"/>
      </w:rPr>
    </w:lvl>
    <w:lvl w:ilvl="1" w:tplc="8CDA2666">
      <w:numFmt w:val="bullet"/>
      <w:lvlText w:val="•"/>
      <w:lvlJc w:val="left"/>
      <w:pPr>
        <w:ind w:left="1780" w:hanging="70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2D7371"/>
    <w:multiLevelType w:val="hybridMultilevel"/>
    <w:tmpl w:val="0E02DA44"/>
    <w:lvl w:ilvl="0" w:tplc="0407000F">
      <w:start w:val="1"/>
      <w:numFmt w:val="decimal"/>
      <w:lvlText w:val="%1."/>
      <w:lvlJc w:val="left"/>
      <w:pPr>
        <w:ind w:left="1070"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5"/>
  </w:num>
  <w:num w:numId="2">
    <w:abstractNumId w:val="8"/>
  </w:num>
  <w:num w:numId="3">
    <w:abstractNumId w:val="6"/>
  </w:num>
  <w:num w:numId="4">
    <w:abstractNumId w:val="4"/>
  </w:num>
  <w:num w:numId="5">
    <w:abstractNumId w:val="2"/>
  </w:num>
  <w:num w:numId="6">
    <w:abstractNumId w:val="1"/>
  </w:num>
  <w:num w:numId="7">
    <w:abstractNumId w:val="0"/>
  </w:num>
  <w:num w:numId="8">
    <w:abstractNumId w:val="9"/>
  </w:num>
  <w:num w:numId="9">
    <w:abstractNumId w:val="3"/>
  </w:num>
  <w:num w:numId="10">
    <w:abstractNumId w:val="7"/>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02AAC"/>
    <w:rsid w:val="00016152"/>
    <w:rsid w:val="00023FB9"/>
    <w:rsid w:val="000242FC"/>
    <w:rsid w:val="00024838"/>
    <w:rsid w:val="00033B20"/>
    <w:rsid w:val="00037B1A"/>
    <w:rsid w:val="000400C8"/>
    <w:rsid w:val="00054D9E"/>
    <w:rsid w:val="0007316A"/>
    <w:rsid w:val="00083141"/>
    <w:rsid w:val="00090781"/>
    <w:rsid w:val="00091A2C"/>
    <w:rsid w:val="00091DDC"/>
    <w:rsid w:val="00095C94"/>
    <w:rsid w:val="00097DE6"/>
    <w:rsid w:val="000A2981"/>
    <w:rsid w:val="000A2C61"/>
    <w:rsid w:val="000A7617"/>
    <w:rsid w:val="000B1ED1"/>
    <w:rsid w:val="000C4F97"/>
    <w:rsid w:val="000C55CC"/>
    <w:rsid w:val="000C6A29"/>
    <w:rsid w:val="000D03FC"/>
    <w:rsid w:val="000D45AD"/>
    <w:rsid w:val="000E1425"/>
    <w:rsid w:val="000E4C67"/>
    <w:rsid w:val="000E70B5"/>
    <w:rsid w:val="000F4359"/>
    <w:rsid w:val="00100DC9"/>
    <w:rsid w:val="00113431"/>
    <w:rsid w:val="00121416"/>
    <w:rsid w:val="00137832"/>
    <w:rsid w:val="001402C3"/>
    <w:rsid w:val="001451D7"/>
    <w:rsid w:val="00152A3E"/>
    <w:rsid w:val="00154449"/>
    <w:rsid w:val="00157F51"/>
    <w:rsid w:val="00160054"/>
    <w:rsid w:val="0016037D"/>
    <w:rsid w:val="0016115F"/>
    <w:rsid w:val="001638CC"/>
    <w:rsid w:val="001639E0"/>
    <w:rsid w:val="00165E35"/>
    <w:rsid w:val="00171F84"/>
    <w:rsid w:val="00182075"/>
    <w:rsid w:val="00182446"/>
    <w:rsid w:val="00194762"/>
    <w:rsid w:val="00195ECB"/>
    <w:rsid w:val="001A1C31"/>
    <w:rsid w:val="001A46D5"/>
    <w:rsid w:val="001A50B2"/>
    <w:rsid w:val="001B10E1"/>
    <w:rsid w:val="001B6E66"/>
    <w:rsid w:val="001D07A8"/>
    <w:rsid w:val="001D2245"/>
    <w:rsid w:val="001D68BB"/>
    <w:rsid w:val="001E17D2"/>
    <w:rsid w:val="001E1F91"/>
    <w:rsid w:val="001E2C1F"/>
    <w:rsid w:val="001E3783"/>
    <w:rsid w:val="001E4563"/>
    <w:rsid w:val="001E5B55"/>
    <w:rsid w:val="00206522"/>
    <w:rsid w:val="002070A3"/>
    <w:rsid w:val="00216CD4"/>
    <w:rsid w:val="00226D01"/>
    <w:rsid w:val="002303AC"/>
    <w:rsid w:val="00242DCD"/>
    <w:rsid w:val="00243D09"/>
    <w:rsid w:val="00244302"/>
    <w:rsid w:val="002577EA"/>
    <w:rsid w:val="00257A91"/>
    <w:rsid w:val="0026486F"/>
    <w:rsid w:val="002667FA"/>
    <w:rsid w:val="002670BC"/>
    <w:rsid w:val="00290A87"/>
    <w:rsid w:val="00292EAA"/>
    <w:rsid w:val="002A0674"/>
    <w:rsid w:val="002A63CB"/>
    <w:rsid w:val="002A6A64"/>
    <w:rsid w:val="002B5513"/>
    <w:rsid w:val="002C7507"/>
    <w:rsid w:val="002D08AD"/>
    <w:rsid w:val="002D5804"/>
    <w:rsid w:val="002D5E17"/>
    <w:rsid w:val="002E00A9"/>
    <w:rsid w:val="002E7496"/>
    <w:rsid w:val="002F3BB5"/>
    <w:rsid w:val="00303E39"/>
    <w:rsid w:val="00304F23"/>
    <w:rsid w:val="00305438"/>
    <w:rsid w:val="0031074E"/>
    <w:rsid w:val="00314BCE"/>
    <w:rsid w:val="003164FF"/>
    <w:rsid w:val="00317C3B"/>
    <w:rsid w:val="0032016F"/>
    <w:rsid w:val="00330719"/>
    <w:rsid w:val="00332BC1"/>
    <w:rsid w:val="0033379C"/>
    <w:rsid w:val="00337444"/>
    <w:rsid w:val="003405CC"/>
    <w:rsid w:val="00343F20"/>
    <w:rsid w:val="003579E2"/>
    <w:rsid w:val="00371D90"/>
    <w:rsid w:val="00374452"/>
    <w:rsid w:val="00383787"/>
    <w:rsid w:val="00386D24"/>
    <w:rsid w:val="00387456"/>
    <w:rsid w:val="00392CCE"/>
    <w:rsid w:val="00393968"/>
    <w:rsid w:val="00394516"/>
    <w:rsid w:val="00396861"/>
    <w:rsid w:val="003A118A"/>
    <w:rsid w:val="003A5A68"/>
    <w:rsid w:val="003B7375"/>
    <w:rsid w:val="003D7539"/>
    <w:rsid w:val="003E0AA6"/>
    <w:rsid w:val="003E2477"/>
    <w:rsid w:val="003F0948"/>
    <w:rsid w:val="003F4F74"/>
    <w:rsid w:val="003F624E"/>
    <w:rsid w:val="003F6C8A"/>
    <w:rsid w:val="00400023"/>
    <w:rsid w:val="00403934"/>
    <w:rsid w:val="004060B5"/>
    <w:rsid w:val="00415722"/>
    <w:rsid w:val="0041639C"/>
    <w:rsid w:val="00417779"/>
    <w:rsid w:val="0042405C"/>
    <w:rsid w:val="00427102"/>
    <w:rsid w:val="004300D8"/>
    <w:rsid w:val="0043041C"/>
    <w:rsid w:val="00431B8C"/>
    <w:rsid w:val="004424BB"/>
    <w:rsid w:val="004446A0"/>
    <w:rsid w:val="00445BD0"/>
    <w:rsid w:val="004510F0"/>
    <w:rsid w:val="004523E8"/>
    <w:rsid w:val="004612B5"/>
    <w:rsid w:val="0046148A"/>
    <w:rsid w:val="004639D8"/>
    <w:rsid w:val="00464322"/>
    <w:rsid w:val="00464A09"/>
    <w:rsid w:val="004679BF"/>
    <w:rsid w:val="00472853"/>
    <w:rsid w:val="004779EF"/>
    <w:rsid w:val="00480CEF"/>
    <w:rsid w:val="00483692"/>
    <w:rsid w:val="00486FAC"/>
    <w:rsid w:val="004917C9"/>
    <w:rsid w:val="00497861"/>
    <w:rsid w:val="004A680D"/>
    <w:rsid w:val="004B0140"/>
    <w:rsid w:val="004B0A6F"/>
    <w:rsid w:val="004B2D5C"/>
    <w:rsid w:val="004B38B5"/>
    <w:rsid w:val="004C1C05"/>
    <w:rsid w:val="004C32B1"/>
    <w:rsid w:val="004C533D"/>
    <w:rsid w:val="004C5C13"/>
    <w:rsid w:val="004D164C"/>
    <w:rsid w:val="004D63BC"/>
    <w:rsid w:val="004D74DA"/>
    <w:rsid w:val="004F2B84"/>
    <w:rsid w:val="00501116"/>
    <w:rsid w:val="00504630"/>
    <w:rsid w:val="005202B9"/>
    <w:rsid w:val="00520C47"/>
    <w:rsid w:val="00520D91"/>
    <w:rsid w:val="00521379"/>
    <w:rsid w:val="00525C0B"/>
    <w:rsid w:val="005339A5"/>
    <w:rsid w:val="005404B9"/>
    <w:rsid w:val="005405CC"/>
    <w:rsid w:val="00542355"/>
    <w:rsid w:val="0054337C"/>
    <w:rsid w:val="00544D0E"/>
    <w:rsid w:val="0054611A"/>
    <w:rsid w:val="0055233E"/>
    <w:rsid w:val="0056496F"/>
    <w:rsid w:val="00567F8B"/>
    <w:rsid w:val="0057319B"/>
    <w:rsid w:val="00574897"/>
    <w:rsid w:val="00575D55"/>
    <w:rsid w:val="00594D75"/>
    <w:rsid w:val="005B23CE"/>
    <w:rsid w:val="005B4824"/>
    <w:rsid w:val="005B5493"/>
    <w:rsid w:val="005B686A"/>
    <w:rsid w:val="005C35BE"/>
    <w:rsid w:val="005C4F0E"/>
    <w:rsid w:val="005C516D"/>
    <w:rsid w:val="005D3964"/>
    <w:rsid w:val="005D5053"/>
    <w:rsid w:val="005E7187"/>
    <w:rsid w:val="005F0979"/>
    <w:rsid w:val="005F19BE"/>
    <w:rsid w:val="005F5FF8"/>
    <w:rsid w:val="005F7DFA"/>
    <w:rsid w:val="006152E4"/>
    <w:rsid w:val="00616179"/>
    <w:rsid w:val="0063364D"/>
    <w:rsid w:val="006350AB"/>
    <w:rsid w:val="006432E4"/>
    <w:rsid w:val="00660648"/>
    <w:rsid w:val="00681944"/>
    <w:rsid w:val="00683232"/>
    <w:rsid w:val="00696200"/>
    <w:rsid w:val="00696582"/>
    <w:rsid w:val="006A6CF7"/>
    <w:rsid w:val="006A6D21"/>
    <w:rsid w:val="006B43C0"/>
    <w:rsid w:val="006B4AAD"/>
    <w:rsid w:val="006C09B8"/>
    <w:rsid w:val="006C138E"/>
    <w:rsid w:val="006C2A23"/>
    <w:rsid w:val="006C31DE"/>
    <w:rsid w:val="006C3D6A"/>
    <w:rsid w:val="006C4F04"/>
    <w:rsid w:val="006D6005"/>
    <w:rsid w:val="006E14F7"/>
    <w:rsid w:val="00701D0C"/>
    <w:rsid w:val="00704553"/>
    <w:rsid w:val="0070668F"/>
    <w:rsid w:val="007106A0"/>
    <w:rsid w:val="00715779"/>
    <w:rsid w:val="00717290"/>
    <w:rsid w:val="00720A08"/>
    <w:rsid w:val="00727689"/>
    <w:rsid w:val="00732424"/>
    <w:rsid w:val="00732A49"/>
    <w:rsid w:val="00742859"/>
    <w:rsid w:val="00747685"/>
    <w:rsid w:val="00750F34"/>
    <w:rsid w:val="0077037F"/>
    <w:rsid w:val="00771EE2"/>
    <w:rsid w:val="00786983"/>
    <w:rsid w:val="007933E6"/>
    <w:rsid w:val="00794EDC"/>
    <w:rsid w:val="007A3BEF"/>
    <w:rsid w:val="007B175C"/>
    <w:rsid w:val="007B7C85"/>
    <w:rsid w:val="007C253F"/>
    <w:rsid w:val="007F6562"/>
    <w:rsid w:val="00801234"/>
    <w:rsid w:val="00803EC7"/>
    <w:rsid w:val="00812651"/>
    <w:rsid w:val="008161C1"/>
    <w:rsid w:val="00821CD4"/>
    <w:rsid w:val="00824023"/>
    <w:rsid w:val="0082539C"/>
    <w:rsid w:val="00826AF7"/>
    <w:rsid w:val="008321CD"/>
    <w:rsid w:val="00832299"/>
    <w:rsid w:val="0084413A"/>
    <w:rsid w:val="00855A57"/>
    <w:rsid w:val="008564BE"/>
    <w:rsid w:val="00857751"/>
    <w:rsid w:val="0086047D"/>
    <w:rsid w:val="0086432B"/>
    <w:rsid w:val="00867D12"/>
    <w:rsid w:val="0088313D"/>
    <w:rsid w:val="0088746E"/>
    <w:rsid w:val="00887A1A"/>
    <w:rsid w:val="00887DE6"/>
    <w:rsid w:val="008935D4"/>
    <w:rsid w:val="00893E9D"/>
    <w:rsid w:val="008950A7"/>
    <w:rsid w:val="008A51EC"/>
    <w:rsid w:val="008B05D9"/>
    <w:rsid w:val="008B1FA7"/>
    <w:rsid w:val="008B24B0"/>
    <w:rsid w:val="008B41D9"/>
    <w:rsid w:val="008B7550"/>
    <w:rsid w:val="008B757C"/>
    <w:rsid w:val="008B79A1"/>
    <w:rsid w:val="008C0FEC"/>
    <w:rsid w:val="008C21BC"/>
    <w:rsid w:val="008C238B"/>
    <w:rsid w:val="008E44FA"/>
    <w:rsid w:val="008E52FB"/>
    <w:rsid w:val="008F6219"/>
    <w:rsid w:val="0090442A"/>
    <w:rsid w:val="00907E0F"/>
    <w:rsid w:val="0091020D"/>
    <w:rsid w:val="00921A3F"/>
    <w:rsid w:val="00923062"/>
    <w:rsid w:val="00927059"/>
    <w:rsid w:val="00941E5D"/>
    <w:rsid w:val="00943752"/>
    <w:rsid w:val="00954B50"/>
    <w:rsid w:val="00961422"/>
    <w:rsid w:val="0096686D"/>
    <w:rsid w:val="0097720B"/>
    <w:rsid w:val="00977781"/>
    <w:rsid w:val="009945E6"/>
    <w:rsid w:val="00995AB5"/>
    <w:rsid w:val="009A3A63"/>
    <w:rsid w:val="009B3F1D"/>
    <w:rsid w:val="009B41CE"/>
    <w:rsid w:val="009B6050"/>
    <w:rsid w:val="009B69C5"/>
    <w:rsid w:val="009C22CC"/>
    <w:rsid w:val="009C2C53"/>
    <w:rsid w:val="009D287E"/>
    <w:rsid w:val="009D5428"/>
    <w:rsid w:val="009D575F"/>
    <w:rsid w:val="009D5922"/>
    <w:rsid w:val="009E07E4"/>
    <w:rsid w:val="009E0D93"/>
    <w:rsid w:val="009F314C"/>
    <w:rsid w:val="009F69EF"/>
    <w:rsid w:val="00A014A0"/>
    <w:rsid w:val="00A0456D"/>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2CA5"/>
    <w:rsid w:val="00AE7059"/>
    <w:rsid w:val="00AE7FAF"/>
    <w:rsid w:val="00AF799F"/>
    <w:rsid w:val="00B0299F"/>
    <w:rsid w:val="00B05CB5"/>
    <w:rsid w:val="00B0769A"/>
    <w:rsid w:val="00B2005A"/>
    <w:rsid w:val="00B24DA4"/>
    <w:rsid w:val="00B24E24"/>
    <w:rsid w:val="00B317EE"/>
    <w:rsid w:val="00B403D6"/>
    <w:rsid w:val="00B430EE"/>
    <w:rsid w:val="00B44084"/>
    <w:rsid w:val="00B4488E"/>
    <w:rsid w:val="00B452D4"/>
    <w:rsid w:val="00B568E2"/>
    <w:rsid w:val="00B678E9"/>
    <w:rsid w:val="00B81660"/>
    <w:rsid w:val="00B83BF1"/>
    <w:rsid w:val="00B8757B"/>
    <w:rsid w:val="00B900A7"/>
    <w:rsid w:val="00BA2F4E"/>
    <w:rsid w:val="00BA4C12"/>
    <w:rsid w:val="00BB1A34"/>
    <w:rsid w:val="00BB1E96"/>
    <w:rsid w:val="00BB1FDB"/>
    <w:rsid w:val="00BB3D43"/>
    <w:rsid w:val="00BB49C0"/>
    <w:rsid w:val="00BC30CB"/>
    <w:rsid w:val="00BD26FF"/>
    <w:rsid w:val="00BD46DE"/>
    <w:rsid w:val="00BD492E"/>
    <w:rsid w:val="00BE7F2C"/>
    <w:rsid w:val="00C128C5"/>
    <w:rsid w:val="00C26931"/>
    <w:rsid w:val="00C274A8"/>
    <w:rsid w:val="00C33C84"/>
    <w:rsid w:val="00C34213"/>
    <w:rsid w:val="00C37C0D"/>
    <w:rsid w:val="00C40A14"/>
    <w:rsid w:val="00C42896"/>
    <w:rsid w:val="00C45973"/>
    <w:rsid w:val="00C45B03"/>
    <w:rsid w:val="00C74287"/>
    <w:rsid w:val="00C948C7"/>
    <w:rsid w:val="00C97F95"/>
    <w:rsid w:val="00CA5634"/>
    <w:rsid w:val="00CA5D4B"/>
    <w:rsid w:val="00CA7C93"/>
    <w:rsid w:val="00CB0FA0"/>
    <w:rsid w:val="00CB5431"/>
    <w:rsid w:val="00CC6301"/>
    <w:rsid w:val="00CE452B"/>
    <w:rsid w:val="00CE7657"/>
    <w:rsid w:val="00CF5BEB"/>
    <w:rsid w:val="00D43A3E"/>
    <w:rsid w:val="00D47697"/>
    <w:rsid w:val="00D56238"/>
    <w:rsid w:val="00D631C6"/>
    <w:rsid w:val="00D632E9"/>
    <w:rsid w:val="00D63872"/>
    <w:rsid w:val="00D72D07"/>
    <w:rsid w:val="00D779E2"/>
    <w:rsid w:val="00D81FC7"/>
    <w:rsid w:val="00D83793"/>
    <w:rsid w:val="00D90930"/>
    <w:rsid w:val="00D910E7"/>
    <w:rsid w:val="00D94619"/>
    <w:rsid w:val="00D949D8"/>
    <w:rsid w:val="00D964F6"/>
    <w:rsid w:val="00D9720B"/>
    <w:rsid w:val="00DA301A"/>
    <w:rsid w:val="00DA4C0F"/>
    <w:rsid w:val="00DA65DC"/>
    <w:rsid w:val="00DB465D"/>
    <w:rsid w:val="00DB66E9"/>
    <w:rsid w:val="00DC2AE9"/>
    <w:rsid w:val="00DC5A29"/>
    <w:rsid w:val="00DC622D"/>
    <w:rsid w:val="00DD3499"/>
    <w:rsid w:val="00DD4114"/>
    <w:rsid w:val="00DD7D52"/>
    <w:rsid w:val="00DE4BE7"/>
    <w:rsid w:val="00DE5F83"/>
    <w:rsid w:val="00DF7FE1"/>
    <w:rsid w:val="00E11197"/>
    <w:rsid w:val="00E21DC0"/>
    <w:rsid w:val="00E35694"/>
    <w:rsid w:val="00E377BE"/>
    <w:rsid w:val="00E43926"/>
    <w:rsid w:val="00E44BF0"/>
    <w:rsid w:val="00E513EE"/>
    <w:rsid w:val="00E54D77"/>
    <w:rsid w:val="00E57823"/>
    <w:rsid w:val="00E720A4"/>
    <w:rsid w:val="00E82621"/>
    <w:rsid w:val="00E82C90"/>
    <w:rsid w:val="00E83AA9"/>
    <w:rsid w:val="00E86225"/>
    <w:rsid w:val="00E91FD3"/>
    <w:rsid w:val="00E96A4B"/>
    <w:rsid w:val="00E9739E"/>
    <w:rsid w:val="00EA2211"/>
    <w:rsid w:val="00EC21B7"/>
    <w:rsid w:val="00EC6C9F"/>
    <w:rsid w:val="00ED3B1C"/>
    <w:rsid w:val="00ED7EB4"/>
    <w:rsid w:val="00EE0586"/>
    <w:rsid w:val="00EE12FB"/>
    <w:rsid w:val="00EE13C8"/>
    <w:rsid w:val="00EE6106"/>
    <w:rsid w:val="00F04A0E"/>
    <w:rsid w:val="00F0574C"/>
    <w:rsid w:val="00F16A65"/>
    <w:rsid w:val="00F31CAF"/>
    <w:rsid w:val="00F36420"/>
    <w:rsid w:val="00F40E6B"/>
    <w:rsid w:val="00F44710"/>
    <w:rsid w:val="00F50BBB"/>
    <w:rsid w:val="00F50CAE"/>
    <w:rsid w:val="00F7063A"/>
    <w:rsid w:val="00F72094"/>
    <w:rsid w:val="00F84A6A"/>
    <w:rsid w:val="00F97199"/>
    <w:rsid w:val="00F97810"/>
    <w:rsid w:val="00FA16C1"/>
    <w:rsid w:val="00FA4E65"/>
    <w:rsid w:val="00FA7CCF"/>
    <w:rsid w:val="00FB0D3A"/>
    <w:rsid w:val="00FB3FAC"/>
    <w:rsid w:val="00FC0A36"/>
    <w:rsid w:val="00FC70B8"/>
    <w:rsid w:val="00FD088D"/>
    <w:rsid w:val="00FD1C40"/>
    <w:rsid w:val="00FD332C"/>
    <w:rsid w:val="00FD67C2"/>
    <w:rsid w:val="00FD683D"/>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uiPriority w:val="39"/>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 w:type="character" w:styleId="Fett">
    <w:name w:val="Strong"/>
    <w:basedOn w:val="Absatz-Standardschriftart"/>
    <w:uiPriority w:val="22"/>
    <w:qFormat/>
    <w:rsid w:val="00732A49"/>
    <w:rPr>
      <w:b/>
      <w:bCs/>
    </w:rPr>
  </w:style>
  <w:style w:type="paragraph" w:customStyle="1" w:styleId="Formatvorlage1">
    <w:name w:val="Formatvorlage1"/>
    <w:basedOn w:val="Titel"/>
    <w:link w:val="Formatvorlage1Zchn"/>
    <w:qFormat/>
    <w:rsid w:val="00B2005A"/>
    <w:rPr>
      <w:sz w:val="24"/>
      <w:szCs w:val="32"/>
      <w:u w:val="single"/>
    </w:rPr>
  </w:style>
  <w:style w:type="character" w:customStyle="1" w:styleId="Formatvorlage1Zchn">
    <w:name w:val="Formatvorlage1 Zchn"/>
    <w:link w:val="Formatvorlage1"/>
    <w:rsid w:val="00B2005A"/>
    <w:rPr>
      <w:rFonts w:ascii="Arial" w:hAnsi="Arial" w:cs="Arial"/>
      <w:b/>
      <w:bCs/>
      <w:kern w:val="28"/>
      <w:sz w:val="24"/>
      <w:szCs w:val="32"/>
      <w:u w:val="single"/>
    </w:rPr>
  </w:style>
  <w:style w:type="character" w:customStyle="1" w:styleId="st">
    <w:name w:val="st"/>
    <w:basedOn w:val="Absatz-Standardschriftart"/>
    <w:rsid w:val="00542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1B44-DBD9-42BE-BDB3-3B1FFD68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3673</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Kevin W</cp:lastModifiedBy>
  <cp:revision>3</cp:revision>
  <cp:lastPrinted>2016-03-18T12:46:00Z</cp:lastPrinted>
  <dcterms:created xsi:type="dcterms:W3CDTF">2019-08-09T14:39:00Z</dcterms:created>
  <dcterms:modified xsi:type="dcterms:W3CDTF">2020-04-15T08:15:00Z</dcterms:modified>
</cp:coreProperties>
</file>