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0F44F" w14:textId="351330B8" w:rsidR="003A118A" w:rsidRDefault="003A118A" w:rsidP="003A118A">
      <w:pPr>
        <w:autoSpaceDE w:val="0"/>
        <w:autoSpaceDN w:val="0"/>
        <w:adjustRightInd w:val="0"/>
        <w:spacing w:after="0"/>
        <w:jc w:val="both"/>
        <w:rPr>
          <w:rFonts w:eastAsia="PalatinoLinotype-Roman"/>
        </w:rPr>
      </w:pPr>
      <w:r w:rsidRPr="00FF56EB">
        <w:rPr>
          <w:color w:val="212121"/>
        </w:rPr>
        <w:t>In vielen Betrieben werden immer noch Maschinen und Anlagen als Arbeitsmittel zur Verfügung</w:t>
      </w:r>
      <w:r w:rsidRPr="00E74DAC">
        <w:rPr>
          <w:rFonts w:eastAsia="PalatinoLinotype-Roman"/>
        </w:rPr>
        <w:t xml:space="preserve"> gestellt, die nach</w:t>
      </w:r>
      <w:r>
        <w:rPr>
          <w:rFonts w:eastAsia="PalatinoLinotype-Roman"/>
        </w:rPr>
        <w:t xml:space="preserve"> </w:t>
      </w:r>
      <w:r w:rsidRPr="00E74DAC">
        <w:rPr>
          <w:rFonts w:eastAsia="PalatinoLinotype-Roman"/>
        </w:rPr>
        <w:t xml:space="preserve">dem 31.12.1994 </w:t>
      </w:r>
      <w:r>
        <w:rPr>
          <w:rFonts w:eastAsia="PalatinoLinotype-Roman"/>
        </w:rPr>
        <w:t xml:space="preserve">erstmals </w:t>
      </w:r>
      <w:r w:rsidRPr="00E74DAC">
        <w:rPr>
          <w:rFonts w:eastAsia="PalatinoLinotype-Roman"/>
        </w:rPr>
        <w:t>ʺin Verkehr</w:t>
      </w:r>
      <w:r>
        <w:rPr>
          <w:rFonts w:eastAsia="PalatinoLinotype-Roman"/>
        </w:rPr>
        <w:t xml:space="preserve"> </w:t>
      </w:r>
      <w:r w:rsidRPr="00E74DAC">
        <w:rPr>
          <w:rFonts w:eastAsia="PalatinoLinotype-Roman"/>
        </w:rPr>
        <w:t>gebrachtʺ bzw. als Eigenherstellung</w:t>
      </w:r>
      <w:r>
        <w:rPr>
          <w:rFonts w:eastAsia="PalatinoLinotype-Roman"/>
        </w:rPr>
        <w:t xml:space="preserve"> </w:t>
      </w:r>
      <w:r w:rsidRPr="00E74DAC">
        <w:rPr>
          <w:rFonts w:eastAsia="PalatinoLinotype-Roman"/>
        </w:rPr>
        <w:t xml:space="preserve">ʺin Betrieb genommenʺ wurden, </w:t>
      </w:r>
      <w:r w:rsidRPr="006F09A2">
        <w:rPr>
          <w:rFonts w:eastAsia="PalatinoLinotype-Roman"/>
          <w:b/>
        </w:rPr>
        <w:t>ohne</w:t>
      </w:r>
      <w:r w:rsidRPr="00E74DAC">
        <w:rPr>
          <w:rFonts w:eastAsia="PalatinoLinotype-Roman"/>
        </w:rPr>
        <w:t xml:space="preserve"> dass diese</w:t>
      </w:r>
      <w:r>
        <w:rPr>
          <w:rFonts w:eastAsia="PalatinoLinotype-Roman"/>
        </w:rPr>
        <w:t xml:space="preserve"> </w:t>
      </w:r>
      <w:r w:rsidRPr="00E74DAC">
        <w:rPr>
          <w:rFonts w:eastAsia="PalatinoLinotype-Roman"/>
        </w:rPr>
        <w:t xml:space="preserve">– zumindest formal </w:t>
      </w:r>
      <w:r w:rsidRPr="00E74DAC">
        <w:rPr>
          <w:rFonts w:ascii="Cambria Math" w:eastAsia="PalatinoLinotype-Roman" w:hAnsi="Cambria Math" w:cs="Cambria Math"/>
        </w:rPr>
        <w:t>‐</w:t>
      </w:r>
      <w:r w:rsidRPr="00E74DAC">
        <w:rPr>
          <w:rFonts w:eastAsia="PalatinoLinotype-Roman"/>
        </w:rPr>
        <w:t xml:space="preserve"> den</w:t>
      </w:r>
      <w:r>
        <w:rPr>
          <w:rFonts w:eastAsia="PalatinoLinotype-Roman"/>
        </w:rPr>
        <w:t xml:space="preserve"> </w:t>
      </w:r>
      <w:r w:rsidRPr="00E74DAC">
        <w:rPr>
          <w:rFonts w:eastAsia="PalatinoLinotype-Roman"/>
        </w:rPr>
        <w:t>Anforderungen der Maschinenrichtlinie</w:t>
      </w:r>
      <w:r>
        <w:rPr>
          <w:rFonts w:eastAsia="PalatinoLinotype-Roman"/>
        </w:rPr>
        <w:t xml:space="preserve"> 98/37/EG (MRL alt) bzw. </w:t>
      </w:r>
      <w:r w:rsidRPr="00E74DAC">
        <w:rPr>
          <w:rFonts w:eastAsia="PalatinoLinotype-Roman"/>
        </w:rPr>
        <w:t>2006/42/EG</w:t>
      </w:r>
      <w:r>
        <w:rPr>
          <w:rFonts w:eastAsia="PalatinoLinotype-Roman"/>
        </w:rPr>
        <w:t xml:space="preserve"> </w:t>
      </w:r>
      <w:r w:rsidRPr="00E74DAC">
        <w:rPr>
          <w:rFonts w:eastAsia="PalatinoLinotype-Roman"/>
        </w:rPr>
        <w:t>(MRL</w:t>
      </w:r>
      <w:r>
        <w:rPr>
          <w:rFonts w:eastAsia="PalatinoLinotype-Roman"/>
        </w:rPr>
        <w:t xml:space="preserve"> neu</w:t>
      </w:r>
      <w:r w:rsidRPr="00E74DAC">
        <w:rPr>
          <w:rFonts w:eastAsia="PalatinoLinotype-Roman"/>
        </w:rPr>
        <w:t>) genügen. D. h. es gibt</w:t>
      </w:r>
      <w:r>
        <w:rPr>
          <w:rFonts w:eastAsia="PalatinoLinotype-Roman"/>
        </w:rPr>
        <w:t xml:space="preserve"> </w:t>
      </w:r>
      <w:r w:rsidRPr="00E74DAC">
        <w:rPr>
          <w:rFonts w:eastAsia="PalatinoLinotype-Roman"/>
        </w:rPr>
        <w:t xml:space="preserve">für diese </w:t>
      </w:r>
      <w:proofErr w:type="gramStart"/>
      <w:r w:rsidRPr="00E74DAC">
        <w:rPr>
          <w:rFonts w:eastAsia="PalatinoLinotype-Roman"/>
        </w:rPr>
        <w:t xml:space="preserve">Maschinen </w:t>
      </w:r>
      <w:r>
        <w:rPr>
          <w:rFonts w:eastAsia="PalatinoLinotype-Roman"/>
        </w:rPr>
        <w:t xml:space="preserve"> </w:t>
      </w:r>
      <w:r w:rsidRPr="006F09A2">
        <w:rPr>
          <w:rFonts w:eastAsia="PalatinoLinotype-Roman"/>
          <w:b/>
        </w:rPr>
        <w:t>keine</w:t>
      </w:r>
      <w:proofErr w:type="gramEnd"/>
      <w:r w:rsidRPr="00E74DAC">
        <w:rPr>
          <w:rFonts w:eastAsia="PalatinoLinotype-Roman"/>
        </w:rPr>
        <w:t xml:space="preserve"> EG</w:t>
      </w:r>
      <w:r w:rsidRPr="00E74DAC">
        <w:rPr>
          <w:rFonts w:ascii="Cambria Math" w:eastAsia="PalatinoLinotype-Roman" w:hAnsi="Cambria Math" w:cs="Cambria Math"/>
        </w:rPr>
        <w:t>‐</w:t>
      </w:r>
      <w:r w:rsidRPr="00E74DAC">
        <w:rPr>
          <w:rFonts w:eastAsia="PalatinoLinotype-Roman"/>
        </w:rPr>
        <w:t>Konformitätserklärung</w:t>
      </w:r>
      <w:r>
        <w:rPr>
          <w:rFonts w:eastAsia="PalatinoLinotype-Roman"/>
        </w:rPr>
        <w:t xml:space="preserve"> </w:t>
      </w:r>
      <w:r w:rsidRPr="00E74DAC">
        <w:rPr>
          <w:rFonts w:eastAsia="PalatinoLinotype-Roman"/>
        </w:rPr>
        <w:t>und sie tragen</w:t>
      </w:r>
      <w:r>
        <w:rPr>
          <w:rFonts w:eastAsia="PalatinoLinotype-Roman"/>
        </w:rPr>
        <w:t xml:space="preserve"> </w:t>
      </w:r>
      <w:r w:rsidRPr="00E74DAC">
        <w:rPr>
          <w:rFonts w:eastAsia="PalatinoLinotype-Roman"/>
        </w:rPr>
        <w:t xml:space="preserve">auch </w:t>
      </w:r>
      <w:r w:rsidRPr="006F09A2">
        <w:rPr>
          <w:rFonts w:eastAsia="PalatinoLinotype-Roman"/>
          <w:b/>
        </w:rPr>
        <w:t>keine</w:t>
      </w:r>
      <w:r w:rsidRPr="00E74DAC">
        <w:rPr>
          <w:rFonts w:eastAsia="PalatinoLinotype-Roman"/>
        </w:rPr>
        <w:t xml:space="preserve"> CE</w:t>
      </w:r>
      <w:r w:rsidRPr="00E74DAC">
        <w:rPr>
          <w:rFonts w:ascii="Cambria Math" w:eastAsia="PalatinoLinotype-Roman" w:hAnsi="Cambria Math" w:cs="Cambria Math"/>
        </w:rPr>
        <w:t>‐</w:t>
      </w:r>
      <w:r w:rsidRPr="00E74DAC">
        <w:rPr>
          <w:rFonts w:eastAsia="PalatinoLinotype-Roman"/>
        </w:rPr>
        <w:t>Kennzeichnung.</w:t>
      </w:r>
      <w:r>
        <w:rPr>
          <w:rFonts w:eastAsia="PalatinoLinotype-Roman"/>
        </w:rPr>
        <w:t xml:space="preserve"> </w:t>
      </w:r>
    </w:p>
    <w:p w14:paraId="2506E020" w14:textId="77777777" w:rsidR="003A118A" w:rsidRDefault="003A118A" w:rsidP="003A118A">
      <w:pPr>
        <w:tabs>
          <w:tab w:val="left" w:pos="6075"/>
        </w:tabs>
        <w:spacing w:after="80"/>
        <w:jc w:val="both"/>
        <w:rPr>
          <w:b/>
        </w:rPr>
      </w:pPr>
    </w:p>
    <w:p w14:paraId="556379CF" w14:textId="3C40D81D" w:rsidR="003A118A" w:rsidRPr="00FF56EB" w:rsidRDefault="00542355" w:rsidP="00FF56EB">
      <w:pPr>
        <w:autoSpaceDE w:val="0"/>
        <w:autoSpaceDN w:val="0"/>
        <w:adjustRightInd w:val="0"/>
        <w:spacing w:after="0"/>
        <w:jc w:val="both"/>
        <w:rPr>
          <w:color w:val="212121"/>
        </w:rPr>
      </w:pPr>
      <w:r w:rsidRPr="00FF56EB">
        <w:rPr>
          <w:color w:val="212121"/>
        </w:rPr>
        <w:t xml:space="preserve">Immer wieder taucht </w:t>
      </w:r>
      <w:r w:rsidR="003A118A" w:rsidRPr="00FF56EB">
        <w:rPr>
          <w:color w:val="212121"/>
        </w:rPr>
        <w:t>in diesem Zusammenhang folgende</w:t>
      </w:r>
      <w:r w:rsidRPr="00FF56EB">
        <w:rPr>
          <w:color w:val="212121"/>
        </w:rPr>
        <w:t xml:space="preserve"> Frage</w:t>
      </w:r>
      <w:r w:rsidR="003A118A" w:rsidRPr="00FF56EB">
        <w:rPr>
          <w:color w:val="212121"/>
        </w:rPr>
        <w:t xml:space="preserve"> auf: </w:t>
      </w:r>
      <w:r w:rsidRPr="00FF56EB">
        <w:rPr>
          <w:color w:val="212121"/>
        </w:rPr>
        <w:t xml:space="preserve">Wie ist eine nachträgliche Konformitätsbewertung an einer bereits </w:t>
      </w:r>
      <w:r w:rsidR="0083684B">
        <w:rPr>
          <w:color w:val="212121"/>
        </w:rPr>
        <w:t>i</w:t>
      </w:r>
      <w:r w:rsidRPr="00FF56EB">
        <w:rPr>
          <w:color w:val="212121"/>
        </w:rPr>
        <w:t>m Markt befindlichen Maschine oder Anlage praxistauglich möglich?</w:t>
      </w:r>
    </w:p>
    <w:p w14:paraId="42D18F6A" w14:textId="77777777" w:rsidR="003A118A" w:rsidRPr="00FF56EB" w:rsidRDefault="003A118A" w:rsidP="00FF56EB">
      <w:pPr>
        <w:autoSpaceDE w:val="0"/>
        <w:autoSpaceDN w:val="0"/>
        <w:adjustRightInd w:val="0"/>
        <w:spacing w:after="0"/>
        <w:jc w:val="both"/>
        <w:rPr>
          <w:color w:val="212121"/>
        </w:rPr>
      </w:pPr>
    </w:p>
    <w:p w14:paraId="0CF3B385" w14:textId="3C4C9B14" w:rsidR="00542355" w:rsidRPr="00FF56EB" w:rsidRDefault="00542355" w:rsidP="00FF56EB">
      <w:pPr>
        <w:autoSpaceDE w:val="0"/>
        <w:autoSpaceDN w:val="0"/>
        <w:adjustRightInd w:val="0"/>
        <w:spacing w:after="0"/>
        <w:jc w:val="both"/>
        <w:rPr>
          <w:color w:val="212121"/>
        </w:rPr>
      </w:pPr>
      <w:r w:rsidRPr="00FF56EB">
        <w:rPr>
          <w:color w:val="212121"/>
        </w:rPr>
        <w:t>Über diese Fragestellung wird immer wieder sehr konträr diskutiert.</w:t>
      </w:r>
      <w:r w:rsidR="003A118A" w:rsidRPr="00FF56EB">
        <w:rPr>
          <w:color w:val="212121"/>
        </w:rPr>
        <w:t xml:space="preserve"> Dies</w:t>
      </w:r>
      <w:r w:rsidR="0083684B">
        <w:rPr>
          <w:color w:val="212121"/>
        </w:rPr>
        <w:t>e</w:t>
      </w:r>
      <w:r w:rsidR="003A118A" w:rsidRPr="00FF56EB">
        <w:rPr>
          <w:color w:val="212121"/>
        </w:rPr>
        <w:t xml:space="preserve"> Frage lässt sich in drei </w:t>
      </w:r>
      <w:r w:rsidRPr="00FF56EB">
        <w:rPr>
          <w:color w:val="212121"/>
        </w:rPr>
        <w:t>Grundsatzfragen</w:t>
      </w:r>
      <w:r w:rsidR="003A118A" w:rsidRPr="00FF56EB">
        <w:rPr>
          <w:color w:val="212121"/>
        </w:rPr>
        <w:t xml:space="preserve"> aufteilen, die in diesem und den folgenden </w:t>
      </w:r>
      <w:r w:rsidR="00655FA3">
        <w:rPr>
          <w:color w:val="212121"/>
        </w:rPr>
        <w:t xml:space="preserve">zwei </w:t>
      </w:r>
      <w:r w:rsidR="003A118A" w:rsidRPr="00FF56EB">
        <w:rPr>
          <w:color w:val="212121"/>
        </w:rPr>
        <w:t>Elektro-Tipps</w:t>
      </w:r>
      <w:r w:rsidR="0083684B">
        <w:rPr>
          <w:color w:val="212121"/>
        </w:rPr>
        <w:t xml:space="preserve"> (ET_45 und ET_46)</w:t>
      </w:r>
      <w:r w:rsidR="003A118A" w:rsidRPr="00FF56EB">
        <w:rPr>
          <w:color w:val="212121"/>
        </w:rPr>
        <w:t xml:space="preserve"> beantwortet werden</w:t>
      </w:r>
      <w:r w:rsidRPr="00FF56EB">
        <w:rPr>
          <w:color w:val="212121"/>
        </w:rPr>
        <w:t>:</w:t>
      </w:r>
    </w:p>
    <w:p w14:paraId="7C3AA903" w14:textId="77777777" w:rsidR="00542355" w:rsidRDefault="00542355" w:rsidP="003A118A">
      <w:pPr>
        <w:tabs>
          <w:tab w:val="left" w:pos="6075"/>
        </w:tabs>
        <w:spacing w:after="0"/>
        <w:jc w:val="both"/>
      </w:pPr>
    </w:p>
    <w:p w14:paraId="7172E507" w14:textId="77777777" w:rsidR="00542355" w:rsidRDefault="00542355" w:rsidP="003A118A">
      <w:pPr>
        <w:pStyle w:val="Listenabsatz"/>
        <w:numPr>
          <w:ilvl w:val="0"/>
          <w:numId w:val="9"/>
        </w:numPr>
        <w:tabs>
          <w:tab w:val="left" w:pos="6075"/>
        </w:tabs>
        <w:spacing w:after="120"/>
        <w:ind w:left="714" w:hanging="357"/>
        <w:contextualSpacing w:val="0"/>
        <w:jc w:val="both"/>
      </w:pPr>
      <w:r>
        <w:t xml:space="preserve">Werden </w:t>
      </w:r>
      <w:r w:rsidRPr="00893E8E">
        <w:t xml:space="preserve">Maschinen und Anlagen </w:t>
      </w:r>
      <w:r w:rsidRPr="00893E8E">
        <w:rPr>
          <w:b/>
          <w:u w:val="single"/>
        </w:rPr>
        <w:t>ohne</w:t>
      </w:r>
      <w:r w:rsidRPr="00893E8E">
        <w:t xml:space="preserve"> CE</w:t>
      </w:r>
      <w:r>
        <w:t>-Kennzeichnung,</w:t>
      </w:r>
      <w:r w:rsidRPr="00893E8E">
        <w:t xml:space="preserve"> </w:t>
      </w:r>
      <w:r>
        <w:t>die nach dem 31.12.1994 erstmalig in Verkehr gebracht wurden, mit mangelnder Rechtskonformität verwendet?</w:t>
      </w:r>
    </w:p>
    <w:p w14:paraId="5FC93101" w14:textId="77777777" w:rsidR="00542355" w:rsidRDefault="00542355" w:rsidP="003A118A">
      <w:pPr>
        <w:pStyle w:val="Listenabsatz"/>
        <w:numPr>
          <w:ilvl w:val="0"/>
          <w:numId w:val="9"/>
        </w:numPr>
        <w:tabs>
          <w:tab w:val="left" w:pos="6075"/>
        </w:tabs>
        <w:spacing w:after="120"/>
        <w:jc w:val="both"/>
      </w:pPr>
      <w:r>
        <w:t>Welche Bedeutung kann das CE-Zeichen im Gerichtsprozess haben?</w:t>
      </w:r>
    </w:p>
    <w:p w14:paraId="4469F01E" w14:textId="77777777" w:rsidR="00542355" w:rsidRDefault="00542355" w:rsidP="003A118A">
      <w:pPr>
        <w:numPr>
          <w:ilvl w:val="0"/>
          <w:numId w:val="9"/>
        </w:numPr>
        <w:spacing w:after="120"/>
        <w:contextualSpacing/>
        <w:jc w:val="both"/>
      </w:pPr>
      <w:r w:rsidRPr="00AA2999">
        <w:t xml:space="preserve">Was muss ich als Besitzer/Betreiber einer Maschine </w:t>
      </w:r>
      <w:r w:rsidRPr="00AA2999">
        <w:rPr>
          <w:b/>
          <w:u w:val="single"/>
        </w:rPr>
        <w:t>ohne</w:t>
      </w:r>
      <w:r w:rsidRPr="00AA2999">
        <w:t xml:space="preserve"> CE-Kennzeichnung</w:t>
      </w:r>
      <w:r>
        <w:t>, die nach dem 31.12.1994 erstmalig in Verkehr gebracht wurde,</w:t>
      </w:r>
      <w:r w:rsidRPr="00AA2999">
        <w:t xml:space="preserve"> tun?</w:t>
      </w:r>
    </w:p>
    <w:p w14:paraId="035ECFC1" w14:textId="5AC03BB2" w:rsidR="00542355" w:rsidRDefault="00542355" w:rsidP="003A118A">
      <w:pPr>
        <w:tabs>
          <w:tab w:val="left" w:pos="6075"/>
        </w:tabs>
        <w:spacing w:after="0"/>
        <w:jc w:val="both"/>
      </w:pPr>
    </w:p>
    <w:p w14:paraId="79F49C9B" w14:textId="69BBE9D2" w:rsidR="00542355" w:rsidRPr="003A118A" w:rsidRDefault="00542355" w:rsidP="003A118A">
      <w:pPr>
        <w:tabs>
          <w:tab w:val="left" w:pos="6075"/>
        </w:tabs>
        <w:spacing w:after="0"/>
        <w:jc w:val="both"/>
        <w:rPr>
          <w:b/>
        </w:rPr>
      </w:pPr>
      <w:r w:rsidRPr="003A118A">
        <w:rPr>
          <w:b/>
        </w:rPr>
        <w:t>Grundsatzfrage 1:</w:t>
      </w:r>
      <w:r w:rsidR="003A118A" w:rsidRPr="003A118A">
        <w:rPr>
          <w:b/>
        </w:rPr>
        <w:t xml:space="preserve"> </w:t>
      </w:r>
      <w:r w:rsidRPr="003A118A">
        <w:rPr>
          <w:b/>
        </w:rPr>
        <w:t>Werden Maschinen und Anlagen ohne CE-Kennzeichnung, die nach dem 31.12.1994 erstmalig in Verkehr gebracht wurden, mit mangelnder Rechtskonformität verwendet?</w:t>
      </w:r>
    </w:p>
    <w:p w14:paraId="69061E8A" w14:textId="77777777" w:rsidR="003A118A" w:rsidRPr="003A118A" w:rsidRDefault="003A118A" w:rsidP="003A118A">
      <w:pPr>
        <w:tabs>
          <w:tab w:val="left" w:pos="6075"/>
        </w:tabs>
        <w:spacing w:after="0"/>
        <w:jc w:val="both"/>
        <w:rPr>
          <w:b/>
        </w:rPr>
      </w:pPr>
    </w:p>
    <w:p w14:paraId="46ECF1B1" w14:textId="77777777" w:rsidR="007451EE" w:rsidRDefault="00542355" w:rsidP="00FF56EB">
      <w:pPr>
        <w:autoSpaceDE w:val="0"/>
        <w:autoSpaceDN w:val="0"/>
        <w:adjustRightInd w:val="0"/>
        <w:spacing w:after="0"/>
        <w:jc w:val="both"/>
        <w:rPr>
          <w:color w:val="212121"/>
        </w:rPr>
      </w:pPr>
      <w:r w:rsidRPr="00FF56EB">
        <w:rPr>
          <w:color w:val="212121"/>
        </w:rPr>
        <w:t>Der Gesetzgeber ist sich bewusst, dass durch ihn die Rahmenbedingungen, also die Rechtsordnung zur Handhabung der Lebensabläufe (z. B. für Maschinen und Anlagen) gesetzt werden</w:t>
      </w:r>
      <w:r w:rsidR="0083684B">
        <w:rPr>
          <w:color w:val="212121"/>
        </w:rPr>
        <w:t>. H</w:t>
      </w:r>
      <w:r w:rsidRPr="00FF56EB">
        <w:rPr>
          <w:color w:val="212121"/>
        </w:rPr>
        <w:t xml:space="preserve">ierbei ist es nur sehr bedingt möglich konkrete Einzelheiten so zu regeln, dass sie für eine Vielzahl von Fällen gleichermaßen Anwendung und Umsetzung finden kann. Deshalb ist die Gesetzgebung zentral darauf ausgerichtet Zielsetzungen vorzugeben und insoweit „Leitplanken“ zur Erreichung dieser Ziele zu setzen. Hierdurch wird im Rahmen der flankierenden Maßnahmen regelmäßig beschrieben, wie durch die Einhaltung bestimmter Vorgaben der Rechtsrahmen ordnungsgemäß erfüllt werden kann, was aber keinesfalls ausschließt, dass auch andere Maßnahmen, die es ermöglichen ebenso gut und sicher das gesetzte Ziel zu erreichen, rechtmäßig sind. </w:t>
      </w:r>
    </w:p>
    <w:p w14:paraId="3C5FDDB8" w14:textId="77777777" w:rsidR="007451EE" w:rsidRDefault="007451EE" w:rsidP="00FF56EB">
      <w:pPr>
        <w:autoSpaceDE w:val="0"/>
        <w:autoSpaceDN w:val="0"/>
        <w:adjustRightInd w:val="0"/>
        <w:spacing w:after="0"/>
        <w:jc w:val="both"/>
        <w:rPr>
          <w:color w:val="212121"/>
        </w:rPr>
      </w:pPr>
    </w:p>
    <w:p w14:paraId="50738E19" w14:textId="0B00E50D" w:rsidR="00FF56EB" w:rsidRPr="00FF56EB" w:rsidRDefault="00542355" w:rsidP="00FF56EB">
      <w:pPr>
        <w:autoSpaceDE w:val="0"/>
        <w:autoSpaceDN w:val="0"/>
        <w:adjustRightInd w:val="0"/>
        <w:spacing w:after="0"/>
        <w:jc w:val="both"/>
        <w:rPr>
          <w:color w:val="212121"/>
        </w:rPr>
      </w:pPr>
      <w:r w:rsidRPr="00FF56EB">
        <w:rPr>
          <w:color w:val="212121"/>
        </w:rPr>
        <w:t>Im Abschnitt des Arbeitsschutzgesetzes wird zu § 1 der Arbeitgeber verpflichtet</w:t>
      </w:r>
      <w:r w:rsidR="0083684B">
        <w:rPr>
          <w:color w:val="212121"/>
        </w:rPr>
        <w:t>,</w:t>
      </w:r>
      <w:r w:rsidRPr="00FF56EB">
        <w:rPr>
          <w:color w:val="212121"/>
        </w:rPr>
        <w:t xml:space="preserve"> die Sicherheit und den Gesundheitsschutz der Beschäftigten bei der Arbeit zu gewährleisten und zu verbessern. In den folgenden Abschnitten werden dann die Pflichten des Arbeitgebers sowie die Pflichten und Rechte der Beschäftigten beschrieben. Schließlich gibt es noch einen Abschnitt zu Verordnungsermächtigungen, zur gemeinsamen deutschen Arbeitsschutzstrategie </w:t>
      </w:r>
      <w:r w:rsidR="00655FA3">
        <w:rPr>
          <w:color w:val="212121"/>
        </w:rPr>
        <w:t xml:space="preserve">(GDA) </w:t>
      </w:r>
      <w:r w:rsidRPr="00FF56EB">
        <w:rPr>
          <w:color w:val="212121"/>
        </w:rPr>
        <w:t xml:space="preserve">und zu den Schlussvorschriften. Innerhalb dieser insgesamt 26 Paragraphen finden sich alle relevanten Aspekte, die von Bedeutung </w:t>
      </w:r>
      <w:proofErr w:type="gramStart"/>
      <w:r w:rsidRPr="00FF56EB">
        <w:rPr>
          <w:color w:val="212121"/>
        </w:rPr>
        <w:t>sind</w:t>
      </w:r>
      <w:proofErr w:type="gramEnd"/>
      <w:r w:rsidRPr="00FF56EB">
        <w:rPr>
          <w:color w:val="212121"/>
        </w:rPr>
        <w:t xml:space="preserve"> den Schutz der Beschäftigten zu gewährleisten, sogar bis hin zu den Strafvorschriften bei Zuwiderhandlungen. </w:t>
      </w:r>
    </w:p>
    <w:p w14:paraId="3052A2C6" w14:textId="77777777" w:rsidR="00FF56EB" w:rsidRDefault="00FF56EB" w:rsidP="00FF56EB">
      <w:pPr>
        <w:autoSpaceDE w:val="0"/>
        <w:autoSpaceDN w:val="0"/>
        <w:adjustRightInd w:val="0"/>
        <w:spacing w:after="0"/>
        <w:jc w:val="both"/>
        <w:rPr>
          <w:color w:val="212121"/>
        </w:rPr>
      </w:pPr>
    </w:p>
    <w:p w14:paraId="11A79DCB" w14:textId="44C9A5F3" w:rsidR="00542355" w:rsidRDefault="00542355" w:rsidP="00FF56EB">
      <w:pPr>
        <w:autoSpaceDE w:val="0"/>
        <w:autoSpaceDN w:val="0"/>
        <w:adjustRightInd w:val="0"/>
        <w:spacing w:after="0"/>
        <w:jc w:val="both"/>
        <w:rPr>
          <w:color w:val="212121"/>
        </w:rPr>
      </w:pPr>
      <w:r w:rsidRPr="00FF56EB">
        <w:rPr>
          <w:color w:val="212121"/>
        </w:rPr>
        <w:t>Ebenso verpflichtet die Betriebssicherheitsverordnung im ersten Abschnitt, in § 1</w:t>
      </w:r>
      <w:r w:rsidR="0083684B">
        <w:rPr>
          <w:color w:val="212121"/>
        </w:rPr>
        <w:t>,</w:t>
      </w:r>
      <w:r w:rsidRPr="00FF56EB">
        <w:rPr>
          <w:color w:val="212121"/>
        </w:rPr>
        <w:t xml:space="preserve"> den Arbeitgeber zum Schutz der Gesundheit und zur Sicherheit der Beschäftigten bei der Verwendung von Arbeitsmitteln. Im zweiten Abschnitt der Verordnung werden insoweit die Gefährdungsbeurteilung und weitere Schutzmaßnahmen als Wegmarken zur Erreichung des Schutzziels benannt. Eine dieser Wegmarken ist der in § 5 Absatz 3 zu findende Hinweis auf die Beachtung der Rechtsvorschriften, mit denen Gemeinschaftsrichtlinien in deutsches Recht umgesetzt wurden und die für die </w:t>
      </w:r>
      <w:r w:rsidRPr="00FF56EB">
        <w:rPr>
          <w:color w:val="212121"/>
        </w:rPr>
        <w:lastRenderedPageBreak/>
        <w:t xml:space="preserve">Arbeitsmittel zum Zeitpunkt des Bereitstellens auf dem Markt galten bzw. bei aktueller Bereitstellung gelten. </w:t>
      </w:r>
    </w:p>
    <w:p w14:paraId="06F02769" w14:textId="77777777" w:rsidR="007451EE" w:rsidRPr="00FF56EB" w:rsidRDefault="007451EE" w:rsidP="00FF56EB">
      <w:pPr>
        <w:autoSpaceDE w:val="0"/>
        <w:autoSpaceDN w:val="0"/>
        <w:adjustRightInd w:val="0"/>
        <w:spacing w:after="0"/>
        <w:jc w:val="both"/>
        <w:rPr>
          <w:color w:val="212121"/>
        </w:rPr>
      </w:pPr>
    </w:p>
    <w:p w14:paraId="665D20A7" w14:textId="77777777" w:rsidR="00542355" w:rsidRPr="00FF56EB" w:rsidRDefault="00542355" w:rsidP="00FF56EB">
      <w:pPr>
        <w:autoSpaceDE w:val="0"/>
        <w:autoSpaceDN w:val="0"/>
        <w:adjustRightInd w:val="0"/>
        <w:spacing w:after="0"/>
        <w:jc w:val="both"/>
        <w:rPr>
          <w:color w:val="212121"/>
        </w:rPr>
      </w:pPr>
      <w:r w:rsidRPr="00FF56EB">
        <w:rPr>
          <w:color w:val="212121"/>
        </w:rPr>
        <w:t xml:space="preserve">Unbestritten ist bei Berücksichtigung dieser Schutzmaßnahme davon auszugehen, dass ein wichtiger Aspekt im Rahmen der Gesamtbetrachtung von möglichen Unsicherheiten eine entsprechende Berücksichtigung findet. Die leidtragende Realität zeigt aber, dass oftmals die insoweit erforderliche CE-Kennzeichnung der Arbeitsmittel fehlt oder in wesentlichen Teilen unvollständig ist. </w:t>
      </w:r>
    </w:p>
    <w:p w14:paraId="22842497" w14:textId="77777777" w:rsidR="00FF56EB" w:rsidRDefault="00FF56EB" w:rsidP="00FF56EB">
      <w:pPr>
        <w:autoSpaceDE w:val="0"/>
        <w:autoSpaceDN w:val="0"/>
        <w:adjustRightInd w:val="0"/>
        <w:spacing w:after="0"/>
        <w:jc w:val="both"/>
        <w:rPr>
          <w:color w:val="212121"/>
        </w:rPr>
      </w:pPr>
    </w:p>
    <w:p w14:paraId="1DBA9171" w14:textId="007F2AB0" w:rsidR="00542355" w:rsidRPr="00FF56EB" w:rsidRDefault="00542355" w:rsidP="00FF56EB">
      <w:pPr>
        <w:autoSpaceDE w:val="0"/>
        <w:autoSpaceDN w:val="0"/>
        <w:adjustRightInd w:val="0"/>
        <w:spacing w:after="0"/>
        <w:jc w:val="both"/>
        <w:rPr>
          <w:color w:val="212121"/>
        </w:rPr>
      </w:pPr>
      <w:r w:rsidRPr="00FF56EB">
        <w:rPr>
          <w:color w:val="212121"/>
        </w:rPr>
        <w:t>Gäbe es jetzt nur die Alternative „ganz oder gar nicht“, so wäre die volkswirtschaftliche Konsequenz schlichtweg unüberschaubar. Dies darf natürlich nicht dazu führen, dass um den Erhalt der wirtschaftlichen Interessen willen</w:t>
      </w:r>
      <w:r w:rsidR="0083684B">
        <w:rPr>
          <w:color w:val="212121"/>
        </w:rPr>
        <w:t>,</w:t>
      </w:r>
      <w:r w:rsidRPr="00FF56EB">
        <w:rPr>
          <w:color w:val="212121"/>
        </w:rPr>
        <w:t xml:space="preserve"> Gefährdungen für die Beschäftigten toleriert werden müssen, sondern fordert ein schutzzielorientiertes Handeln zur Wahrung der Verhältnismäßigkeit ein. </w:t>
      </w:r>
    </w:p>
    <w:p w14:paraId="3BCF1EA0" w14:textId="77777777" w:rsidR="00FF56EB" w:rsidRDefault="00FF56EB" w:rsidP="00FF56EB">
      <w:pPr>
        <w:autoSpaceDE w:val="0"/>
        <w:autoSpaceDN w:val="0"/>
        <w:adjustRightInd w:val="0"/>
        <w:spacing w:after="0"/>
        <w:jc w:val="both"/>
        <w:rPr>
          <w:color w:val="212121"/>
        </w:rPr>
      </w:pPr>
    </w:p>
    <w:p w14:paraId="67D3BE8C" w14:textId="48331FE3" w:rsidR="00542355" w:rsidRPr="00FF56EB" w:rsidRDefault="00542355" w:rsidP="007451EE">
      <w:pPr>
        <w:autoSpaceDE w:val="0"/>
        <w:autoSpaceDN w:val="0"/>
        <w:adjustRightInd w:val="0"/>
        <w:spacing w:after="0"/>
        <w:jc w:val="both"/>
        <w:rPr>
          <w:color w:val="212121"/>
        </w:rPr>
      </w:pPr>
      <w:r w:rsidRPr="00FF56EB">
        <w:rPr>
          <w:color w:val="212121"/>
        </w:rPr>
        <w:t xml:space="preserve">Es geht also um eine „kompensatorische Rechtskonformität“ für konkrete Anwendungsfälle. Eine der Sicherheit und dem Gesundheitsschutz dienende, umfassende und tätigkeitsbezogene Gefährdungsbeurteilung muss genügen, damit den Anforderungen aus der Zielsetzung des Arbeitsschutzes rechtskonform ausreichend Rechnung getragen und hierdurch der Makel des unrechtmäßigen Handelns getilgt wird. Dies bedeutet, dass die Verantwortungsträger sich im Rahmen ihrer auszuschöpfenden Möglichkeiten hinsichtlich der Erforschung der sicherheitsbezogenen Belange vollständig und nachvollziehbar einer Risikobetrachtung mit einhergehenden Schutzmaßnahmen widmen, sodass sie sich selbst das ihnen Mögliche und Zumutbare zur Gewährleistung der Sicherheit abverlangen. In dieser Konsequenz sind die Antworten zu der Frage 2 und insbesondere zu der Frage 3 zu verstehen, die sich in der Skizzierung der Szenarien mit der Gesamtschau der Fallvarianten befassen. </w:t>
      </w:r>
      <w:r w:rsidR="007451EE">
        <w:rPr>
          <w:color w:val="212121"/>
        </w:rPr>
        <w:t>Diese Antworten finden Sie in den folgenden Elektro-T</w:t>
      </w:r>
      <w:bookmarkStart w:id="0" w:name="_GoBack"/>
      <w:bookmarkEnd w:id="0"/>
      <w:r w:rsidR="007451EE">
        <w:rPr>
          <w:color w:val="212121"/>
        </w:rPr>
        <w:t>ipps.</w:t>
      </w:r>
      <w:commentRangeStart w:id="1"/>
      <w:commentRangeEnd w:id="1"/>
    </w:p>
    <w:p w14:paraId="07959E50" w14:textId="77777777" w:rsidR="00FF56EB" w:rsidRPr="00FF56EB" w:rsidRDefault="00FF56EB">
      <w:pPr>
        <w:autoSpaceDE w:val="0"/>
        <w:autoSpaceDN w:val="0"/>
        <w:adjustRightInd w:val="0"/>
        <w:spacing w:after="0"/>
        <w:jc w:val="both"/>
        <w:rPr>
          <w:color w:val="212121"/>
        </w:rPr>
      </w:pPr>
    </w:p>
    <w:sectPr w:rsidR="00FF56EB" w:rsidRPr="00FF56EB"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BCFD" w14:textId="77777777" w:rsidR="00534D00" w:rsidRDefault="00534D00" w:rsidP="00826AF7">
      <w:r>
        <w:separator/>
      </w:r>
    </w:p>
    <w:p w14:paraId="6BEAF2F9" w14:textId="77777777" w:rsidR="00534D00" w:rsidRDefault="00534D00" w:rsidP="00826AF7"/>
    <w:p w14:paraId="2F783C16" w14:textId="77777777" w:rsidR="00534D00" w:rsidRDefault="00534D00" w:rsidP="00826AF7"/>
  </w:endnote>
  <w:endnote w:type="continuationSeparator" w:id="0">
    <w:p w14:paraId="1EDFFC3B" w14:textId="77777777" w:rsidR="00534D00" w:rsidRDefault="00534D00" w:rsidP="00826AF7">
      <w:r>
        <w:continuationSeparator/>
      </w:r>
    </w:p>
    <w:p w14:paraId="11DC308A" w14:textId="77777777" w:rsidR="00534D00" w:rsidRDefault="00534D00" w:rsidP="00826AF7"/>
    <w:p w14:paraId="473ECE16" w14:textId="77777777" w:rsidR="00534D00" w:rsidRDefault="00534D00"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Roman">
    <w:altName w:val="SimSun"/>
    <w:panose1 w:val="020B0604020202020204"/>
    <w:charset w:val="00"/>
    <w:family w:val="roman"/>
    <w:notTrueType/>
    <w:pitch w:val="default"/>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044"/>
      <w:gridCol w:w="1114"/>
      <w:gridCol w:w="1114"/>
      <w:gridCol w:w="1114"/>
      <w:gridCol w:w="1114"/>
    </w:tblGrid>
    <w:tr w:rsidR="000F4359" w:rsidRPr="004C1C05" w14:paraId="59E54423" w14:textId="77777777" w:rsidTr="007451EE">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84" w:type="dxa"/>
          <w:vAlign w:val="center"/>
        </w:tcPr>
        <w:p w14:paraId="3057FE5D" w14:textId="0986EDCE" w:rsidR="000F4359" w:rsidRPr="004C1C05" w:rsidRDefault="0083684B" w:rsidP="000F4359">
          <w:pPr>
            <w:pStyle w:val="Fuzeile"/>
            <w:spacing w:after="0"/>
            <w:ind w:right="-83"/>
            <w:rPr>
              <w:sz w:val="16"/>
              <w:szCs w:val="16"/>
            </w:rPr>
          </w:pPr>
          <w:r>
            <w:rPr>
              <w:sz w:val="16"/>
              <w:szCs w:val="16"/>
            </w:rPr>
            <w:t>1</w:t>
          </w:r>
        </w:p>
      </w:tc>
      <w:tc>
        <w:tcPr>
          <w:tcW w:w="1044"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7451EE">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54E378B2" w:rsidR="000F4359" w:rsidRPr="004C1C05" w:rsidRDefault="0061077B" w:rsidP="000F4359">
          <w:pPr>
            <w:pStyle w:val="Fuzeile"/>
            <w:spacing w:after="0"/>
            <w:ind w:right="-83"/>
            <w:rPr>
              <w:sz w:val="16"/>
              <w:szCs w:val="16"/>
            </w:rPr>
          </w:pPr>
          <w:r>
            <w:rPr>
              <w:sz w:val="16"/>
              <w:szCs w:val="16"/>
            </w:rPr>
            <w:t>02.2019</w:t>
          </w:r>
        </w:p>
      </w:tc>
      <w:tc>
        <w:tcPr>
          <w:tcW w:w="1184" w:type="dxa"/>
          <w:vAlign w:val="center"/>
        </w:tcPr>
        <w:p w14:paraId="5B880C40" w14:textId="3395A8E7" w:rsidR="000F4359" w:rsidRPr="004C1C05" w:rsidRDefault="0083684B" w:rsidP="000F4359">
          <w:pPr>
            <w:pStyle w:val="Fuzeile"/>
            <w:spacing w:after="0"/>
            <w:ind w:right="-83"/>
            <w:rPr>
              <w:sz w:val="16"/>
              <w:szCs w:val="16"/>
            </w:rPr>
          </w:pPr>
          <w:r>
            <w:rPr>
              <w:sz w:val="16"/>
              <w:szCs w:val="16"/>
            </w:rPr>
            <w:t>08.2019</w:t>
          </w:r>
        </w:p>
      </w:tc>
      <w:tc>
        <w:tcPr>
          <w:tcW w:w="1044"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7451EE">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84" w:type="dxa"/>
          <w:vAlign w:val="center"/>
        </w:tcPr>
        <w:p w14:paraId="3F6228DD" w14:textId="7E8BAB54" w:rsidR="000F4359" w:rsidRPr="004C1C05" w:rsidRDefault="0083684B" w:rsidP="000F4359">
          <w:pPr>
            <w:pStyle w:val="Fuzeile"/>
            <w:spacing w:after="0"/>
            <w:ind w:right="-83"/>
            <w:rPr>
              <w:sz w:val="16"/>
              <w:szCs w:val="16"/>
            </w:rPr>
          </w:pPr>
          <w:r>
            <w:rPr>
              <w:sz w:val="16"/>
              <w:szCs w:val="16"/>
            </w:rPr>
            <w:t>R.O.E. GmbH</w:t>
          </w:r>
        </w:p>
      </w:tc>
      <w:tc>
        <w:tcPr>
          <w:tcW w:w="1044"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7451EE">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044"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192A" w14:textId="77777777" w:rsidR="00534D00" w:rsidRDefault="00534D00" w:rsidP="00826AF7">
      <w:r>
        <w:separator/>
      </w:r>
    </w:p>
    <w:p w14:paraId="602C4689" w14:textId="77777777" w:rsidR="00534D00" w:rsidRDefault="00534D00" w:rsidP="00826AF7"/>
    <w:p w14:paraId="1D9ACD4A" w14:textId="77777777" w:rsidR="00534D00" w:rsidRDefault="00534D00" w:rsidP="00826AF7"/>
  </w:footnote>
  <w:footnote w:type="continuationSeparator" w:id="0">
    <w:p w14:paraId="441AB8CA" w14:textId="77777777" w:rsidR="00534D00" w:rsidRDefault="00534D00" w:rsidP="00826AF7">
      <w:r>
        <w:continuationSeparator/>
      </w:r>
    </w:p>
    <w:p w14:paraId="502FF92B" w14:textId="77777777" w:rsidR="00534D00" w:rsidRDefault="00534D00" w:rsidP="00826AF7"/>
    <w:p w14:paraId="5B76D404" w14:textId="77777777" w:rsidR="00534D00" w:rsidRDefault="00534D00"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79C01F38" w:rsidR="00DB66E9" w:rsidRPr="00E21DC0" w:rsidRDefault="007451EE" w:rsidP="00C40A14">
          <w:pPr>
            <w:pStyle w:val="KeinLeerraum"/>
            <w:jc w:val="center"/>
            <w:rPr>
              <w:b/>
              <w:sz w:val="18"/>
            </w:rPr>
          </w:pPr>
          <w:r>
            <w:rPr>
              <w:noProof/>
            </w:rPr>
            <w:drawing>
              <wp:inline distT="0" distB="0" distL="0" distR="0" wp14:anchorId="61D8DFDA" wp14:editId="58109705">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60D1967A" w:rsidR="00330719" w:rsidRPr="00E21DC0" w:rsidRDefault="002303AC" w:rsidP="002A63CB">
          <w:pPr>
            <w:jc w:val="center"/>
          </w:pPr>
          <w:r w:rsidRPr="00E21DC0">
            <w:rPr>
              <w:b/>
            </w:rPr>
            <w:t>UW_ET_</w:t>
          </w:r>
          <w:r w:rsidR="003A118A">
            <w:rPr>
              <w:b/>
            </w:rPr>
            <w:t>44</w:t>
          </w:r>
        </w:p>
      </w:tc>
      <w:tc>
        <w:tcPr>
          <w:tcW w:w="5026" w:type="dxa"/>
          <w:vAlign w:val="center"/>
        </w:tcPr>
        <w:p w14:paraId="6B5061A9" w14:textId="77777777" w:rsidR="003A118A" w:rsidRDefault="00542355" w:rsidP="00292EAA">
          <w:pPr>
            <w:spacing w:after="0"/>
            <w:jc w:val="center"/>
            <w:rPr>
              <w:sz w:val="28"/>
              <w:szCs w:val="28"/>
            </w:rPr>
          </w:pPr>
          <w:r>
            <w:rPr>
              <w:sz w:val="28"/>
              <w:szCs w:val="28"/>
            </w:rPr>
            <w:t>Nachträgliche CE-Kennzeichnung</w:t>
          </w:r>
        </w:p>
        <w:p w14:paraId="2E05780B" w14:textId="6C1E8E92" w:rsidR="00330719" w:rsidRPr="00B2005A" w:rsidRDefault="003A118A" w:rsidP="00292EAA">
          <w:pPr>
            <w:spacing w:after="0"/>
            <w:jc w:val="center"/>
            <w:rPr>
              <w:sz w:val="28"/>
              <w:szCs w:val="28"/>
            </w:rPr>
          </w:pPr>
          <w:r>
            <w:rPr>
              <w:sz w:val="28"/>
              <w:szCs w:val="28"/>
            </w:rPr>
            <w:t>Teil 1</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8C632C7"/>
    <w:multiLevelType w:val="hybridMultilevel"/>
    <w:tmpl w:val="8758B0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CD73BA5"/>
    <w:multiLevelType w:val="hybridMultilevel"/>
    <w:tmpl w:val="58D6688E"/>
    <w:lvl w:ilvl="0" w:tplc="3418F018">
      <w:start w:val="3"/>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9" w15:restartNumberingAfterBreak="0">
    <w:nsid w:val="4EEC6D32"/>
    <w:multiLevelType w:val="hybridMultilevel"/>
    <w:tmpl w:val="F69A1F20"/>
    <w:lvl w:ilvl="0" w:tplc="04070001">
      <w:start w:val="1"/>
      <w:numFmt w:val="bullet"/>
      <w:lvlText w:val=""/>
      <w:lvlJc w:val="left"/>
      <w:pPr>
        <w:ind w:left="720" w:hanging="360"/>
      </w:pPr>
      <w:rPr>
        <w:rFonts w:ascii="Symbol" w:hAnsi="Symbol" w:hint="default"/>
      </w:rPr>
    </w:lvl>
    <w:lvl w:ilvl="1" w:tplc="8CDA2666">
      <w:numFmt w:val="bullet"/>
      <w:lvlText w:val="•"/>
      <w:lvlJc w:val="left"/>
      <w:pPr>
        <w:ind w:left="1780" w:hanging="70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2D7371"/>
    <w:multiLevelType w:val="hybridMultilevel"/>
    <w:tmpl w:val="0E02DA44"/>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4"/>
  </w:num>
  <w:num w:numId="5">
    <w:abstractNumId w:val="2"/>
  </w:num>
  <w:num w:numId="6">
    <w:abstractNumId w:val="1"/>
  </w:num>
  <w:num w:numId="7">
    <w:abstractNumId w:val="0"/>
  </w:num>
  <w:num w:numId="8">
    <w:abstractNumId w:val="9"/>
  </w:num>
  <w:num w:numId="9">
    <w:abstractNumId w:val="3"/>
  </w:num>
  <w:num w:numId="10">
    <w:abstractNumId w:val="7"/>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02AAC"/>
    <w:rsid w:val="00016152"/>
    <w:rsid w:val="00023FB9"/>
    <w:rsid w:val="000242FC"/>
    <w:rsid w:val="00024838"/>
    <w:rsid w:val="00033B20"/>
    <w:rsid w:val="00037B1A"/>
    <w:rsid w:val="000400C8"/>
    <w:rsid w:val="00044392"/>
    <w:rsid w:val="00054D9E"/>
    <w:rsid w:val="0007316A"/>
    <w:rsid w:val="00083141"/>
    <w:rsid w:val="00090781"/>
    <w:rsid w:val="00091A2C"/>
    <w:rsid w:val="00091DDC"/>
    <w:rsid w:val="00095C94"/>
    <w:rsid w:val="00097DE6"/>
    <w:rsid w:val="000A2981"/>
    <w:rsid w:val="000A2C61"/>
    <w:rsid w:val="000A7617"/>
    <w:rsid w:val="000B1ED1"/>
    <w:rsid w:val="000C4F97"/>
    <w:rsid w:val="000C55CC"/>
    <w:rsid w:val="000C6A29"/>
    <w:rsid w:val="000D03FC"/>
    <w:rsid w:val="000E1425"/>
    <w:rsid w:val="000E4C67"/>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B6E66"/>
    <w:rsid w:val="001D07A8"/>
    <w:rsid w:val="001D2245"/>
    <w:rsid w:val="001D68BB"/>
    <w:rsid w:val="001E17D2"/>
    <w:rsid w:val="001E1F91"/>
    <w:rsid w:val="001E2C1F"/>
    <w:rsid w:val="001E3783"/>
    <w:rsid w:val="001E4563"/>
    <w:rsid w:val="001E5B55"/>
    <w:rsid w:val="00206522"/>
    <w:rsid w:val="002070A3"/>
    <w:rsid w:val="00216CD4"/>
    <w:rsid w:val="00226D01"/>
    <w:rsid w:val="002303AC"/>
    <w:rsid w:val="00242DCD"/>
    <w:rsid w:val="00243D09"/>
    <w:rsid w:val="00244302"/>
    <w:rsid w:val="002577EA"/>
    <w:rsid w:val="00257A91"/>
    <w:rsid w:val="0026486F"/>
    <w:rsid w:val="002667FA"/>
    <w:rsid w:val="002670BC"/>
    <w:rsid w:val="00290A87"/>
    <w:rsid w:val="00292EAA"/>
    <w:rsid w:val="002A0674"/>
    <w:rsid w:val="002A63CB"/>
    <w:rsid w:val="002A6A64"/>
    <w:rsid w:val="002B5513"/>
    <w:rsid w:val="002C7507"/>
    <w:rsid w:val="002D08AD"/>
    <w:rsid w:val="002D5804"/>
    <w:rsid w:val="002D5E17"/>
    <w:rsid w:val="002E00A9"/>
    <w:rsid w:val="002E7496"/>
    <w:rsid w:val="002F3BB5"/>
    <w:rsid w:val="00303E39"/>
    <w:rsid w:val="00304F23"/>
    <w:rsid w:val="00305438"/>
    <w:rsid w:val="0031074E"/>
    <w:rsid w:val="00314BCE"/>
    <w:rsid w:val="003164FF"/>
    <w:rsid w:val="00317C3B"/>
    <w:rsid w:val="0032016F"/>
    <w:rsid w:val="00330719"/>
    <w:rsid w:val="00332BC1"/>
    <w:rsid w:val="0033379C"/>
    <w:rsid w:val="00337444"/>
    <w:rsid w:val="003405CC"/>
    <w:rsid w:val="00343F20"/>
    <w:rsid w:val="003579E2"/>
    <w:rsid w:val="00371D90"/>
    <w:rsid w:val="00374452"/>
    <w:rsid w:val="00386D24"/>
    <w:rsid w:val="00387456"/>
    <w:rsid w:val="00392CCE"/>
    <w:rsid w:val="00393968"/>
    <w:rsid w:val="00394516"/>
    <w:rsid w:val="00396861"/>
    <w:rsid w:val="003A118A"/>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148A"/>
    <w:rsid w:val="004639D8"/>
    <w:rsid w:val="00464322"/>
    <w:rsid w:val="00464A09"/>
    <w:rsid w:val="004679BF"/>
    <w:rsid w:val="00472853"/>
    <w:rsid w:val="004779EF"/>
    <w:rsid w:val="00480CEF"/>
    <w:rsid w:val="00483692"/>
    <w:rsid w:val="00486FAC"/>
    <w:rsid w:val="004917C9"/>
    <w:rsid w:val="00497861"/>
    <w:rsid w:val="004A680D"/>
    <w:rsid w:val="004B0140"/>
    <w:rsid w:val="004B0A6F"/>
    <w:rsid w:val="004B2D5C"/>
    <w:rsid w:val="004B38B5"/>
    <w:rsid w:val="004C1C05"/>
    <w:rsid w:val="004C32B1"/>
    <w:rsid w:val="004C533D"/>
    <w:rsid w:val="004C5C13"/>
    <w:rsid w:val="004D164C"/>
    <w:rsid w:val="004D2C83"/>
    <w:rsid w:val="004D63BC"/>
    <w:rsid w:val="004D74DA"/>
    <w:rsid w:val="004F2B84"/>
    <w:rsid w:val="00501116"/>
    <w:rsid w:val="00504630"/>
    <w:rsid w:val="005202B9"/>
    <w:rsid w:val="00520C47"/>
    <w:rsid w:val="00520D91"/>
    <w:rsid w:val="00521379"/>
    <w:rsid w:val="00525C0B"/>
    <w:rsid w:val="005339A5"/>
    <w:rsid w:val="00534D00"/>
    <w:rsid w:val="005404B9"/>
    <w:rsid w:val="005405CC"/>
    <w:rsid w:val="00542355"/>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E7187"/>
    <w:rsid w:val="005F0979"/>
    <w:rsid w:val="005F19BE"/>
    <w:rsid w:val="005F5FF8"/>
    <w:rsid w:val="005F7DFA"/>
    <w:rsid w:val="0061077B"/>
    <w:rsid w:val="006152E4"/>
    <w:rsid w:val="00616179"/>
    <w:rsid w:val="0063364D"/>
    <w:rsid w:val="006350AB"/>
    <w:rsid w:val="006432E4"/>
    <w:rsid w:val="00655FA3"/>
    <w:rsid w:val="00660648"/>
    <w:rsid w:val="00681944"/>
    <w:rsid w:val="00683232"/>
    <w:rsid w:val="006A6CF7"/>
    <w:rsid w:val="006A6D21"/>
    <w:rsid w:val="006B43C0"/>
    <w:rsid w:val="006B4AAD"/>
    <w:rsid w:val="006C09B8"/>
    <w:rsid w:val="006C138E"/>
    <w:rsid w:val="006C2A23"/>
    <w:rsid w:val="006C31DE"/>
    <w:rsid w:val="006C3D6A"/>
    <w:rsid w:val="006C4F04"/>
    <w:rsid w:val="006D6005"/>
    <w:rsid w:val="006E14F7"/>
    <w:rsid w:val="00701D0C"/>
    <w:rsid w:val="00704553"/>
    <w:rsid w:val="0070668F"/>
    <w:rsid w:val="007106A0"/>
    <w:rsid w:val="00715779"/>
    <w:rsid w:val="00717290"/>
    <w:rsid w:val="00720A08"/>
    <w:rsid w:val="00727689"/>
    <w:rsid w:val="00732424"/>
    <w:rsid w:val="00732A49"/>
    <w:rsid w:val="00742859"/>
    <w:rsid w:val="007451EE"/>
    <w:rsid w:val="00747685"/>
    <w:rsid w:val="00750F34"/>
    <w:rsid w:val="0077037F"/>
    <w:rsid w:val="00771EE2"/>
    <w:rsid w:val="00786983"/>
    <w:rsid w:val="007933E6"/>
    <w:rsid w:val="00794EDC"/>
    <w:rsid w:val="007A3BEF"/>
    <w:rsid w:val="007B175C"/>
    <w:rsid w:val="007B7C85"/>
    <w:rsid w:val="007C253F"/>
    <w:rsid w:val="007F6562"/>
    <w:rsid w:val="00801234"/>
    <w:rsid w:val="00803EC7"/>
    <w:rsid w:val="008161C1"/>
    <w:rsid w:val="00821CD4"/>
    <w:rsid w:val="00824023"/>
    <w:rsid w:val="0082539C"/>
    <w:rsid w:val="00826AF7"/>
    <w:rsid w:val="008321CD"/>
    <w:rsid w:val="00832299"/>
    <w:rsid w:val="0083684B"/>
    <w:rsid w:val="0084413A"/>
    <w:rsid w:val="00855A57"/>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B79A1"/>
    <w:rsid w:val="008C0FEC"/>
    <w:rsid w:val="008C21BC"/>
    <w:rsid w:val="008C238B"/>
    <w:rsid w:val="008E44FA"/>
    <w:rsid w:val="008E52FB"/>
    <w:rsid w:val="008F6219"/>
    <w:rsid w:val="0090442A"/>
    <w:rsid w:val="00907E0F"/>
    <w:rsid w:val="0091020D"/>
    <w:rsid w:val="00921A3F"/>
    <w:rsid w:val="00923062"/>
    <w:rsid w:val="00927059"/>
    <w:rsid w:val="00941E5D"/>
    <w:rsid w:val="00943752"/>
    <w:rsid w:val="00954B50"/>
    <w:rsid w:val="00961422"/>
    <w:rsid w:val="0096686D"/>
    <w:rsid w:val="0097720B"/>
    <w:rsid w:val="00977781"/>
    <w:rsid w:val="009945E6"/>
    <w:rsid w:val="00995AB5"/>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456D"/>
    <w:rsid w:val="00A05356"/>
    <w:rsid w:val="00A13A43"/>
    <w:rsid w:val="00A1763E"/>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CB5"/>
    <w:rsid w:val="00B0769A"/>
    <w:rsid w:val="00B2005A"/>
    <w:rsid w:val="00B24DA4"/>
    <w:rsid w:val="00B24E24"/>
    <w:rsid w:val="00B317EE"/>
    <w:rsid w:val="00B403D6"/>
    <w:rsid w:val="00B44084"/>
    <w:rsid w:val="00B4488E"/>
    <w:rsid w:val="00B452D4"/>
    <w:rsid w:val="00B568E2"/>
    <w:rsid w:val="00B678E9"/>
    <w:rsid w:val="00B81660"/>
    <w:rsid w:val="00B83BF1"/>
    <w:rsid w:val="00B8757B"/>
    <w:rsid w:val="00B900A7"/>
    <w:rsid w:val="00BA2F4E"/>
    <w:rsid w:val="00BA4C12"/>
    <w:rsid w:val="00BB1A34"/>
    <w:rsid w:val="00BB1E96"/>
    <w:rsid w:val="00BB1FDB"/>
    <w:rsid w:val="00BB3D43"/>
    <w:rsid w:val="00BB49C0"/>
    <w:rsid w:val="00BC30CB"/>
    <w:rsid w:val="00BD26FF"/>
    <w:rsid w:val="00BD46DE"/>
    <w:rsid w:val="00BD492E"/>
    <w:rsid w:val="00BE7F2C"/>
    <w:rsid w:val="00C128C5"/>
    <w:rsid w:val="00C22C1C"/>
    <w:rsid w:val="00C26931"/>
    <w:rsid w:val="00C274A8"/>
    <w:rsid w:val="00C33C84"/>
    <w:rsid w:val="00C34213"/>
    <w:rsid w:val="00C37C0D"/>
    <w:rsid w:val="00C40A14"/>
    <w:rsid w:val="00C42896"/>
    <w:rsid w:val="00C45973"/>
    <w:rsid w:val="00C45B03"/>
    <w:rsid w:val="00C74287"/>
    <w:rsid w:val="00C948C7"/>
    <w:rsid w:val="00C97F95"/>
    <w:rsid w:val="00CA5634"/>
    <w:rsid w:val="00CA5D4B"/>
    <w:rsid w:val="00CA7C93"/>
    <w:rsid w:val="00CB0FA0"/>
    <w:rsid w:val="00CB5431"/>
    <w:rsid w:val="00CC4B8F"/>
    <w:rsid w:val="00CC6301"/>
    <w:rsid w:val="00CE452B"/>
    <w:rsid w:val="00CE7657"/>
    <w:rsid w:val="00CF5BEB"/>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2AE9"/>
    <w:rsid w:val="00DC5A29"/>
    <w:rsid w:val="00DC622D"/>
    <w:rsid w:val="00DD3499"/>
    <w:rsid w:val="00DD7D52"/>
    <w:rsid w:val="00DE4BE7"/>
    <w:rsid w:val="00DE5F83"/>
    <w:rsid w:val="00DF7FE1"/>
    <w:rsid w:val="00E11197"/>
    <w:rsid w:val="00E21DC0"/>
    <w:rsid w:val="00E35694"/>
    <w:rsid w:val="00E377BE"/>
    <w:rsid w:val="00E43926"/>
    <w:rsid w:val="00E44BF0"/>
    <w:rsid w:val="00E513EE"/>
    <w:rsid w:val="00E54D77"/>
    <w:rsid w:val="00E57823"/>
    <w:rsid w:val="00E720A4"/>
    <w:rsid w:val="00E82621"/>
    <w:rsid w:val="00E82C90"/>
    <w:rsid w:val="00E83AA9"/>
    <w:rsid w:val="00E86225"/>
    <w:rsid w:val="00E91FD3"/>
    <w:rsid w:val="00E96A4B"/>
    <w:rsid w:val="00E9739E"/>
    <w:rsid w:val="00EC21B7"/>
    <w:rsid w:val="00EC6C9F"/>
    <w:rsid w:val="00ED3B1C"/>
    <w:rsid w:val="00ED7EB4"/>
    <w:rsid w:val="00EE0586"/>
    <w:rsid w:val="00EE12FB"/>
    <w:rsid w:val="00EE13C8"/>
    <w:rsid w:val="00EE6106"/>
    <w:rsid w:val="00F0574C"/>
    <w:rsid w:val="00F16A65"/>
    <w:rsid w:val="00F31CAF"/>
    <w:rsid w:val="00F36420"/>
    <w:rsid w:val="00F40E6B"/>
    <w:rsid w:val="00F44710"/>
    <w:rsid w:val="00F50CAE"/>
    <w:rsid w:val="00F7063A"/>
    <w:rsid w:val="00F72094"/>
    <w:rsid w:val="00F84A6A"/>
    <w:rsid w:val="00F97199"/>
    <w:rsid w:val="00F97810"/>
    <w:rsid w:val="00FA16C1"/>
    <w:rsid w:val="00FA4E65"/>
    <w:rsid w:val="00FA7CCF"/>
    <w:rsid w:val="00FB0D3A"/>
    <w:rsid w:val="00FB3FAC"/>
    <w:rsid w:val="00FC0A36"/>
    <w:rsid w:val="00FC70B8"/>
    <w:rsid w:val="00FD088D"/>
    <w:rsid w:val="00FD1C40"/>
    <w:rsid w:val="00FD332C"/>
    <w:rsid w:val="00FD67C2"/>
    <w:rsid w:val="00FE0439"/>
    <w:rsid w:val="00FE0C2D"/>
    <w:rsid w:val="00FF036A"/>
    <w:rsid w:val="00FF56EB"/>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uiPriority w:val="39"/>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 w:type="paragraph" w:customStyle="1" w:styleId="Formatvorlage1">
    <w:name w:val="Formatvorlage1"/>
    <w:basedOn w:val="Titel"/>
    <w:link w:val="Formatvorlage1Zchn"/>
    <w:qFormat/>
    <w:rsid w:val="00B2005A"/>
    <w:rPr>
      <w:sz w:val="24"/>
      <w:szCs w:val="32"/>
      <w:u w:val="single"/>
    </w:rPr>
  </w:style>
  <w:style w:type="character" w:customStyle="1" w:styleId="Formatvorlage1Zchn">
    <w:name w:val="Formatvorlage1 Zchn"/>
    <w:link w:val="Formatvorlage1"/>
    <w:rsid w:val="00B2005A"/>
    <w:rPr>
      <w:rFonts w:ascii="Arial" w:hAnsi="Arial" w:cs="Arial"/>
      <w:b/>
      <w:bCs/>
      <w:kern w:val="28"/>
      <w:sz w:val="24"/>
      <w:szCs w:val="32"/>
      <w:u w:val="single"/>
    </w:rPr>
  </w:style>
  <w:style w:type="character" w:customStyle="1" w:styleId="st">
    <w:name w:val="st"/>
    <w:basedOn w:val="Absatz-Standardschriftart"/>
    <w:rsid w:val="00542355"/>
  </w:style>
  <w:style w:type="paragraph" w:styleId="berarbeitung">
    <w:name w:val="Revision"/>
    <w:hidden/>
    <w:uiPriority w:val="99"/>
    <w:semiHidden/>
    <w:rsid w:val="007451E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A061-3AC7-C146-A741-C495821A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5343</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2</cp:revision>
  <cp:lastPrinted>2016-03-18T12:46:00Z</cp:lastPrinted>
  <dcterms:created xsi:type="dcterms:W3CDTF">2019-08-09T14:37:00Z</dcterms:created>
  <dcterms:modified xsi:type="dcterms:W3CDTF">2019-08-09T14:37:00Z</dcterms:modified>
</cp:coreProperties>
</file>