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4A5E" w14:textId="77777777" w:rsidR="00F97199" w:rsidRPr="00491769" w:rsidRDefault="00F97199" w:rsidP="00F97199">
      <w:pPr>
        <w:spacing w:after="0"/>
        <w:jc w:val="both"/>
        <w:rPr>
          <w:rFonts w:cs="Times New Roman"/>
          <w:b/>
        </w:rPr>
      </w:pPr>
      <w:r w:rsidRPr="00491769">
        <w:rPr>
          <w:rFonts w:cs="Times New Roman"/>
          <w:b/>
        </w:rPr>
        <w:t>Was ist eine Unterweisung?</w:t>
      </w:r>
    </w:p>
    <w:p w14:paraId="7ECDF4FA" w14:textId="77777777" w:rsidR="00F97199" w:rsidRPr="00491769" w:rsidRDefault="00F97199" w:rsidP="00F97199">
      <w:pPr>
        <w:spacing w:after="0"/>
        <w:jc w:val="both"/>
        <w:rPr>
          <w:rFonts w:cs="Times New Roman"/>
        </w:rPr>
      </w:pPr>
      <w:r w:rsidRPr="00491769">
        <w:rPr>
          <w:rFonts w:cs="Times New Roman"/>
        </w:rPr>
        <w:t>Unterweisung ist die Bezeichnung für einen wichtigen Baustein im zeitgemäßen Arbeitsschutz: In persönlichen Gesprächen zwischen Vorgesetzten und Mitarbeitern sollen Verhaltensweisen, die für den Arbeitsschutz von Bedeutung sind, diskutiert und vermittelt werden. Diese müssen für jeden Mitarbeiter anschaulich und nachvollziehbar sein. Vordringliches Ziel ist es, dass die Maßnahmen des Arbeitsschutzes verstanden und akzeptiert werden.</w:t>
      </w:r>
    </w:p>
    <w:p w14:paraId="3E3C0C56" w14:textId="77777777" w:rsidR="00F97199" w:rsidRPr="00491769" w:rsidRDefault="00F97199" w:rsidP="00F97199">
      <w:pPr>
        <w:spacing w:after="0"/>
        <w:jc w:val="both"/>
        <w:rPr>
          <w:rFonts w:cs="Times New Roman"/>
          <w:b/>
        </w:rPr>
      </w:pPr>
    </w:p>
    <w:p w14:paraId="20B22047" w14:textId="77777777" w:rsidR="00F97199" w:rsidRPr="00491769" w:rsidRDefault="00F97199" w:rsidP="00F97199">
      <w:pPr>
        <w:spacing w:after="0"/>
        <w:jc w:val="both"/>
        <w:rPr>
          <w:rFonts w:cs="Times New Roman"/>
          <w:b/>
        </w:rPr>
      </w:pPr>
      <w:r w:rsidRPr="00491769">
        <w:rPr>
          <w:rFonts w:cs="Times New Roman"/>
          <w:b/>
        </w:rPr>
        <w:t>Warum Unterweisungen?</w:t>
      </w:r>
    </w:p>
    <w:p w14:paraId="6C8CFFE2" w14:textId="6635FC05" w:rsidR="00F97199" w:rsidRPr="00491769" w:rsidRDefault="00F97199" w:rsidP="00F97199">
      <w:pPr>
        <w:spacing w:after="0"/>
        <w:jc w:val="both"/>
        <w:rPr>
          <w:rFonts w:cs="Times New Roman"/>
        </w:rPr>
      </w:pPr>
      <w:r w:rsidRPr="00491769">
        <w:rPr>
          <w:rFonts w:cs="Times New Roman"/>
        </w:rPr>
        <w:t xml:space="preserve">Um einen sicheren Betriebsablauf und gesunde Arbeitsbedingungen zu erreichen, müssen alle Beteiligten alle wesentlichen Informationen erhalten. Die Arbeitssicherheit hängt nicht allein von der Technik, sondern auch entschieden vom Verhalten der Mitarbeiter ab. Die Mitarbeiter können sich allerdings nur richtig verhalten, wenn sie über die Arbeitsabläufe, Gefahren, Schutzmaßnahmen, Sicherheitskennzeichnungen und das Verhalten bei Störungen und Notfällen ausreichend </w:t>
      </w:r>
      <w:r w:rsidR="00D52AE2">
        <w:rPr>
          <w:rFonts w:cs="Times New Roman"/>
        </w:rPr>
        <w:t>i</w:t>
      </w:r>
      <w:r w:rsidRPr="00491769">
        <w:rPr>
          <w:rFonts w:cs="Times New Roman"/>
        </w:rPr>
        <w:t>nformiert wurden.</w:t>
      </w:r>
    </w:p>
    <w:p w14:paraId="784174DD" w14:textId="77777777" w:rsidR="00F97199" w:rsidRPr="00491769" w:rsidRDefault="00F97199" w:rsidP="00F97199">
      <w:pPr>
        <w:spacing w:after="0"/>
        <w:jc w:val="both"/>
        <w:rPr>
          <w:rFonts w:cs="Times New Roman"/>
          <w:b/>
        </w:rPr>
      </w:pPr>
    </w:p>
    <w:p w14:paraId="022D348E" w14:textId="475CF415" w:rsidR="00F97199" w:rsidRDefault="00F97199" w:rsidP="00F97199">
      <w:pPr>
        <w:spacing w:after="0"/>
        <w:jc w:val="both"/>
        <w:rPr>
          <w:rFonts w:cs="Times New Roman"/>
        </w:rPr>
      </w:pPr>
      <w:r w:rsidRPr="00F97199">
        <w:rPr>
          <w:rFonts w:cs="Times New Roman"/>
        </w:rPr>
        <w:t>Rechtlicher Hintergrund der Unterweisungen</w:t>
      </w:r>
      <w:r>
        <w:rPr>
          <w:rFonts w:cs="Times New Roman"/>
        </w:rPr>
        <w:t>:</w:t>
      </w:r>
    </w:p>
    <w:p w14:paraId="38163786" w14:textId="77777777" w:rsidR="00F97199" w:rsidRPr="00F97199" w:rsidRDefault="00F97199" w:rsidP="00F97199">
      <w:pPr>
        <w:spacing w:after="0"/>
        <w:jc w:val="both"/>
        <w:rPr>
          <w:rFonts w:cs="Times New Roman"/>
        </w:rPr>
      </w:pPr>
    </w:p>
    <w:p w14:paraId="3B2BF17B" w14:textId="77777777" w:rsidR="00F97199" w:rsidRDefault="00F97199" w:rsidP="00F97199">
      <w:pPr>
        <w:numPr>
          <w:ilvl w:val="0"/>
          <w:numId w:val="30"/>
        </w:numPr>
        <w:spacing w:after="0"/>
        <w:jc w:val="both"/>
        <w:rPr>
          <w:rFonts w:cs="Times New Roman"/>
        </w:rPr>
      </w:pPr>
      <w:r>
        <w:rPr>
          <w:rFonts w:cs="Times New Roman"/>
        </w:rPr>
        <w:t>ArbSchG § 12,</w:t>
      </w:r>
    </w:p>
    <w:p w14:paraId="4F6D496C" w14:textId="77777777" w:rsidR="00F97199" w:rsidRDefault="00F97199" w:rsidP="00F97199">
      <w:pPr>
        <w:numPr>
          <w:ilvl w:val="0"/>
          <w:numId w:val="30"/>
        </w:numPr>
        <w:spacing w:after="0"/>
        <w:jc w:val="both"/>
        <w:rPr>
          <w:rFonts w:cs="Times New Roman"/>
        </w:rPr>
      </w:pPr>
      <w:r w:rsidRPr="00491769">
        <w:rPr>
          <w:rFonts w:cs="Times New Roman"/>
        </w:rPr>
        <w:t xml:space="preserve">BetrSichV § 9, </w:t>
      </w:r>
    </w:p>
    <w:p w14:paraId="6D5EDB8E" w14:textId="77777777" w:rsidR="00F97199" w:rsidRDefault="00F97199" w:rsidP="00F97199">
      <w:pPr>
        <w:numPr>
          <w:ilvl w:val="0"/>
          <w:numId w:val="30"/>
        </w:numPr>
        <w:spacing w:after="0"/>
        <w:jc w:val="both"/>
        <w:rPr>
          <w:rFonts w:cs="Times New Roman"/>
        </w:rPr>
      </w:pPr>
      <w:r>
        <w:rPr>
          <w:rFonts w:cs="Times New Roman"/>
        </w:rPr>
        <w:t>GefStoffV § 14,</w:t>
      </w:r>
    </w:p>
    <w:p w14:paraId="1B0BA943" w14:textId="77777777" w:rsidR="00F97199" w:rsidRDefault="00F97199" w:rsidP="00F97199">
      <w:pPr>
        <w:numPr>
          <w:ilvl w:val="0"/>
          <w:numId w:val="30"/>
        </w:numPr>
        <w:spacing w:after="0"/>
        <w:jc w:val="both"/>
        <w:rPr>
          <w:rFonts w:cs="Times New Roman"/>
        </w:rPr>
      </w:pPr>
      <w:r w:rsidRPr="00491769">
        <w:rPr>
          <w:rFonts w:cs="Times New Roman"/>
        </w:rPr>
        <w:t>DGUV V</w:t>
      </w:r>
      <w:r>
        <w:rPr>
          <w:rFonts w:cs="Times New Roman"/>
        </w:rPr>
        <w:t>orschrift 1 (ehem. BGV A1) § 4,</w:t>
      </w:r>
    </w:p>
    <w:p w14:paraId="6290FA3A" w14:textId="0C52412D" w:rsidR="00F97199" w:rsidRDefault="00F97199" w:rsidP="00F97199">
      <w:pPr>
        <w:numPr>
          <w:ilvl w:val="0"/>
          <w:numId w:val="30"/>
        </w:numPr>
        <w:spacing w:after="0"/>
        <w:jc w:val="both"/>
        <w:rPr>
          <w:rFonts w:cs="Times New Roman"/>
        </w:rPr>
      </w:pPr>
      <w:r w:rsidRPr="00491769">
        <w:rPr>
          <w:rFonts w:cs="Times New Roman"/>
        </w:rPr>
        <w:t>DGUV Vorschrift 9 (ehem. BGV A8) § 5</w:t>
      </w:r>
    </w:p>
    <w:p w14:paraId="4A9B04DC" w14:textId="77777777" w:rsidR="00F97199" w:rsidRPr="00F97199" w:rsidRDefault="00F97199" w:rsidP="00F97199">
      <w:pPr>
        <w:spacing w:after="0"/>
        <w:jc w:val="both"/>
        <w:rPr>
          <w:rFonts w:cs="Times New Roman"/>
        </w:rPr>
      </w:pPr>
    </w:p>
    <w:p w14:paraId="190A2F9E" w14:textId="40123DEF" w:rsidR="00F97199" w:rsidRPr="00491769" w:rsidRDefault="00F97199" w:rsidP="00F97199">
      <w:pPr>
        <w:spacing w:after="0"/>
        <w:jc w:val="both"/>
        <w:rPr>
          <w:rFonts w:cs="Times New Roman"/>
        </w:rPr>
      </w:pPr>
      <w:r w:rsidRPr="00491769">
        <w:rPr>
          <w:rFonts w:cs="Times New Roman"/>
        </w:rPr>
        <w:t>Alle diese Rechtstexte fordern, dass der Unternehmer seine Mitarbeiter und andere Schutzbefohlene, also auch Fremdfirmen, Leiharbeiter und Besucher, soweit unterweist, dass sie sich an ihren Arbeitsplätzen und auf den Wegen dorthin sicher und gefahrlos bewegen und verhalten können.</w:t>
      </w:r>
    </w:p>
    <w:p w14:paraId="36D18602" w14:textId="77777777" w:rsidR="00F97199" w:rsidRPr="00491769" w:rsidRDefault="00F97199" w:rsidP="00F97199">
      <w:pPr>
        <w:spacing w:after="0"/>
        <w:jc w:val="both"/>
        <w:rPr>
          <w:rFonts w:cs="Times New Roman"/>
          <w:b/>
        </w:rPr>
      </w:pPr>
      <w:r w:rsidRPr="00491769">
        <w:rPr>
          <w:rFonts w:cs="Times New Roman"/>
          <w:b/>
        </w:rPr>
        <w:t xml:space="preserve"> </w:t>
      </w:r>
    </w:p>
    <w:p w14:paraId="1F0ECAC1" w14:textId="77777777" w:rsidR="00F97199" w:rsidRPr="00491769" w:rsidRDefault="00F97199" w:rsidP="00F97199">
      <w:pPr>
        <w:spacing w:after="0"/>
        <w:jc w:val="both"/>
        <w:rPr>
          <w:rFonts w:cs="Times New Roman"/>
          <w:b/>
        </w:rPr>
      </w:pPr>
      <w:r w:rsidRPr="00491769">
        <w:rPr>
          <w:rFonts w:cs="Times New Roman"/>
          <w:b/>
        </w:rPr>
        <w:t>Wann muss unterwiesen werden?</w:t>
      </w:r>
    </w:p>
    <w:p w14:paraId="1585014B" w14:textId="77777777" w:rsidR="00F97199" w:rsidRPr="00491769" w:rsidRDefault="00F97199" w:rsidP="00F97199">
      <w:pPr>
        <w:spacing w:after="0"/>
        <w:jc w:val="both"/>
        <w:rPr>
          <w:rFonts w:cs="Times New Roman"/>
        </w:rPr>
      </w:pPr>
      <w:r w:rsidRPr="00491769">
        <w:rPr>
          <w:rFonts w:cs="Times New Roman"/>
        </w:rPr>
        <w:t>Die Sicherheitsunterweisungen müssen mindestens einmal jährlich stattfinden.</w:t>
      </w:r>
    </w:p>
    <w:p w14:paraId="2A8F500C" w14:textId="69D94075" w:rsidR="00F97199" w:rsidRPr="00491769" w:rsidRDefault="00F97199" w:rsidP="00F97199">
      <w:pPr>
        <w:spacing w:after="0"/>
        <w:jc w:val="both"/>
        <w:rPr>
          <w:rFonts w:cs="Times New Roman"/>
        </w:rPr>
      </w:pPr>
      <w:r w:rsidRPr="00491769">
        <w:rPr>
          <w:rFonts w:cs="Times New Roman"/>
        </w:rPr>
        <w:t>Weitere Anlässe sind:</w:t>
      </w:r>
    </w:p>
    <w:p w14:paraId="56FE9FDE" w14:textId="77777777" w:rsidR="00F97199" w:rsidRPr="00491769" w:rsidRDefault="00F97199" w:rsidP="00F97199">
      <w:pPr>
        <w:spacing w:after="0"/>
        <w:jc w:val="both"/>
        <w:rPr>
          <w:rFonts w:cs="Times New Roman"/>
        </w:rPr>
      </w:pPr>
    </w:p>
    <w:p w14:paraId="0147FABE" w14:textId="16DEC5CE" w:rsidR="00F97199" w:rsidRPr="00491769" w:rsidRDefault="00D52AE2" w:rsidP="00F97199">
      <w:pPr>
        <w:numPr>
          <w:ilvl w:val="0"/>
          <w:numId w:val="30"/>
        </w:numPr>
        <w:spacing w:after="0"/>
        <w:jc w:val="both"/>
        <w:rPr>
          <w:rFonts w:cs="Times New Roman"/>
        </w:rPr>
      </w:pPr>
      <w:r>
        <w:rPr>
          <w:rFonts w:cs="Times New Roman"/>
        </w:rPr>
        <w:t>b</w:t>
      </w:r>
      <w:r w:rsidR="00F97199" w:rsidRPr="00491769">
        <w:rPr>
          <w:rFonts w:cs="Times New Roman"/>
        </w:rPr>
        <w:t>ei Neueinstellung oder Umsetzung</w:t>
      </w:r>
    </w:p>
    <w:p w14:paraId="416AFE80" w14:textId="7B572A5A" w:rsidR="00F97199" w:rsidRPr="00491769" w:rsidRDefault="00D52AE2" w:rsidP="00F97199">
      <w:pPr>
        <w:numPr>
          <w:ilvl w:val="0"/>
          <w:numId w:val="30"/>
        </w:numPr>
        <w:spacing w:after="0"/>
        <w:jc w:val="both"/>
        <w:rPr>
          <w:rFonts w:cs="Times New Roman"/>
        </w:rPr>
      </w:pPr>
      <w:r>
        <w:rPr>
          <w:rFonts w:cs="Times New Roman"/>
        </w:rPr>
        <w:t>v</w:t>
      </w:r>
      <w:r w:rsidR="00F97199" w:rsidRPr="00491769">
        <w:rPr>
          <w:rFonts w:cs="Times New Roman"/>
        </w:rPr>
        <w:t>or jeder neuartigen Tätigkeit</w:t>
      </w:r>
    </w:p>
    <w:p w14:paraId="40B2462C" w14:textId="5A00B994" w:rsidR="00F97199" w:rsidRPr="00491769" w:rsidRDefault="00D52AE2" w:rsidP="00F97199">
      <w:pPr>
        <w:numPr>
          <w:ilvl w:val="0"/>
          <w:numId w:val="30"/>
        </w:numPr>
        <w:spacing w:after="0"/>
        <w:jc w:val="both"/>
        <w:rPr>
          <w:rFonts w:cs="Times New Roman"/>
        </w:rPr>
      </w:pPr>
      <w:r>
        <w:rPr>
          <w:rFonts w:cs="Times New Roman"/>
        </w:rPr>
        <w:t>b</w:t>
      </w:r>
      <w:r w:rsidR="00F97199" w:rsidRPr="00491769">
        <w:rPr>
          <w:rFonts w:cs="Times New Roman"/>
        </w:rPr>
        <w:t>ei Änderung von Arbeitsabläufen</w:t>
      </w:r>
    </w:p>
    <w:p w14:paraId="123AEAD7" w14:textId="68DC3868" w:rsidR="00F97199" w:rsidRPr="00491769" w:rsidRDefault="00D52AE2" w:rsidP="00F97199">
      <w:pPr>
        <w:numPr>
          <w:ilvl w:val="0"/>
          <w:numId w:val="30"/>
        </w:numPr>
        <w:spacing w:after="0"/>
        <w:jc w:val="both"/>
        <w:rPr>
          <w:rFonts w:cs="Times New Roman"/>
        </w:rPr>
      </w:pPr>
      <w:r>
        <w:rPr>
          <w:rFonts w:cs="Times New Roman"/>
        </w:rPr>
        <w:t>v</w:t>
      </w:r>
      <w:r w:rsidR="00F97199" w:rsidRPr="00491769">
        <w:rPr>
          <w:rFonts w:cs="Times New Roman"/>
        </w:rPr>
        <w:t xml:space="preserve">or Arbeiten in ungewohnter Umgebung, </w:t>
      </w:r>
    </w:p>
    <w:p w14:paraId="7950004F" w14:textId="77777777" w:rsidR="00F97199" w:rsidRPr="00491769" w:rsidRDefault="00F97199" w:rsidP="00F97199">
      <w:pPr>
        <w:spacing w:after="0"/>
        <w:ind w:left="360" w:firstLine="348"/>
        <w:jc w:val="both"/>
        <w:rPr>
          <w:rFonts w:cs="Times New Roman"/>
        </w:rPr>
      </w:pPr>
      <w:bookmarkStart w:id="0" w:name="_GoBack"/>
      <w:bookmarkEnd w:id="0"/>
      <w:r w:rsidRPr="00491769">
        <w:rPr>
          <w:rFonts w:cs="Times New Roman"/>
        </w:rPr>
        <w:t>z. B. Störungssuche, Instandhaltung</w:t>
      </w:r>
    </w:p>
    <w:p w14:paraId="0D28DE79" w14:textId="636CDF39" w:rsidR="00F97199" w:rsidRPr="00491769" w:rsidRDefault="00D52AE2" w:rsidP="00F97199">
      <w:pPr>
        <w:numPr>
          <w:ilvl w:val="0"/>
          <w:numId w:val="30"/>
        </w:numPr>
        <w:spacing w:after="0"/>
        <w:jc w:val="both"/>
        <w:rPr>
          <w:rFonts w:cs="Times New Roman"/>
        </w:rPr>
      </w:pPr>
      <w:r>
        <w:rPr>
          <w:rFonts w:cs="Times New Roman"/>
        </w:rPr>
        <w:t>b</w:t>
      </w:r>
      <w:r w:rsidR="00F97199" w:rsidRPr="00491769">
        <w:rPr>
          <w:rFonts w:cs="Times New Roman"/>
        </w:rPr>
        <w:t>ei erkennen unsicheren Verhaltens</w:t>
      </w:r>
    </w:p>
    <w:p w14:paraId="73EB8086" w14:textId="62BC67B2" w:rsidR="00F97199" w:rsidRPr="00491769" w:rsidRDefault="00D52AE2" w:rsidP="00F97199">
      <w:pPr>
        <w:numPr>
          <w:ilvl w:val="0"/>
          <w:numId w:val="30"/>
        </w:numPr>
        <w:spacing w:after="0"/>
        <w:jc w:val="both"/>
        <w:rPr>
          <w:rFonts w:cs="Times New Roman"/>
        </w:rPr>
      </w:pPr>
      <w:r>
        <w:rPr>
          <w:rFonts w:cs="Times New Roman"/>
        </w:rPr>
        <w:t>a</w:t>
      </w:r>
      <w:r w:rsidR="00F97199" w:rsidRPr="00491769">
        <w:rPr>
          <w:rFonts w:cs="Times New Roman"/>
        </w:rPr>
        <w:t>us aktuellem Anlass z. B. einem Unfall</w:t>
      </w:r>
    </w:p>
    <w:p w14:paraId="2CAE9A34" w14:textId="70E2F745" w:rsidR="00F97199" w:rsidRPr="00491769" w:rsidRDefault="00D52AE2" w:rsidP="00F97199">
      <w:pPr>
        <w:numPr>
          <w:ilvl w:val="0"/>
          <w:numId w:val="30"/>
        </w:numPr>
        <w:spacing w:after="0"/>
        <w:jc w:val="both"/>
        <w:rPr>
          <w:rFonts w:cs="Times New Roman"/>
        </w:rPr>
      </w:pPr>
      <w:r>
        <w:rPr>
          <w:rFonts w:cs="Times New Roman"/>
        </w:rPr>
        <w:t>b</w:t>
      </w:r>
      <w:r w:rsidR="00F97199" w:rsidRPr="00491769">
        <w:rPr>
          <w:rFonts w:cs="Times New Roman"/>
        </w:rPr>
        <w:t xml:space="preserve">ei Rückfragen der Mitarbeiter </w:t>
      </w:r>
    </w:p>
    <w:p w14:paraId="415E8ABE" w14:textId="77777777" w:rsidR="00F97199" w:rsidRPr="00491769" w:rsidRDefault="00F97199" w:rsidP="00F97199">
      <w:pPr>
        <w:spacing w:after="0"/>
        <w:jc w:val="both"/>
        <w:rPr>
          <w:rFonts w:cs="Times New Roman"/>
        </w:rPr>
      </w:pPr>
    </w:p>
    <w:p w14:paraId="62FD6A4C" w14:textId="77777777" w:rsidR="00F97199" w:rsidRPr="00491769" w:rsidRDefault="00F97199" w:rsidP="00F97199">
      <w:pPr>
        <w:spacing w:after="0"/>
        <w:jc w:val="both"/>
        <w:rPr>
          <w:rFonts w:cs="Times New Roman"/>
          <w:b/>
        </w:rPr>
      </w:pPr>
      <w:r w:rsidRPr="00491769">
        <w:rPr>
          <w:rFonts w:cs="Times New Roman"/>
          <w:b/>
        </w:rPr>
        <w:t>Sind Nachweise der Unterweisung erforderlich?</w:t>
      </w:r>
    </w:p>
    <w:p w14:paraId="12461A13" w14:textId="5714DFC9" w:rsidR="001E1F91" w:rsidRPr="00F97199" w:rsidRDefault="00F97199" w:rsidP="00F97199">
      <w:pPr>
        <w:spacing w:after="0"/>
        <w:jc w:val="both"/>
        <w:rPr>
          <w:rFonts w:cs="Times New Roman"/>
        </w:rPr>
      </w:pPr>
      <w:r w:rsidRPr="00491769">
        <w:rPr>
          <w:rFonts w:cs="Times New Roman"/>
        </w:rPr>
        <w:t>Grundsätzlich sollten alle Unterweisungen dokumentiert und von dem Unterweisenden wie den Unterwiesenen unterschrieben werden, um den Nachweis zu führen, dass man als Vorgesetzter seiner Unterweisungspflicht nachgekommen ist. Beim Umgang mit Gefahrstoffen wird dies sogar ausdrücklich gefordert.</w:t>
      </w:r>
    </w:p>
    <w:sectPr w:rsidR="001E1F91" w:rsidRPr="00F97199"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2BB6" w14:textId="77777777" w:rsidR="00551602" w:rsidRDefault="00551602" w:rsidP="00826AF7">
      <w:r>
        <w:separator/>
      </w:r>
    </w:p>
    <w:p w14:paraId="53E1D2E3" w14:textId="77777777" w:rsidR="00551602" w:rsidRDefault="00551602" w:rsidP="00826AF7"/>
    <w:p w14:paraId="19642C47" w14:textId="77777777" w:rsidR="00551602" w:rsidRDefault="00551602" w:rsidP="00826AF7"/>
  </w:endnote>
  <w:endnote w:type="continuationSeparator" w:id="0">
    <w:p w14:paraId="23FFB453" w14:textId="77777777" w:rsidR="00551602" w:rsidRDefault="00551602" w:rsidP="00826AF7">
      <w:r>
        <w:continuationSeparator/>
      </w:r>
    </w:p>
    <w:p w14:paraId="23B58FDF" w14:textId="77777777" w:rsidR="00551602" w:rsidRDefault="00551602" w:rsidP="00826AF7"/>
    <w:p w14:paraId="075D2EF0" w14:textId="77777777" w:rsidR="00551602" w:rsidRDefault="00551602"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297"/>
      <w:gridCol w:w="931"/>
      <w:gridCol w:w="1114"/>
      <w:gridCol w:w="1114"/>
      <w:gridCol w:w="1114"/>
      <w:gridCol w:w="1114"/>
    </w:tblGrid>
    <w:tr w:rsidR="000F4359" w:rsidRPr="004C1C05" w14:paraId="59E54423" w14:textId="77777777" w:rsidTr="002414E0">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297" w:type="dxa"/>
          <w:vAlign w:val="center"/>
        </w:tcPr>
        <w:p w14:paraId="3057FE5D" w14:textId="4E65E4B5" w:rsidR="000F4359" w:rsidRPr="004C1C05" w:rsidRDefault="00D52AE2" w:rsidP="000F4359">
          <w:pPr>
            <w:pStyle w:val="Fuzeile"/>
            <w:spacing w:after="0"/>
            <w:ind w:right="-83"/>
            <w:rPr>
              <w:sz w:val="16"/>
              <w:szCs w:val="16"/>
            </w:rPr>
          </w:pPr>
          <w:r>
            <w:rPr>
              <w:sz w:val="16"/>
              <w:szCs w:val="16"/>
            </w:rPr>
            <w:t>1</w:t>
          </w:r>
        </w:p>
      </w:tc>
      <w:tc>
        <w:tcPr>
          <w:tcW w:w="931"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E83AA9">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E83AA9">
            <w:rPr>
              <w:noProof/>
              <w:sz w:val="16"/>
              <w:szCs w:val="16"/>
            </w:rPr>
            <w:t>1</w:t>
          </w:r>
          <w:r w:rsidRPr="004C1C05">
            <w:rPr>
              <w:sz w:val="16"/>
              <w:szCs w:val="16"/>
            </w:rPr>
            <w:fldChar w:fldCharType="end"/>
          </w:r>
        </w:p>
      </w:tc>
    </w:tr>
    <w:tr w:rsidR="000F4359" w:rsidRPr="004C1C05" w14:paraId="170C4AA8" w14:textId="77777777" w:rsidTr="002414E0">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2C4974C8" w:rsidR="000F4359" w:rsidRPr="004C1C05" w:rsidRDefault="00F97199" w:rsidP="000F4359">
          <w:pPr>
            <w:pStyle w:val="Fuzeile"/>
            <w:spacing w:after="0"/>
            <w:ind w:right="-83"/>
            <w:rPr>
              <w:sz w:val="16"/>
              <w:szCs w:val="16"/>
            </w:rPr>
          </w:pPr>
          <w:r>
            <w:rPr>
              <w:sz w:val="16"/>
              <w:szCs w:val="16"/>
            </w:rPr>
            <w:t>11</w:t>
          </w:r>
          <w:r w:rsidR="00387456" w:rsidRPr="004C1C05">
            <w:rPr>
              <w:sz w:val="16"/>
              <w:szCs w:val="16"/>
            </w:rPr>
            <w:t>.2017</w:t>
          </w:r>
        </w:p>
      </w:tc>
      <w:tc>
        <w:tcPr>
          <w:tcW w:w="1297" w:type="dxa"/>
          <w:vAlign w:val="center"/>
        </w:tcPr>
        <w:p w14:paraId="5B880C40" w14:textId="750AF85A" w:rsidR="000F4359" w:rsidRPr="004C1C05" w:rsidRDefault="00D52AE2" w:rsidP="000F4359">
          <w:pPr>
            <w:pStyle w:val="Fuzeile"/>
            <w:spacing w:after="0"/>
            <w:ind w:right="-83"/>
            <w:rPr>
              <w:sz w:val="16"/>
              <w:szCs w:val="16"/>
            </w:rPr>
          </w:pPr>
          <w:r>
            <w:rPr>
              <w:sz w:val="16"/>
              <w:szCs w:val="16"/>
            </w:rPr>
            <w:t>08.2019</w:t>
          </w:r>
        </w:p>
      </w:tc>
      <w:tc>
        <w:tcPr>
          <w:tcW w:w="931"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2414E0">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proofErr w:type="spellStart"/>
          <w:r>
            <w:rPr>
              <w:sz w:val="16"/>
              <w:szCs w:val="16"/>
            </w:rPr>
            <w:t>R.O.E.</w:t>
          </w:r>
          <w:r w:rsidR="006A6CF7" w:rsidRPr="004C1C05">
            <w:rPr>
              <w:sz w:val="16"/>
              <w:szCs w:val="16"/>
            </w:rPr>
            <w:t>GmbH</w:t>
          </w:r>
          <w:proofErr w:type="spellEnd"/>
        </w:p>
      </w:tc>
      <w:tc>
        <w:tcPr>
          <w:tcW w:w="1297" w:type="dxa"/>
          <w:vAlign w:val="center"/>
        </w:tcPr>
        <w:p w14:paraId="3F6228DD" w14:textId="309D82E3" w:rsidR="000F4359" w:rsidRPr="004C1C05" w:rsidRDefault="00D52AE2" w:rsidP="000F4359">
          <w:pPr>
            <w:pStyle w:val="Fuzeile"/>
            <w:spacing w:after="0"/>
            <w:ind w:right="-83"/>
            <w:rPr>
              <w:sz w:val="16"/>
              <w:szCs w:val="16"/>
            </w:rPr>
          </w:pPr>
          <w:r>
            <w:rPr>
              <w:sz w:val="16"/>
              <w:szCs w:val="16"/>
            </w:rPr>
            <w:t>R.O.E. GmbH</w:t>
          </w:r>
        </w:p>
      </w:tc>
      <w:tc>
        <w:tcPr>
          <w:tcW w:w="931"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2414E0">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297" w:type="dxa"/>
          <w:vAlign w:val="center"/>
        </w:tcPr>
        <w:p w14:paraId="5D706A56" w14:textId="77777777" w:rsidR="000F4359" w:rsidRPr="004C1C05" w:rsidRDefault="000F4359" w:rsidP="000F4359">
          <w:pPr>
            <w:pStyle w:val="Fuzeile"/>
            <w:spacing w:after="0"/>
            <w:ind w:right="-83"/>
            <w:rPr>
              <w:sz w:val="16"/>
              <w:szCs w:val="16"/>
            </w:rPr>
          </w:pPr>
        </w:p>
      </w:tc>
      <w:tc>
        <w:tcPr>
          <w:tcW w:w="931"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0F4359">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D6EF" w14:textId="77777777" w:rsidR="00551602" w:rsidRDefault="00551602" w:rsidP="00826AF7">
      <w:r>
        <w:separator/>
      </w:r>
    </w:p>
    <w:p w14:paraId="21258D9B" w14:textId="77777777" w:rsidR="00551602" w:rsidRDefault="00551602" w:rsidP="00826AF7"/>
    <w:p w14:paraId="38B633AC" w14:textId="77777777" w:rsidR="00551602" w:rsidRDefault="00551602" w:rsidP="00826AF7"/>
  </w:footnote>
  <w:footnote w:type="continuationSeparator" w:id="0">
    <w:p w14:paraId="3AE191AB" w14:textId="77777777" w:rsidR="00551602" w:rsidRDefault="00551602" w:rsidP="00826AF7">
      <w:r>
        <w:continuationSeparator/>
      </w:r>
    </w:p>
    <w:p w14:paraId="7A9E260F" w14:textId="77777777" w:rsidR="00551602" w:rsidRDefault="00551602" w:rsidP="00826AF7"/>
    <w:p w14:paraId="2026FE98" w14:textId="77777777" w:rsidR="00551602" w:rsidRDefault="00551602"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2414E0">
      <w:trPr>
        <w:trHeight w:val="841"/>
      </w:trPr>
      <w:tc>
        <w:tcPr>
          <w:tcW w:w="2349" w:type="dxa"/>
          <w:vAlign w:val="center"/>
        </w:tcPr>
        <w:p w14:paraId="742C4325" w14:textId="033DDEDE" w:rsidR="00DB66E9" w:rsidRPr="00E21DC0" w:rsidRDefault="00696DC8" w:rsidP="00C40A14">
          <w:pPr>
            <w:pStyle w:val="KeinLeerraum"/>
            <w:jc w:val="center"/>
            <w:rPr>
              <w:b/>
              <w:sz w:val="18"/>
            </w:rPr>
          </w:pPr>
          <w:r>
            <w:rPr>
              <w:noProof/>
            </w:rPr>
            <w:drawing>
              <wp:inline distT="0" distB="0" distL="0" distR="0" wp14:anchorId="39B69E1A" wp14:editId="2DDC1FD1">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2414E0">
      <w:trPr>
        <w:trHeight w:val="832"/>
      </w:trPr>
      <w:tc>
        <w:tcPr>
          <w:tcW w:w="2349" w:type="dxa"/>
          <w:vAlign w:val="center"/>
        </w:tcPr>
        <w:p w14:paraId="37896C1D" w14:textId="3AE207DF" w:rsidR="00330719" w:rsidRPr="00E21DC0" w:rsidRDefault="002303AC" w:rsidP="002A63CB">
          <w:pPr>
            <w:jc w:val="center"/>
          </w:pPr>
          <w:r w:rsidRPr="00E21DC0">
            <w:rPr>
              <w:b/>
            </w:rPr>
            <w:t>UW_ET_</w:t>
          </w:r>
          <w:r w:rsidR="009C2C53">
            <w:rPr>
              <w:b/>
            </w:rPr>
            <w:t>2</w:t>
          </w:r>
          <w:r w:rsidR="00F97199">
            <w:rPr>
              <w:b/>
            </w:rPr>
            <w:t>9</w:t>
          </w:r>
        </w:p>
      </w:tc>
      <w:tc>
        <w:tcPr>
          <w:tcW w:w="5026" w:type="dxa"/>
          <w:vAlign w:val="center"/>
        </w:tcPr>
        <w:p w14:paraId="2E05780B" w14:textId="19E51E25" w:rsidR="00330719" w:rsidRPr="00E21DC0" w:rsidRDefault="00F97199" w:rsidP="00732A49">
          <w:pPr>
            <w:spacing w:after="0"/>
            <w:jc w:val="center"/>
            <w:rPr>
              <w:sz w:val="28"/>
              <w:szCs w:val="28"/>
            </w:rPr>
          </w:pPr>
          <w:r w:rsidRPr="00F97199">
            <w:rPr>
              <w:sz w:val="28"/>
              <w:szCs w:val="28"/>
            </w:rPr>
            <w:t>Unterweisung</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3"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9"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0"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3"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6"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7"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1"/>
  </w:num>
  <w:num w:numId="5">
    <w:abstractNumId w:val="2"/>
  </w:num>
  <w:num w:numId="6">
    <w:abstractNumId w:val="1"/>
  </w:num>
  <w:num w:numId="7">
    <w:abstractNumId w:val="0"/>
  </w:num>
  <w:num w:numId="8">
    <w:abstractNumId w:val="26"/>
  </w:num>
  <w:num w:numId="9">
    <w:abstractNumId w:val="10"/>
  </w:num>
  <w:num w:numId="10">
    <w:abstractNumId w:val="6"/>
  </w:num>
  <w:num w:numId="11">
    <w:abstractNumId w:val="14"/>
  </w:num>
  <w:num w:numId="12">
    <w:abstractNumId w:val="17"/>
  </w:num>
  <w:num w:numId="13">
    <w:abstractNumId w:val="25"/>
  </w:num>
  <w:num w:numId="14">
    <w:abstractNumId w:val="5"/>
  </w:num>
  <w:num w:numId="15">
    <w:abstractNumId w:val="22"/>
  </w:num>
  <w:num w:numId="16">
    <w:abstractNumId w:val="4"/>
  </w:num>
  <w:num w:numId="17">
    <w:abstractNumId w:val="24"/>
  </w:num>
  <w:num w:numId="18">
    <w:abstractNumId w:val="27"/>
  </w:num>
  <w:num w:numId="19">
    <w:abstractNumId w:val="8"/>
  </w:num>
  <w:num w:numId="20">
    <w:abstractNumId w:val="9"/>
  </w:num>
  <w:num w:numId="21">
    <w:abstractNumId w:val="20"/>
  </w:num>
  <w:num w:numId="22">
    <w:abstractNumId w:val="16"/>
  </w:num>
  <w:num w:numId="23">
    <w:abstractNumId w:val="21"/>
  </w:num>
  <w:num w:numId="24">
    <w:abstractNumId w:val="7"/>
  </w:num>
  <w:num w:numId="25">
    <w:abstractNumId w:val="28"/>
  </w:num>
  <w:num w:numId="26">
    <w:abstractNumId w:val="13"/>
  </w:num>
  <w:num w:numId="27">
    <w:abstractNumId w:val="29"/>
  </w:num>
  <w:num w:numId="28">
    <w:abstractNumId w:val="3"/>
  </w:num>
  <w:num w:numId="29">
    <w:abstractNumId w:val="19"/>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14E0"/>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17D1"/>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1602"/>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16179"/>
    <w:rsid w:val="0063364D"/>
    <w:rsid w:val="006432E4"/>
    <w:rsid w:val="00660648"/>
    <w:rsid w:val="00681944"/>
    <w:rsid w:val="00683232"/>
    <w:rsid w:val="00696DC8"/>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32A49"/>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C6301"/>
    <w:rsid w:val="00CE452B"/>
    <w:rsid w:val="00CE7657"/>
    <w:rsid w:val="00D43A3E"/>
    <w:rsid w:val="00D47697"/>
    <w:rsid w:val="00D52AE2"/>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97199"/>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CCF2-4CDE-384C-A703-709B1879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2177</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2016-03-18T12:46:00Z</cp:lastPrinted>
  <dcterms:created xsi:type="dcterms:W3CDTF">2019-08-09T14:16:00Z</dcterms:created>
  <dcterms:modified xsi:type="dcterms:W3CDTF">2019-08-09T14:17:00Z</dcterms:modified>
</cp:coreProperties>
</file>