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6661" w14:textId="77777777" w:rsidR="001D07A8" w:rsidRPr="00C5193C" w:rsidRDefault="001D07A8" w:rsidP="001D07A8">
      <w:pPr>
        <w:autoSpaceDE w:val="0"/>
        <w:autoSpaceDN w:val="0"/>
        <w:adjustRightInd w:val="0"/>
        <w:spacing w:after="0"/>
        <w:jc w:val="both"/>
      </w:pPr>
      <w:r w:rsidRPr="00C5193C">
        <w:t xml:space="preserve">Elektrische Betriebsmittel (z. B. Schalter, Steckdosen und Elektrowerkzeuge) werden nach ihrer Schutzart und Schutzklasse gekennzeichnet. Beides hört sich ähnlich an und wird häufig verwechselt. Schutzart und Schutzklasse stehen jedoch in </w:t>
      </w:r>
      <w:r w:rsidRPr="00C5193C">
        <w:rPr>
          <w:b/>
          <w:u w:val="single"/>
        </w:rPr>
        <w:t>keiner</w:t>
      </w:r>
      <w:r w:rsidRPr="00C5193C">
        <w:t xml:space="preserve"> Beziehung zueinander.</w:t>
      </w:r>
    </w:p>
    <w:p w14:paraId="31586AC9" w14:textId="77777777" w:rsidR="001D07A8" w:rsidRPr="00C5193C" w:rsidRDefault="001D07A8" w:rsidP="001D07A8">
      <w:pPr>
        <w:autoSpaceDE w:val="0"/>
        <w:autoSpaceDN w:val="0"/>
        <w:adjustRightInd w:val="0"/>
        <w:spacing w:after="0"/>
        <w:jc w:val="both"/>
      </w:pPr>
    </w:p>
    <w:p w14:paraId="280568CD" w14:textId="77777777" w:rsidR="001D07A8" w:rsidRPr="00C5193C" w:rsidRDefault="001D07A8" w:rsidP="001D07A8">
      <w:pPr>
        <w:autoSpaceDE w:val="0"/>
        <w:autoSpaceDN w:val="0"/>
        <w:adjustRightInd w:val="0"/>
        <w:spacing w:after="0"/>
        <w:jc w:val="both"/>
        <w:rPr>
          <w:b/>
        </w:rPr>
      </w:pPr>
      <w:r w:rsidRPr="00C5193C">
        <w:rPr>
          <w:b/>
        </w:rPr>
        <w:t xml:space="preserve">Schutzart   </w:t>
      </w:r>
    </w:p>
    <w:p w14:paraId="72925AC2" w14:textId="77777777" w:rsidR="001D07A8" w:rsidRPr="00C5193C" w:rsidRDefault="001D07A8" w:rsidP="001D07A8">
      <w:pPr>
        <w:autoSpaceDE w:val="0"/>
        <w:autoSpaceDN w:val="0"/>
        <w:adjustRightInd w:val="0"/>
        <w:spacing w:after="0"/>
        <w:jc w:val="both"/>
      </w:pPr>
    </w:p>
    <w:p w14:paraId="73B0BFF5" w14:textId="77777777" w:rsidR="001D07A8" w:rsidRPr="00C5193C" w:rsidRDefault="001D07A8" w:rsidP="001D07A8">
      <w:pPr>
        <w:autoSpaceDE w:val="0"/>
        <w:autoSpaceDN w:val="0"/>
        <w:adjustRightInd w:val="0"/>
        <w:spacing w:after="0"/>
        <w:jc w:val="both"/>
      </w:pPr>
      <w:r w:rsidRPr="00C5193C">
        <w:t>Die Schutzart eines Betriebsmittels gibt die Eignung im Hinblick auf die Umgebungsbedingungen an. Die Schutzart wird mit IP (International Protection) gekennzeichnet und besteht aus einer zweistelligen Zahl. Die erste Ziffer der Zahl ist die Kennziffer für den Berührungs- und Fremdkörperschutz (Eindringen von z. B. Stäuben, Sand, Insekten oder Körperteile). Die zweite Ziffer ist die Kennzahl für den Wasserschutz. Die Kennzeichnung der Schutzart ist in der VDE 0470 Teil 1 „Schutzarten durch Gehäuse (IP-Code)“ festgelegt.</w:t>
      </w:r>
    </w:p>
    <w:p w14:paraId="5EC10107" w14:textId="77777777" w:rsidR="001D07A8" w:rsidRPr="00C5193C" w:rsidRDefault="001D07A8" w:rsidP="001D07A8">
      <w:pPr>
        <w:autoSpaceDE w:val="0"/>
        <w:autoSpaceDN w:val="0"/>
        <w:adjustRightInd w:val="0"/>
        <w:spacing w:after="0"/>
        <w:jc w:val="both"/>
      </w:pPr>
    </w:p>
    <w:p w14:paraId="2D516075" w14:textId="77777777" w:rsidR="001D07A8" w:rsidRPr="00C5193C" w:rsidRDefault="001D07A8" w:rsidP="001D07A8">
      <w:pPr>
        <w:autoSpaceDE w:val="0"/>
        <w:autoSpaceDN w:val="0"/>
        <w:adjustRightInd w:val="0"/>
        <w:spacing w:after="0"/>
        <w:jc w:val="both"/>
      </w:pPr>
      <w:r w:rsidRPr="00C5193C">
        <w:rPr>
          <w:noProof/>
        </w:rPr>
        <w:drawing>
          <wp:inline distT="0" distB="0" distL="0" distR="0" wp14:anchorId="1CA02D6F" wp14:editId="47FBBA1D">
            <wp:extent cx="4285615" cy="9144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5615" cy="914400"/>
                    </a:xfrm>
                    <a:prstGeom prst="rect">
                      <a:avLst/>
                    </a:prstGeom>
                    <a:noFill/>
                    <a:ln>
                      <a:noFill/>
                    </a:ln>
                  </pic:spPr>
                </pic:pic>
              </a:graphicData>
            </a:graphic>
          </wp:inline>
        </w:drawing>
      </w:r>
    </w:p>
    <w:p w14:paraId="25EE2619" w14:textId="77777777" w:rsidR="001D07A8" w:rsidRPr="00C5193C" w:rsidRDefault="001D07A8" w:rsidP="001D07A8">
      <w:pPr>
        <w:autoSpaceDE w:val="0"/>
        <w:autoSpaceDN w:val="0"/>
        <w:adjustRightInd w:val="0"/>
        <w:spacing w:after="0"/>
        <w:jc w:val="both"/>
      </w:pPr>
    </w:p>
    <w:p w14:paraId="3C384C66" w14:textId="77777777" w:rsidR="001D07A8" w:rsidRPr="00C5193C" w:rsidRDefault="001D07A8" w:rsidP="001D07A8">
      <w:pPr>
        <w:autoSpaceDE w:val="0"/>
        <w:autoSpaceDN w:val="0"/>
        <w:adjustRightInd w:val="0"/>
        <w:spacing w:after="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4183"/>
        <w:gridCol w:w="4407"/>
      </w:tblGrid>
      <w:tr w:rsidR="001D07A8" w:rsidRPr="00C5193C" w14:paraId="44DF78BF" w14:textId="77777777" w:rsidTr="008F0BA3">
        <w:tc>
          <w:tcPr>
            <w:tcW w:w="874" w:type="dxa"/>
            <w:shd w:val="clear" w:color="auto" w:fill="auto"/>
          </w:tcPr>
          <w:p w14:paraId="56D7AB30" w14:textId="77777777" w:rsidR="001D07A8" w:rsidRPr="00C5193C" w:rsidRDefault="001D07A8" w:rsidP="00C720CC">
            <w:pPr>
              <w:autoSpaceDE w:val="0"/>
              <w:autoSpaceDN w:val="0"/>
              <w:adjustRightInd w:val="0"/>
              <w:spacing w:after="0"/>
              <w:jc w:val="center"/>
              <w:rPr>
                <w:b/>
              </w:rPr>
            </w:pPr>
            <w:r w:rsidRPr="00C5193C">
              <w:rPr>
                <w:b/>
              </w:rPr>
              <w:t>Ziffer</w:t>
            </w:r>
          </w:p>
        </w:tc>
        <w:tc>
          <w:tcPr>
            <w:tcW w:w="4183" w:type="dxa"/>
            <w:shd w:val="clear" w:color="auto" w:fill="auto"/>
          </w:tcPr>
          <w:p w14:paraId="2ACF2AE1" w14:textId="77777777" w:rsidR="001D07A8" w:rsidRPr="00C5193C" w:rsidRDefault="001D07A8" w:rsidP="00C720CC">
            <w:pPr>
              <w:autoSpaceDE w:val="0"/>
              <w:autoSpaceDN w:val="0"/>
              <w:adjustRightInd w:val="0"/>
              <w:spacing w:after="0"/>
              <w:rPr>
                <w:b/>
                <w:color w:val="FF0000"/>
              </w:rPr>
            </w:pPr>
            <w:r w:rsidRPr="00C5193C">
              <w:rPr>
                <w:b/>
                <w:color w:val="FF0000"/>
              </w:rPr>
              <w:t>Bedeutung 1. Kennziffer</w:t>
            </w:r>
            <w:r w:rsidRPr="00C5193C">
              <w:rPr>
                <w:b/>
                <w:color w:val="FF0000"/>
              </w:rPr>
              <w:br/>
              <w:t>Berührungs- u. Fremdkörperschutz</w:t>
            </w:r>
          </w:p>
        </w:tc>
        <w:tc>
          <w:tcPr>
            <w:tcW w:w="4407" w:type="dxa"/>
            <w:shd w:val="clear" w:color="auto" w:fill="auto"/>
          </w:tcPr>
          <w:p w14:paraId="68ACB66E" w14:textId="77777777" w:rsidR="001D07A8" w:rsidRPr="00C5193C" w:rsidRDefault="001D07A8" w:rsidP="00C720CC">
            <w:pPr>
              <w:autoSpaceDE w:val="0"/>
              <w:autoSpaceDN w:val="0"/>
              <w:adjustRightInd w:val="0"/>
              <w:spacing w:after="0"/>
              <w:rPr>
                <w:b/>
                <w:color w:val="0070C0"/>
              </w:rPr>
            </w:pPr>
            <w:r w:rsidRPr="00C5193C">
              <w:rPr>
                <w:b/>
                <w:color w:val="0070C0"/>
              </w:rPr>
              <w:t>Bedeutung 2. Kennziffer</w:t>
            </w:r>
            <w:r w:rsidRPr="00C5193C">
              <w:rPr>
                <w:b/>
                <w:color w:val="0070C0"/>
              </w:rPr>
              <w:br/>
              <w:t>Wasserschutz</w:t>
            </w:r>
          </w:p>
        </w:tc>
      </w:tr>
      <w:tr w:rsidR="001D07A8" w:rsidRPr="00C5193C" w14:paraId="0FF0DA6B" w14:textId="77777777" w:rsidTr="008F0BA3">
        <w:tc>
          <w:tcPr>
            <w:tcW w:w="874" w:type="dxa"/>
            <w:shd w:val="clear" w:color="auto" w:fill="auto"/>
          </w:tcPr>
          <w:p w14:paraId="4C28089C" w14:textId="77777777" w:rsidR="001D07A8" w:rsidRPr="00C5193C" w:rsidRDefault="001D07A8" w:rsidP="00C720CC">
            <w:pPr>
              <w:autoSpaceDE w:val="0"/>
              <w:autoSpaceDN w:val="0"/>
              <w:adjustRightInd w:val="0"/>
              <w:spacing w:after="0"/>
              <w:jc w:val="center"/>
            </w:pPr>
            <w:r w:rsidRPr="00C5193C">
              <w:t>0</w:t>
            </w:r>
          </w:p>
        </w:tc>
        <w:tc>
          <w:tcPr>
            <w:tcW w:w="4183" w:type="dxa"/>
            <w:shd w:val="clear" w:color="auto" w:fill="auto"/>
          </w:tcPr>
          <w:p w14:paraId="36DF1E9E" w14:textId="77777777" w:rsidR="001D07A8" w:rsidRPr="00C5193C" w:rsidRDefault="001D07A8" w:rsidP="00C720CC">
            <w:pPr>
              <w:autoSpaceDE w:val="0"/>
              <w:autoSpaceDN w:val="0"/>
              <w:adjustRightInd w:val="0"/>
              <w:spacing w:after="0"/>
            </w:pPr>
            <w:r w:rsidRPr="00C5193C">
              <w:t>kein Schutz</w:t>
            </w:r>
          </w:p>
        </w:tc>
        <w:tc>
          <w:tcPr>
            <w:tcW w:w="4407" w:type="dxa"/>
            <w:shd w:val="clear" w:color="auto" w:fill="auto"/>
          </w:tcPr>
          <w:p w14:paraId="28A653FD" w14:textId="77777777" w:rsidR="001D07A8" w:rsidRPr="00C5193C" w:rsidRDefault="001D07A8" w:rsidP="00C720CC">
            <w:pPr>
              <w:autoSpaceDE w:val="0"/>
              <w:autoSpaceDN w:val="0"/>
              <w:adjustRightInd w:val="0"/>
              <w:spacing w:after="0"/>
            </w:pPr>
            <w:r w:rsidRPr="00C5193C">
              <w:t>kein Schutz</w:t>
            </w:r>
          </w:p>
        </w:tc>
      </w:tr>
      <w:tr w:rsidR="001D07A8" w:rsidRPr="00C5193C" w14:paraId="257FCF02" w14:textId="77777777" w:rsidTr="008F0BA3">
        <w:tc>
          <w:tcPr>
            <w:tcW w:w="874" w:type="dxa"/>
            <w:shd w:val="clear" w:color="auto" w:fill="auto"/>
          </w:tcPr>
          <w:p w14:paraId="25F7F59E" w14:textId="77777777" w:rsidR="001D07A8" w:rsidRPr="00C5193C" w:rsidRDefault="001D07A8" w:rsidP="00C720CC">
            <w:pPr>
              <w:autoSpaceDE w:val="0"/>
              <w:autoSpaceDN w:val="0"/>
              <w:adjustRightInd w:val="0"/>
              <w:spacing w:after="0"/>
              <w:jc w:val="center"/>
            </w:pPr>
            <w:r w:rsidRPr="00C5193C">
              <w:t>1</w:t>
            </w:r>
          </w:p>
        </w:tc>
        <w:tc>
          <w:tcPr>
            <w:tcW w:w="4183" w:type="dxa"/>
            <w:shd w:val="clear" w:color="auto" w:fill="auto"/>
          </w:tcPr>
          <w:p w14:paraId="34967176" w14:textId="77777777" w:rsidR="001D07A8" w:rsidRPr="00C5193C" w:rsidRDefault="001D07A8" w:rsidP="00C720CC">
            <w:pPr>
              <w:autoSpaceDE w:val="0"/>
              <w:autoSpaceDN w:val="0"/>
              <w:adjustRightInd w:val="0"/>
              <w:spacing w:after="0"/>
            </w:pPr>
            <w:r w:rsidRPr="00C5193C">
              <w:t>Schutz vor Fremdkörper ≥ 50 mm Durchmesser (Handrückensicher)</w:t>
            </w:r>
          </w:p>
        </w:tc>
        <w:tc>
          <w:tcPr>
            <w:tcW w:w="4407" w:type="dxa"/>
            <w:shd w:val="clear" w:color="auto" w:fill="auto"/>
          </w:tcPr>
          <w:p w14:paraId="0A8B8527" w14:textId="77777777" w:rsidR="001D07A8" w:rsidRPr="00C5193C" w:rsidRDefault="001D07A8" w:rsidP="00C720CC">
            <w:pPr>
              <w:autoSpaceDE w:val="0"/>
              <w:autoSpaceDN w:val="0"/>
              <w:adjustRightInd w:val="0"/>
              <w:spacing w:after="0"/>
            </w:pPr>
            <w:r w:rsidRPr="00C5193C">
              <w:t>Schutz vor senkrecht fallenden Tropfen</w:t>
            </w:r>
          </w:p>
        </w:tc>
      </w:tr>
      <w:tr w:rsidR="001D07A8" w:rsidRPr="00C5193C" w14:paraId="5844B73F" w14:textId="77777777" w:rsidTr="008F0BA3">
        <w:tc>
          <w:tcPr>
            <w:tcW w:w="874" w:type="dxa"/>
            <w:shd w:val="clear" w:color="auto" w:fill="auto"/>
          </w:tcPr>
          <w:p w14:paraId="33354F27" w14:textId="77777777" w:rsidR="001D07A8" w:rsidRPr="00C5193C" w:rsidRDefault="001D07A8" w:rsidP="00C720CC">
            <w:pPr>
              <w:autoSpaceDE w:val="0"/>
              <w:autoSpaceDN w:val="0"/>
              <w:adjustRightInd w:val="0"/>
              <w:spacing w:after="0"/>
              <w:jc w:val="center"/>
            </w:pPr>
            <w:r w:rsidRPr="00C5193C">
              <w:t>2</w:t>
            </w:r>
          </w:p>
        </w:tc>
        <w:tc>
          <w:tcPr>
            <w:tcW w:w="4183" w:type="dxa"/>
            <w:shd w:val="clear" w:color="auto" w:fill="auto"/>
          </w:tcPr>
          <w:p w14:paraId="1F2A5354" w14:textId="77777777" w:rsidR="001D07A8" w:rsidRPr="00C5193C" w:rsidRDefault="001D07A8" w:rsidP="00C720CC">
            <w:pPr>
              <w:autoSpaceDE w:val="0"/>
              <w:autoSpaceDN w:val="0"/>
              <w:adjustRightInd w:val="0"/>
              <w:spacing w:after="0"/>
            </w:pPr>
            <w:r w:rsidRPr="00C5193C">
              <w:t>Schutz vor Fremdkörper ≥ 12,5 mm Durchmesser (Fingersicher)</w:t>
            </w:r>
          </w:p>
        </w:tc>
        <w:tc>
          <w:tcPr>
            <w:tcW w:w="4407" w:type="dxa"/>
            <w:shd w:val="clear" w:color="auto" w:fill="auto"/>
          </w:tcPr>
          <w:p w14:paraId="35CB6DEC" w14:textId="77777777" w:rsidR="001D07A8" w:rsidRPr="00C5193C" w:rsidRDefault="001D07A8" w:rsidP="00C720CC">
            <w:pPr>
              <w:autoSpaceDE w:val="0"/>
              <w:autoSpaceDN w:val="0"/>
              <w:adjustRightInd w:val="0"/>
              <w:spacing w:after="0"/>
            </w:pPr>
            <w:r w:rsidRPr="00C5193C">
              <w:t xml:space="preserve">Schutz vor schräg fallende Tropfen </w:t>
            </w:r>
            <w:r w:rsidRPr="00C5193C">
              <w:rPr>
                <w:rFonts w:ascii="PMingLiU" w:eastAsia="PMingLiU" w:hAnsi="PMingLiU" w:cs="PMingLiU"/>
              </w:rPr>
              <w:br/>
            </w:r>
            <w:r w:rsidRPr="00C5193C">
              <w:t>(15 ° Neigung)</w:t>
            </w:r>
          </w:p>
        </w:tc>
      </w:tr>
      <w:tr w:rsidR="001D07A8" w:rsidRPr="00C5193C" w14:paraId="43F160FD" w14:textId="77777777" w:rsidTr="008F0BA3">
        <w:tc>
          <w:tcPr>
            <w:tcW w:w="874" w:type="dxa"/>
            <w:shd w:val="clear" w:color="auto" w:fill="auto"/>
          </w:tcPr>
          <w:p w14:paraId="5F36D4C9" w14:textId="77777777" w:rsidR="001D07A8" w:rsidRPr="00C5193C" w:rsidRDefault="001D07A8" w:rsidP="00C720CC">
            <w:pPr>
              <w:autoSpaceDE w:val="0"/>
              <w:autoSpaceDN w:val="0"/>
              <w:adjustRightInd w:val="0"/>
              <w:spacing w:after="0"/>
              <w:jc w:val="center"/>
            </w:pPr>
            <w:r w:rsidRPr="00C5193C">
              <w:t>3</w:t>
            </w:r>
          </w:p>
        </w:tc>
        <w:tc>
          <w:tcPr>
            <w:tcW w:w="4183" w:type="dxa"/>
            <w:shd w:val="clear" w:color="auto" w:fill="auto"/>
          </w:tcPr>
          <w:p w14:paraId="558E083F" w14:textId="77777777" w:rsidR="001D07A8" w:rsidRPr="00C5193C" w:rsidRDefault="001D07A8" w:rsidP="00C720CC">
            <w:pPr>
              <w:autoSpaceDE w:val="0"/>
              <w:autoSpaceDN w:val="0"/>
              <w:adjustRightInd w:val="0"/>
              <w:spacing w:after="0"/>
            </w:pPr>
            <w:r w:rsidRPr="00C5193C">
              <w:t>Schutz vor Fremdkörper ≥ 2,5 mm Durchmesser</w:t>
            </w:r>
          </w:p>
        </w:tc>
        <w:tc>
          <w:tcPr>
            <w:tcW w:w="4407" w:type="dxa"/>
            <w:shd w:val="clear" w:color="auto" w:fill="auto"/>
          </w:tcPr>
          <w:p w14:paraId="44DF41F0" w14:textId="77777777" w:rsidR="001D07A8" w:rsidRPr="00C5193C" w:rsidRDefault="001D07A8" w:rsidP="00C720CC">
            <w:pPr>
              <w:autoSpaceDE w:val="0"/>
              <w:autoSpaceDN w:val="0"/>
              <w:adjustRightInd w:val="0"/>
              <w:spacing w:after="0"/>
            </w:pPr>
            <w:r w:rsidRPr="00C5193C">
              <w:t>Schutz vor Sprühwasser</w:t>
            </w:r>
          </w:p>
        </w:tc>
      </w:tr>
      <w:tr w:rsidR="001D07A8" w:rsidRPr="00C5193C" w14:paraId="26C19136" w14:textId="77777777" w:rsidTr="008F0BA3">
        <w:tc>
          <w:tcPr>
            <w:tcW w:w="874" w:type="dxa"/>
            <w:shd w:val="clear" w:color="auto" w:fill="auto"/>
          </w:tcPr>
          <w:p w14:paraId="1E22AAB8" w14:textId="77777777" w:rsidR="001D07A8" w:rsidRPr="00C5193C" w:rsidRDefault="001D07A8" w:rsidP="00C720CC">
            <w:pPr>
              <w:autoSpaceDE w:val="0"/>
              <w:autoSpaceDN w:val="0"/>
              <w:adjustRightInd w:val="0"/>
              <w:spacing w:after="0"/>
              <w:jc w:val="center"/>
            </w:pPr>
            <w:r w:rsidRPr="00C5193C">
              <w:t>4</w:t>
            </w:r>
          </w:p>
        </w:tc>
        <w:tc>
          <w:tcPr>
            <w:tcW w:w="4183" w:type="dxa"/>
            <w:shd w:val="clear" w:color="auto" w:fill="auto"/>
          </w:tcPr>
          <w:p w14:paraId="32FC2265" w14:textId="77777777" w:rsidR="001D07A8" w:rsidRPr="00C5193C" w:rsidRDefault="001D07A8" w:rsidP="00C720CC">
            <w:pPr>
              <w:autoSpaceDE w:val="0"/>
              <w:autoSpaceDN w:val="0"/>
              <w:adjustRightInd w:val="0"/>
              <w:spacing w:after="0"/>
            </w:pPr>
            <w:r w:rsidRPr="00C5193C">
              <w:t>Schutz vor Fremdkörper ≥ 1,0 mm Durchmesser</w:t>
            </w:r>
          </w:p>
        </w:tc>
        <w:tc>
          <w:tcPr>
            <w:tcW w:w="4407" w:type="dxa"/>
            <w:shd w:val="clear" w:color="auto" w:fill="auto"/>
          </w:tcPr>
          <w:p w14:paraId="0DC05675" w14:textId="77777777" w:rsidR="001D07A8" w:rsidRPr="00C5193C" w:rsidRDefault="001D07A8" w:rsidP="00C720CC">
            <w:pPr>
              <w:autoSpaceDE w:val="0"/>
              <w:autoSpaceDN w:val="0"/>
              <w:adjustRightInd w:val="0"/>
              <w:spacing w:after="0"/>
            </w:pPr>
            <w:r w:rsidRPr="00C5193C">
              <w:t>Schutz vor Spritzwasser</w:t>
            </w:r>
          </w:p>
        </w:tc>
      </w:tr>
      <w:tr w:rsidR="001D07A8" w:rsidRPr="00C5193C" w14:paraId="68048DDF" w14:textId="77777777" w:rsidTr="008F0BA3">
        <w:tc>
          <w:tcPr>
            <w:tcW w:w="874" w:type="dxa"/>
            <w:shd w:val="clear" w:color="auto" w:fill="auto"/>
          </w:tcPr>
          <w:p w14:paraId="6AEC7BC3" w14:textId="77777777" w:rsidR="001D07A8" w:rsidRPr="00C5193C" w:rsidRDefault="001D07A8" w:rsidP="00C720CC">
            <w:pPr>
              <w:autoSpaceDE w:val="0"/>
              <w:autoSpaceDN w:val="0"/>
              <w:adjustRightInd w:val="0"/>
              <w:spacing w:after="0"/>
              <w:jc w:val="center"/>
            </w:pPr>
            <w:r w:rsidRPr="00C5193C">
              <w:t>5</w:t>
            </w:r>
          </w:p>
        </w:tc>
        <w:tc>
          <w:tcPr>
            <w:tcW w:w="4183" w:type="dxa"/>
            <w:shd w:val="clear" w:color="auto" w:fill="auto"/>
          </w:tcPr>
          <w:p w14:paraId="0D54DC0F" w14:textId="77777777" w:rsidR="001D07A8" w:rsidRPr="00C5193C" w:rsidRDefault="001D07A8" w:rsidP="00C720CC">
            <w:pPr>
              <w:autoSpaceDE w:val="0"/>
              <w:autoSpaceDN w:val="0"/>
              <w:adjustRightInd w:val="0"/>
              <w:spacing w:after="0"/>
            </w:pPr>
            <w:r w:rsidRPr="00C5193C">
              <w:t>staubgeschützt</w:t>
            </w:r>
          </w:p>
        </w:tc>
        <w:tc>
          <w:tcPr>
            <w:tcW w:w="4407" w:type="dxa"/>
            <w:shd w:val="clear" w:color="auto" w:fill="auto"/>
          </w:tcPr>
          <w:p w14:paraId="0B8AD470" w14:textId="77777777" w:rsidR="001D07A8" w:rsidRPr="00C5193C" w:rsidRDefault="001D07A8" w:rsidP="00C720CC">
            <w:pPr>
              <w:autoSpaceDE w:val="0"/>
              <w:autoSpaceDN w:val="0"/>
              <w:adjustRightInd w:val="0"/>
              <w:spacing w:after="0"/>
            </w:pPr>
            <w:r w:rsidRPr="00C5193C">
              <w:t>Schutz vor Strahlwasser</w:t>
            </w:r>
          </w:p>
        </w:tc>
      </w:tr>
      <w:tr w:rsidR="001D07A8" w:rsidRPr="00C5193C" w14:paraId="22CBCB84" w14:textId="77777777" w:rsidTr="008F0BA3">
        <w:tc>
          <w:tcPr>
            <w:tcW w:w="874" w:type="dxa"/>
            <w:shd w:val="clear" w:color="auto" w:fill="auto"/>
          </w:tcPr>
          <w:p w14:paraId="11C3A544" w14:textId="77777777" w:rsidR="001D07A8" w:rsidRPr="00C5193C" w:rsidRDefault="001D07A8" w:rsidP="00C720CC">
            <w:pPr>
              <w:autoSpaceDE w:val="0"/>
              <w:autoSpaceDN w:val="0"/>
              <w:adjustRightInd w:val="0"/>
              <w:spacing w:after="0"/>
              <w:jc w:val="center"/>
            </w:pPr>
            <w:r w:rsidRPr="00C5193C">
              <w:t>6</w:t>
            </w:r>
          </w:p>
        </w:tc>
        <w:tc>
          <w:tcPr>
            <w:tcW w:w="4183" w:type="dxa"/>
            <w:shd w:val="clear" w:color="auto" w:fill="auto"/>
          </w:tcPr>
          <w:p w14:paraId="19A7E1D8" w14:textId="77777777" w:rsidR="001D07A8" w:rsidRPr="00C5193C" w:rsidRDefault="001D07A8" w:rsidP="00C720CC">
            <w:pPr>
              <w:autoSpaceDE w:val="0"/>
              <w:autoSpaceDN w:val="0"/>
              <w:adjustRightInd w:val="0"/>
              <w:spacing w:after="0"/>
            </w:pPr>
            <w:r w:rsidRPr="00C5193C">
              <w:t>staubdicht</w:t>
            </w:r>
          </w:p>
        </w:tc>
        <w:tc>
          <w:tcPr>
            <w:tcW w:w="4407" w:type="dxa"/>
            <w:shd w:val="clear" w:color="auto" w:fill="auto"/>
          </w:tcPr>
          <w:p w14:paraId="588FE187" w14:textId="77777777" w:rsidR="001D07A8" w:rsidRPr="00C5193C" w:rsidRDefault="001D07A8" w:rsidP="00C720CC">
            <w:pPr>
              <w:autoSpaceDE w:val="0"/>
              <w:autoSpaceDN w:val="0"/>
              <w:adjustRightInd w:val="0"/>
              <w:spacing w:after="0"/>
            </w:pPr>
            <w:r w:rsidRPr="00C5193C">
              <w:t>Schutz vor starkem Strahlwasser</w:t>
            </w:r>
          </w:p>
        </w:tc>
      </w:tr>
      <w:tr w:rsidR="001D07A8" w:rsidRPr="00C5193C" w14:paraId="340513D8" w14:textId="77777777" w:rsidTr="008F0BA3">
        <w:tc>
          <w:tcPr>
            <w:tcW w:w="874" w:type="dxa"/>
            <w:shd w:val="clear" w:color="auto" w:fill="auto"/>
          </w:tcPr>
          <w:p w14:paraId="7F4B47C3" w14:textId="77777777" w:rsidR="001D07A8" w:rsidRPr="00C5193C" w:rsidRDefault="001D07A8" w:rsidP="00C720CC">
            <w:pPr>
              <w:autoSpaceDE w:val="0"/>
              <w:autoSpaceDN w:val="0"/>
              <w:adjustRightInd w:val="0"/>
              <w:spacing w:after="0"/>
              <w:jc w:val="center"/>
            </w:pPr>
            <w:r w:rsidRPr="00C5193C">
              <w:t>7</w:t>
            </w:r>
          </w:p>
        </w:tc>
        <w:tc>
          <w:tcPr>
            <w:tcW w:w="4183" w:type="dxa"/>
            <w:shd w:val="clear" w:color="auto" w:fill="auto"/>
          </w:tcPr>
          <w:p w14:paraId="060D089E" w14:textId="77777777" w:rsidR="001D07A8" w:rsidRPr="00C5193C" w:rsidRDefault="001D07A8" w:rsidP="00C720CC">
            <w:pPr>
              <w:autoSpaceDE w:val="0"/>
              <w:autoSpaceDN w:val="0"/>
              <w:adjustRightInd w:val="0"/>
              <w:spacing w:after="0"/>
            </w:pPr>
            <w:r w:rsidRPr="00C5193C">
              <w:t>-</w:t>
            </w:r>
          </w:p>
        </w:tc>
        <w:tc>
          <w:tcPr>
            <w:tcW w:w="4407" w:type="dxa"/>
            <w:shd w:val="clear" w:color="auto" w:fill="auto"/>
          </w:tcPr>
          <w:p w14:paraId="3D1043C8" w14:textId="77777777" w:rsidR="001D07A8" w:rsidRPr="00C5193C" w:rsidRDefault="001D07A8" w:rsidP="00C720CC">
            <w:pPr>
              <w:autoSpaceDE w:val="0"/>
              <w:autoSpaceDN w:val="0"/>
              <w:adjustRightInd w:val="0"/>
              <w:spacing w:after="0"/>
            </w:pPr>
            <w:r w:rsidRPr="00C5193C">
              <w:t>Schutz bei zeitweiligem Untertauchen</w:t>
            </w:r>
          </w:p>
        </w:tc>
      </w:tr>
      <w:tr w:rsidR="001D07A8" w:rsidRPr="00C5193C" w14:paraId="080A26D2" w14:textId="77777777" w:rsidTr="008F0BA3">
        <w:tc>
          <w:tcPr>
            <w:tcW w:w="874" w:type="dxa"/>
            <w:shd w:val="clear" w:color="auto" w:fill="auto"/>
          </w:tcPr>
          <w:p w14:paraId="41D7042F" w14:textId="77777777" w:rsidR="001D07A8" w:rsidRPr="00C5193C" w:rsidRDefault="001D07A8" w:rsidP="00C720CC">
            <w:pPr>
              <w:autoSpaceDE w:val="0"/>
              <w:autoSpaceDN w:val="0"/>
              <w:adjustRightInd w:val="0"/>
              <w:spacing w:after="0"/>
              <w:jc w:val="center"/>
            </w:pPr>
            <w:r w:rsidRPr="00C5193C">
              <w:t>8</w:t>
            </w:r>
          </w:p>
        </w:tc>
        <w:tc>
          <w:tcPr>
            <w:tcW w:w="4183" w:type="dxa"/>
            <w:shd w:val="clear" w:color="auto" w:fill="auto"/>
          </w:tcPr>
          <w:p w14:paraId="70C85A2F" w14:textId="77777777" w:rsidR="001D07A8" w:rsidRPr="00C5193C" w:rsidRDefault="001D07A8" w:rsidP="00C720CC">
            <w:pPr>
              <w:autoSpaceDE w:val="0"/>
              <w:autoSpaceDN w:val="0"/>
              <w:adjustRightInd w:val="0"/>
              <w:spacing w:after="0"/>
            </w:pPr>
            <w:r w:rsidRPr="00C5193C">
              <w:t>-</w:t>
            </w:r>
          </w:p>
        </w:tc>
        <w:tc>
          <w:tcPr>
            <w:tcW w:w="4407" w:type="dxa"/>
            <w:shd w:val="clear" w:color="auto" w:fill="auto"/>
          </w:tcPr>
          <w:p w14:paraId="5138B87B" w14:textId="77777777" w:rsidR="001D07A8" w:rsidRPr="00C5193C" w:rsidRDefault="001D07A8" w:rsidP="00C720CC">
            <w:pPr>
              <w:autoSpaceDE w:val="0"/>
              <w:autoSpaceDN w:val="0"/>
              <w:adjustRightInd w:val="0"/>
              <w:spacing w:after="0"/>
            </w:pPr>
            <w:r w:rsidRPr="00C5193C">
              <w:t>Schutz bei dauerndem Untertauchen</w:t>
            </w:r>
          </w:p>
        </w:tc>
      </w:tr>
    </w:tbl>
    <w:p w14:paraId="087FFB7E" w14:textId="77777777" w:rsidR="001D07A8" w:rsidRPr="00C5193C" w:rsidRDefault="001D07A8" w:rsidP="001D07A8">
      <w:pPr>
        <w:autoSpaceDE w:val="0"/>
        <w:autoSpaceDN w:val="0"/>
        <w:adjustRightInd w:val="0"/>
        <w:spacing w:after="0"/>
        <w:jc w:val="both"/>
      </w:pPr>
    </w:p>
    <w:p w14:paraId="30DFC2E7" w14:textId="77777777" w:rsidR="001D07A8" w:rsidRPr="00C5193C" w:rsidRDefault="001D07A8" w:rsidP="001D07A8">
      <w:pPr>
        <w:autoSpaceDE w:val="0"/>
        <w:autoSpaceDN w:val="0"/>
        <w:adjustRightInd w:val="0"/>
        <w:spacing w:after="0"/>
        <w:jc w:val="both"/>
      </w:pPr>
      <w:bookmarkStart w:id="0" w:name="_GoBack"/>
      <w:bookmarkEnd w:id="0"/>
      <w:r w:rsidRPr="00C5193C">
        <w:rPr>
          <w:b/>
        </w:rPr>
        <w:t>Die einzelnen Ziffern müssen immer getrennt betrachtet werden. Im Hinblick auf den Wasserschutz ist z. B. die Schutzart IP 24 höherwertiger als die Schutzart IP 43.</w:t>
      </w:r>
    </w:p>
    <w:p w14:paraId="1344DF41" w14:textId="77777777" w:rsidR="001D07A8" w:rsidRPr="00C5193C" w:rsidRDefault="001D07A8" w:rsidP="001D07A8">
      <w:pPr>
        <w:autoSpaceDE w:val="0"/>
        <w:autoSpaceDN w:val="0"/>
        <w:adjustRightInd w:val="0"/>
        <w:spacing w:after="0"/>
        <w:jc w:val="both"/>
      </w:pPr>
    </w:p>
    <w:p w14:paraId="54357117" w14:textId="25FCCF40" w:rsidR="001D07A8" w:rsidRPr="00C5193C" w:rsidRDefault="001D07A8" w:rsidP="001D07A8">
      <w:pPr>
        <w:autoSpaceDE w:val="0"/>
        <w:autoSpaceDN w:val="0"/>
        <w:adjustRightInd w:val="0"/>
        <w:spacing w:after="0"/>
        <w:jc w:val="both"/>
      </w:pPr>
      <w:r w:rsidRPr="00C5193C">
        <w:t>Für feste Installationen ist die Schutzart entsprechen</w:t>
      </w:r>
      <w:r w:rsidR="005B3184">
        <w:t>d</w:t>
      </w:r>
      <w:r w:rsidRPr="00C5193C">
        <w:t xml:space="preserve"> dem Raum auszuwählen (z. B. Innenbereich trocken</w:t>
      </w:r>
      <w:r w:rsidR="00666EB2">
        <w:t xml:space="preserve"> oder</w:t>
      </w:r>
      <w:r w:rsidRPr="00C5193C">
        <w:t xml:space="preserve"> Außenbereich überdacht). Geräte sind immer entsprechend den Umgebungsbedingungen (z. B. Wetter) des Einsatzortes auszuwählen.</w:t>
      </w:r>
    </w:p>
    <w:p w14:paraId="21406D34" w14:textId="77777777" w:rsidR="001D07A8" w:rsidRPr="00C5193C" w:rsidRDefault="001D07A8" w:rsidP="001D07A8">
      <w:pPr>
        <w:autoSpaceDE w:val="0"/>
        <w:autoSpaceDN w:val="0"/>
        <w:adjustRightInd w:val="0"/>
        <w:spacing w:after="0"/>
        <w:jc w:val="both"/>
      </w:pPr>
    </w:p>
    <w:p w14:paraId="3FAA224E" w14:textId="77777777" w:rsidR="001D07A8" w:rsidRPr="00C5193C" w:rsidRDefault="001D07A8" w:rsidP="001D07A8">
      <w:pPr>
        <w:autoSpaceDE w:val="0"/>
        <w:autoSpaceDN w:val="0"/>
        <w:adjustRightInd w:val="0"/>
        <w:spacing w:after="0"/>
        <w:jc w:val="both"/>
      </w:pPr>
      <w:r w:rsidRPr="00C5193C">
        <w:t>Eine Außensteckdose im ungeschützten Bereich muss immer eine Schutzart von mindestens IP X3 aufweisen (Festlegung in VDE 0100 Teil 737 „Errichten von Niederspannungsanlagen – Feuchte und nasse Bereiche und Räume und Anlagen im Freien“). Ein bei klarem Wetter im Sommer dort angeschlossenes Radio muss keinen Sprühwasserschutz aufweisen, wenn sich dort keine „Wasserquelle“ befindet (Festlegung nach Gefährdungsbeurteilung).</w:t>
      </w:r>
    </w:p>
    <w:p w14:paraId="7CF2EFEF" w14:textId="77777777" w:rsidR="001D07A8" w:rsidRPr="00C5193C" w:rsidRDefault="001D07A8" w:rsidP="001D07A8">
      <w:pPr>
        <w:autoSpaceDE w:val="0"/>
        <w:autoSpaceDN w:val="0"/>
        <w:adjustRightInd w:val="0"/>
        <w:spacing w:after="0"/>
        <w:jc w:val="both"/>
        <w:rPr>
          <w:b/>
        </w:rPr>
      </w:pPr>
      <w:r w:rsidRPr="00C5193C">
        <w:br w:type="page"/>
      </w:r>
      <w:r w:rsidRPr="00C5193C">
        <w:rPr>
          <w:b/>
        </w:rPr>
        <w:lastRenderedPageBreak/>
        <w:t>Schutzklasse</w:t>
      </w:r>
    </w:p>
    <w:p w14:paraId="0EEBAFB8" w14:textId="77777777" w:rsidR="001D07A8" w:rsidRPr="00C5193C" w:rsidRDefault="001D07A8" w:rsidP="001D07A8">
      <w:pPr>
        <w:autoSpaceDE w:val="0"/>
        <w:autoSpaceDN w:val="0"/>
        <w:adjustRightInd w:val="0"/>
        <w:spacing w:after="0"/>
        <w:jc w:val="both"/>
      </w:pPr>
    </w:p>
    <w:p w14:paraId="02C0DE1E" w14:textId="77777777" w:rsidR="001D07A8" w:rsidRPr="00C5193C" w:rsidRDefault="001D07A8" w:rsidP="001D07A8">
      <w:pPr>
        <w:autoSpaceDE w:val="0"/>
        <w:autoSpaceDN w:val="0"/>
        <w:adjustRightInd w:val="0"/>
        <w:spacing w:after="0"/>
        <w:jc w:val="both"/>
      </w:pPr>
      <w:r w:rsidRPr="00C5193C">
        <w:t>Die Schutzklasse kennzeichnet die Art der Schutzmaßnahme. Hierbei werden 3 Schutzklassen beschrieben.</w:t>
      </w:r>
    </w:p>
    <w:p w14:paraId="3C15E82F" w14:textId="77777777" w:rsidR="001D07A8" w:rsidRPr="00C5193C" w:rsidRDefault="001D07A8" w:rsidP="001D07A8">
      <w:pPr>
        <w:autoSpaceDE w:val="0"/>
        <w:autoSpaceDN w:val="0"/>
        <w:adjustRightInd w:val="0"/>
        <w:spacing w:after="0"/>
        <w:jc w:val="both"/>
      </w:pP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39"/>
        <w:gridCol w:w="6248"/>
      </w:tblGrid>
      <w:tr w:rsidR="001D07A8" w:rsidRPr="00C5193C" w14:paraId="693B145D" w14:textId="77777777" w:rsidTr="008F0BA3">
        <w:tc>
          <w:tcPr>
            <w:tcW w:w="1838" w:type="dxa"/>
            <w:shd w:val="clear" w:color="auto" w:fill="auto"/>
          </w:tcPr>
          <w:p w14:paraId="2F793143" w14:textId="77777777" w:rsidR="001D07A8" w:rsidRPr="00C5193C" w:rsidRDefault="001D07A8" w:rsidP="00C720CC">
            <w:pPr>
              <w:autoSpaceDE w:val="0"/>
              <w:autoSpaceDN w:val="0"/>
              <w:adjustRightInd w:val="0"/>
              <w:spacing w:after="0"/>
              <w:jc w:val="center"/>
              <w:rPr>
                <w:b/>
              </w:rPr>
            </w:pPr>
            <w:r w:rsidRPr="00C5193C">
              <w:rPr>
                <w:b/>
              </w:rPr>
              <w:t>Schutzklasse</w:t>
            </w:r>
          </w:p>
        </w:tc>
        <w:tc>
          <w:tcPr>
            <w:tcW w:w="1439" w:type="dxa"/>
            <w:shd w:val="clear" w:color="auto" w:fill="auto"/>
          </w:tcPr>
          <w:p w14:paraId="5763AE2E" w14:textId="77777777" w:rsidR="001D07A8" w:rsidRPr="00C5193C" w:rsidRDefault="001D07A8" w:rsidP="00C720CC">
            <w:pPr>
              <w:autoSpaceDE w:val="0"/>
              <w:autoSpaceDN w:val="0"/>
              <w:adjustRightInd w:val="0"/>
              <w:spacing w:after="0"/>
              <w:jc w:val="center"/>
              <w:rPr>
                <w:b/>
              </w:rPr>
            </w:pPr>
            <w:r w:rsidRPr="00C5193C">
              <w:rPr>
                <w:b/>
              </w:rPr>
              <w:t>Bildzeichen</w:t>
            </w:r>
          </w:p>
        </w:tc>
        <w:tc>
          <w:tcPr>
            <w:tcW w:w="6248" w:type="dxa"/>
            <w:shd w:val="clear" w:color="auto" w:fill="auto"/>
          </w:tcPr>
          <w:p w14:paraId="261E088F" w14:textId="77777777" w:rsidR="001D07A8" w:rsidRPr="00C5193C" w:rsidRDefault="001D07A8" w:rsidP="00C720CC">
            <w:pPr>
              <w:autoSpaceDE w:val="0"/>
              <w:autoSpaceDN w:val="0"/>
              <w:adjustRightInd w:val="0"/>
              <w:spacing w:after="0"/>
              <w:jc w:val="both"/>
              <w:rPr>
                <w:b/>
              </w:rPr>
            </w:pPr>
            <w:r w:rsidRPr="00C5193C">
              <w:rPr>
                <w:b/>
              </w:rPr>
              <w:t>Beschreibung der Schutzmaßnahme</w:t>
            </w:r>
          </w:p>
        </w:tc>
      </w:tr>
      <w:tr w:rsidR="001D07A8" w:rsidRPr="00C5193C" w14:paraId="0357E342" w14:textId="77777777" w:rsidTr="008F0BA3">
        <w:tc>
          <w:tcPr>
            <w:tcW w:w="1838" w:type="dxa"/>
            <w:shd w:val="clear" w:color="auto" w:fill="auto"/>
          </w:tcPr>
          <w:p w14:paraId="1A891964" w14:textId="77777777" w:rsidR="001D07A8" w:rsidRPr="00C5193C" w:rsidRDefault="001D07A8" w:rsidP="00C720CC">
            <w:pPr>
              <w:autoSpaceDE w:val="0"/>
              <w:autoSpaceDN w:val="0"/>
              <w:adjustRightInd w:val="0"/>
              <w:spacing w:after="0"/>
              <w:jc w:val="center"/>
            </w:pPr>
            <w:r w:rsidRPr="00C5193C">
              <w:br/>
              <w:t>I</w:t>
            </w:r>
          </w:p>
        </w:tc>
        <w:tc>
          <w:tcPr>
            <w:tcW w:w="1439" w:type="dxa"/>
            <w:shd w:val="clear" w:color="auto" w:fill="auto"/>
          </w:tcPr>
          <w:p w14:paraId="189FD07F" w14:textId="77777777" w:rsidR="001D07A8" w:rsidRPr="00C5193C" w:rsidRDefault="001D07A8" w:rsidP="00C720CC">
            <w:pPr>
              <w:autoSpaceDE w:val="0"/>
              <w:autoSpaceDN w:val="0"/>
              <w:adjustRightInd w:val="0"/>
              <w:spacing w:after="0"/>
              <w:jc w:val="center"/>
            </w:pPr>
            <w:r w:rsidRPr="00C5193C">
              <w:br/>
            </w:r>
            <w:r w:rsidRPr="00C5193C">
              <w:rPr>
                <w:noProof/>
              </w:rPr>
              <w:drawing>
                <wp:inline distT="0" distB="0" distL="0" distR="0" wp14:anchorId="1F1FCC9E" wp14:editId="21F99A53">
                  <wp:extent cx="508635" cy="381635"/>
                  <wp:effectExtent l="0" t="0" r="5715" b="0"/>
                  <wp:docPr id="6" name="Grafik 6" descr="Schutzklas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utzklasse-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35" cy="381635"/>
                          </a:xfrm>
                          <a:prstGeom prst="rect">
                            <a:avLst/>
                          </a:prstGeom>
                          <a:noFill/>
                          <a:ln>
                            <a:noFill/>
                          </a:ln>
                        </pic:spPr>
                      </pic:pic>
                    </a:graphicData>
                  </a:graphic>
                </wp:inline>
              </w:drawing>
            </w:r>
          </w:p>
        </w:tc>
        <w:tc>
          <w:tcPr>
            <w:tcW w:w="6248" w:type="dxa"/>
            <w:shd w:val="clear" w:color="auto" w:fill="auto"/>
          </w:tcPr>
          <w:p w14:paraId="59D6E184" w14:textId="77777777" w:rsidR="001D07A8" w:rsidRDefault="001D07A8" w:rsidP="00C720CC">
            <w:pPr>
              <w:autoSpaceDE w:val="0"/>
              <w:autoSpaceDN w:val="0"/>
              <w:adjustRightInd w:val="0"/>
              <w:spacing w:after="0"/>
              <w:jc w:val="both"/>
            </w:pPr>
            <w:r w:rsidRPr="00C5193C">
              <w:rPr>
                <w:b/>
              </w:rPr>
              <w:t>Schutzerdung</w:t>
            </w:r>
            <w:r w:rsidRPr="00C5193C">
              <w:rPr>
                <w:b/>
              </w:rPr>
              <w:br/>
            </w:r>
            <w:r w:rsidRPr="00C5193C">
              <w:t>Der Körper des Betriebsmittels (das Gehäuse) ist mit dem grün-gelben Schutzleiter verbunden. Das Gehäuse ist somit geerdet.</w:t>
            </w:r>
          </w:p>
          <w:p w14:paraId="2E2CAF90" w14:textId="0CC92281" w:rsidR="001D07A8" w:rsidRPr="00C5193C" w:rsidRDefault="001D07A8" w:rsidP="00C720CC">
            <w:pPr>
              <w:autoSpaceDE w:val="0"/>
              <w:autoSpaceDN w:val="0"/>
              <w:adjustRightInd w:val="0"/>
              <w:spacing w:after="0"/>
              <w:jc w:val="both"/>
            </w:pPr>
          </w:p>
        </w:tc>
      </w:tr>
      <w:tr w:rsidR="001D07A8" w:rsidRPr="00C5193C" w14:paraId="6ECD6270" w14:textId="77777777" w:rsidTr="008F0BA3">
        <w:tc>
          <w:tcPr>
            <w:tcW w:w="1838" w:type="dxa"/>
            <w:shd w:val="clear" w:color="auto" w:fill="auto"/>
          </w:tcPr>
          <w:p w14:paraId="5DB61A70" w14:textId="77777777" w:rsidR="001D07A8" w:rsidRPr="00C5193C" w:rsidRDefault="001D07A8" w:rsidP="00C720CC">
            <w:pPr>
              <w:autoSpaceDE w:val="0"/>
              <w:autoSpaceDN w:val="0"/>
              <w:adjustRightInd w:val="0"/>
              <w:spacing w:after="0"/>
              <w:jc w:val="center"/>
            </w:pPr>
            <w:r w:rsidRPr="00C5193C">
              <w:br/>
              <w:t>II</w:t>
            </w:r>
          </w:p>
        </w:tc>
        <w:tc>
          <w:tcPr>
            <w:tcW w:w="1439" w:type="dxa"/>
            <w:shd w:val="clear" w:color="auto" w:fill="auto"/>
          </w:tcPr>
          <w:p w14:paraId="2E21351F" w14:textId="77777777" w:rsidR="001D07A8" w:rsidRPr="00C5193C" w:rsidRDefault="001D07A8" w:rsidP="00C720CC">
            <w:pPr>
              <w:autoSpaceDE w:val="0"/>
              <w:autoSpaceDN w:val="0"/>
              <w:adjustRightInd w:val="0"/>
              <w:spacing w:after="0"/>
              <w:jc w:val="center"/>
            </w:pPr>
            <w:r w:rsidRPr="00C5193C">
              <w:br/>
            </w:r>
            <w:r w:rsidRPr="00C5193C">
              <w:rPr>
                <w:noProof/>
              </w:rPr>
              <w:drawing>
                <wp:inline distT="0" distB="0" distL="0" distR="0" wp14:anchorId="7FA21C38" wp14:editId="092187C8">
                  <wp:extent cx="540385" cy="405765"/>
                  <wp:effectExtent l="0" t="0" r="0" b="0"/>
                  <wp:docPr id="5" name="Grafik 5" descr="05684b657a9db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684b657a9db9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85" cy="405765"/>
                          </a:xfrm>
                          <a:prstGeom prst="rect">
                            <a:avLst/>
                          </a:prstGeom>
                          <a:noFill/>
                          <a:ln>
                            <a:noFill/>
                          </a:ln>
                        </pic:spPr>
                      </pic:pic>
                    </a:graphicData>
                  </a:graphic>
                </wp:inline>
              </w:drawing>
            </w:r>
          </w:p>
        </w:tc>
        <w:tc>
          <w:tcPr>
            <w:tcW w:w="6248" w:type="dxa"/>
            <w:shd w:val="clear" w:color="auto" w:fill="auto"/>
          </w:tcPr>
          <w:p w14:paraId="4C14ED0D" w14:textId="77777777" w:rsidR="001D07A8" w:rsidRDefault="001D07A8" w:rsidP="00C720CC">
            <w:pPr>
              <w:autoSpaceDE w:val="0"/>
              <w:autoSpaceDN w:val="0"/>
              <w:adjustRightInd w:val="0"/>
              <w:spacing w:after="0"/>
              <w:jc w:val="both"/>
            </w:pPr>
            <w:r w:rsidRPr="00C5193C">
              <w:rPr>
                <w:b/>
              </w:rPr>
              <w:t>Schutzisolierung</w:t>
            </w:r>
            <w:r w:rsidRPr="00C5193C">
              <w:rPr>
                <w:b/>
              </w:rPr>
              <w:br/>
            </w:r>
            <w:r w:rsidRPr="00C5193C">
              <w:t>Die normative Bezeichnung lautet „doppelte oder verstärkte Isolierung“. Hierbei wird durch konstruktive Maßnahmen erreicht, dass die unter Spannung stehenden Teile sicher von berührbaren Metallteilen getrennt sind. Geräte mit einer Schutzklasse II-Kennzeichnung dürfen einen grün-gelben Schutzleiter beinhalten. Dieser muss jedoch isoliert werden und genauso wie ein unter Spannung stehender Leiter behandelt werden.</w:t>
            </w:r>
          </w:p>
          <w:p w14:paraId="4F54444F" w14:textId="1B3D5B99" w:rsidR="001D07A8" w:rsidRPr="00C5193C" w:rsidRDefault="001D07A8" w:rsidP="00C720CC">
            <w:pPr>
              <w:autoSpaceDE w:val="0"/>
              <w:autoSpaceDN w:val="0"/>
              <w:adjustRightInd w:val="0"/>
              <w:spacing w:after="0"/>
              <w:jc w:val="both"/>
            </w:pPr>
          </w:p>
        </w:tc>
      </w:tr>
      <w:tr w:rsidR="001D07A8" w:rsidRPr="00C5193C" w14:paraId="428CAFDD" w14:textId="77777777" w:rsidTr="008F0BA3">
        <w:trPr>
          <w:trHeight w:val="957"/>
        </w:trPr>
        <w:tc>
          <w:tcPr>
            <w:tcW w:w="1838" w:type="dxa"/>
            <w:shd w:val="clear" w:color="auto" w:fill="auto"/>
          </w:tcPr>
          <w:p w14:paraId="5846576D" w14:textId="77777777" w:rsidR="001D07A8" w:rsidRPr="00C5193C" w:rsidRDefault="001D07A8" w:rsidP="00C720CC">
            <w:pPr>
              <w:autoSpaceDE w:val="0"/>
              <w:autoSpaceDN w:val="0"/>
              <w:adjustRightInd w:val="0"/>
              <w:spacing w:after="0"/>
              <w:jc w:val="center"/>
            </w:pPr>
            <w:r w:rsidRPr="00C5193C">
              <w:br/>
              <w:t>III</w:t>
            </w:r>
          </w:p>
        </w:tc>
        <w:tc>
          <w:tcPr>
            <w:tcW w:w="1439" w:type="dxa"/>
            <w:shd w:val="clear" w:color="auto" w:fill="auto"/>
          </w:tcPr>
          <w:p w14:paraId="1D94CA70" w14:textId="77777777" w:rsidR="001D07A8" w:rsidRPr="00C5193C" w:rsidRDefault="001D07A8" w:rsidP="00C720CC">
            <w:pPr>
              <w:autoSpaceDE w:val="0"/>
              <w:autoSpaceDN w:val="0"/>
              <w:adjustRightInd w:val="0"/>
              <w:spacing w:after="0"/>
              <w:jc w:val="center"/>
            </w:pPr>
            <w:r w:rsidRPr="00C5193C">
              <w:br/>
            </w:r>
            <w:r w:rsidRPr="00C5193C">
              <w:rPr>
                <w:noProof/>
              </w:rPr>
              <w:drawing>
                <wp:inline distT="0" distB="0" distL="0" distR="0" wp14:anchorId="6662CBCF" wp14:editId="7731C154">
                  <wp:extent cx="532765" cy="397510"/>
                  <wp:effectExtent l="0" t="0" r="635" b="2540"/>
                  <wp:docPr id="4" name="Grafik 4" descr="Schutzklasse-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utzklasse-II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397510"/>
                          </a:xfrm>
                          <a:prstGeom prst="rect">
                            <a:avLst/>
                          </a:prstGeom>
                          <a:noFill/>
                          <a:ln>
                            <a:noFill/>
                          </a:ln>
                        </pic:spPr>
                      </pic:pic>
                    </a:graphicData>
                  </a:graphic>
                </wp:inline>
              </w:drawing>
            </w:r>
          </w:p>
        </w:tc>
        <w:tc>
          <w:tcPr>
            <w:tcW w:w="6248" w:type="dxa"/>
            <w:shd w:val="clear" w:color="auto" w:fill="auto"/>
          </w:tcPr>
          <w:p w14:paraId="57C8C406" w14:textId="77777777" w:rsidR="001D07A8" w:rsidRDefault="001D07A8" w:rsidP="00C720CC">
            <w:pPr>
              <w:autoSpaceDE w:val="0"/>
              <w:autoSpaceDN w:val="0"/>
              <w:adjustRightInd w:val="0"/>
              <w:spacing w:after="0"/>
              <w:jc w:val="both"/>
            </w:pPr>
            <w:r w:rsidRPr="00C5193C">
              <w:rPr>
                <w:b/>
              </w:rPr>
              <w:t>Schutzkleinspannung</w:t>
            </w:r>
            <w:r w:rsidRPr="00C5193C">
              <w:rPr>
                <w:b/>
              </w:rPr>
              <w:br/>
            </w:r>
            <w:r w:rsidRPr="00C5193C">
              <w:t>Ein Schutzklasse III-Gerät wird über Schutzkleinspannung (SELV/PELV) mit maximal 50 V AC oder 120 V DC versorgt.</w:t>
            </w:r>
          </w:p>
          <w:p w14:paraId="22AC2ED0" w14:textId="1BEFC0EB" w:rsidR="001D07A8" w:rsidRPr="00C5193C" w:rsidRDefault="001D07A8" w:rsidP="00C720CC">
            <w:pPr>
              <w:autoSpaceDE w:val="0"/>
              <w:autoSpaceDN w:val="0"/>
              <w:adjustRightInd w:val="0"/>
              <w:spacing w:after="0"/>
              <w:jc w:val="both"/>
            </w:pPr>
          </w:p>
        </w:tc>
      </w:tr>
    </w:tbl>
    <w:p w14:paraId="2A438402" w14:textId="77777777" w:rsidR="001D07A8" w:rsidRPr="00C5193C" w:rsidRDefault="001D07A8" w:rsidP="001D07A8">
      <w:pPr>
        <w:autoSpaceDE w:val="0"/>
        <w:autoSpaceDN w:val="0"/>
        <w:adjustRightInd w:val="0"/>
        <w:spacing w:after="0"/>
        <w:jc w:val="both"/>
      </w:pPr>
    </w:p>
    <w:p w14:paraId="552A1003" w14:textId="2B529173" w:rsidR="009D5428" w:rsidRPr="0086432B" w:rsidRDefault="001D07A8" w:rsidP="001D07A8">
      <w:pPr>
        <w:autoSpaceDE w:val="0"/>
        <w:autoSpaceDN w:val="0"/>
        <w:adjustRightInd w:val="0"/>
        <w:spacing w:after="0"/>
        <w:jc w:val="both"/>
      </w:pPr>
      <w:r w:rsidRPr="00C5193C">
        <w:t>Über den Aufbau der Geräte kann man nicht immer auf die Schutzklasse schließen. So können z. B. Kaffeemaschinen ohne Heizplatte und mit Vollkunststoffgehäuse der Schutzklasse I (Schutz</w:t>
      </w:r>
      <w:r w:rsidR="005B3184">
        <w:t>-</w:t>
      </w:r>
      <w:r w:rsidRPr="00C5193C">
        <w:t>erdung) zugeordnet sein. Hier sind keine geerdeten Metallteile ersichtlich</w:t>
      </w:r>
      <w:r w:rsidR="005B3184">
        <w:t>,</w:t>
      </w:r>
      <w:r w:rsidRPr="00C5193C">
        <w:t xml:space="preserve"> </w:t>
      </w:r>
      <w:r w:rsidR="005B3184">
        <w:t>l</w:t>
      </w:r>
      <w:r w:rsidRPr="00C5193C">
        <w:t>ediglich das Heizelement ist geerdet. Andere Geräte aus Metall sind derart aufgebaut, dass sie die Anforderungen an die doppelte oder verstärke Isolierung erfüllen und nach den Richtlinien für Schutzklasse II-Geräte hergestellt werden.</w:t>
      </w:r>
    </w:p>
    <w:sectPr w:rsidR="009D5428" w:rsidRPr="0086432B" w:rsidSect="00927059">
      <w:headerReference w:type="default" r:id="rId12"/>
      <w:footerReference w:type="default" r:id="rId13"/>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66A93" w14:textId="77777777" w:rsidR="00680AD2" w:rsidRDefault="00680AD2" w:rsidP="00826AF7">
      <w:r>
        <w:separator/>
      </w:r>
    </w:p>
    <w:p w14:paraId="0353674B" w14:textId="77777777" w:rsidR="00680AD2" w:rsidRDefault="00680AD2" w:rsidP="00826AF7"/>
    <w:p w14:paraId="31AE4C36" w14:textId="77777777" w:rsidR="00680AD2" w:rsidRDefault="00680AD2" w:rsidP="00826AF7"/>
  </w:endnote>
  <w:endnote w:type="continuationSeparator" w:id="0">
    <w:p w14:paraId="72899DC3" w14:textId="77777777" w:rsidR="00680AD2" w:rsidRDefault="00680AD2" w:rsidP="00826AF7">
      <w:r>
        <w:continuationSeparator/>
      </w:r>
    </w:p>
    <w:p w14:paraId="24762C8A" w14:textId="77777777" w:rsidR="00680AD2" w:rsidRDefault="00680AD2" w:rsidP="00826AF7"/>
    <w:p w14:paraId="649776C8" w14:textId="77777777" w:rsidR="00680AD2" w:rsidRDefault="00680AD2"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022EDE" w14:paraId="59E54423" w14:textId="77777777" w:rsidTr="003B1C73">
      <w:trPr>
        <w:trHeight w:val="240"/>
      </w:trPr>
      <w:tc>
        <w:tcPr>
          <w:tcW w:w="1814" w:type="dxa"/>
          <w:vAlign w:val="center"/>
        </w:tcPr>
        <w:p w14:paraId="56395ACF" w14:textId="77777777" w:rsidR="000F4359" w:rsidRPr="00022EDE" w:rsidRDefault="000F4359" w:rsidP="000F4359">
          <w:pPr>
            <w:pStyle w:val="Fuzeile"/>
            <w:spacing w:after="0"/>
            <w:ind w:right="-83"/>
            <w:rPr>
              <w:sz w:val="16"/>
              <w:szCs w:val="16"/>
            </w:rPr>
          </w:pPr>
          <w:r w:rsidRPr="00022EDE">
            <w:rPr>
              <w:sz w:val="16"/>
              <w:szCs w:val="16"/>
            </w:rPr>
            <w:t>Ausgabe/Revision:</w:t>
          </w:r>
        </w:p>
      </w:tc>
      <w:tc>
        <w:tcPr>
          <w:tcW w:w="1113" w:type="dxa"/>
          <w:vAlign w:val="center"/>
        </w:tcPr>
        <w:p w14:paraId="715DA38B" w14:textId="11913F9E" w:rsidR="000F4359" w:rsidRPr="00022EDE" w:rsidRDefault="006A6CF7" w:rsidP="000F4359">
          <w:pPr>
            <w:pStyle w:val="Fuzeile"/>
            <w:spacing w:after="0"/>
            <w:ind w:right="-83"/>
            <w:rPr>
              <w:sz w:val="16"/>
              <w:szCs w:val="16"/>
            </w:rPr>
          </w:pPr>
          <w:r w:rsidRPr="00022EDE">
            <w:rPr>
              <w:sz w:val="16"/>
              <w:szCs w:val="16"/>
            </w:rPr>
            <w:t>0</w:t>
          </w:r>
        </w:p>
      </w:tc>
      <w:tc>
        <w:tcPr>
          <w:tcW w:w="1114" w:type="dxa"/>
          <w:vAlign w:val="center"/>
        </w:tcPr>
        <w:p w14:paraId="3057FE5D" w14:textId="76E54DBC" w:rsidR="000F4359" w:rsidRPr="00022EDE" w:rsidRDefault="005B3184" w:rsidP="000F4359">
          <w:pPr>
            <w:pStyle w:val="Fuzeile"/>
            <w:spacing w:after="0"/>
            <w:ind w:right="-83"/>
            <w:rPr>
              <w:sz w:val="16"/>
              <w:szCs w:val="16"/>
            </w:rPr>
          </w:pPr>
          <w:r w:rsidRPr="00022EDE">
            <w:rPr>
              <w:sz w:val="16"/>
              <w:szCs w:val="16"/>
            </w:rPr>
            <w:t>1</w:t>
          </w:r>
        </w:p>
      </w:tc>
      <w:tc>
        <w:tcPr>
          <w:tcW w:w="1114" w:type="dxa"/>
          <w:vAlign w:val="center"/>
        </w:tcPr>
        <w:p w14:paraId="3AC5FACB" w14:textId="77777777" w:rsidR="000F4359" w:rsidRPr="00022EDE" w:rsidRDefault="000F4359" w:rsidP="000F4359">
          <w:pPr>
            <w:pStyle w:val="Fuzeile"/>
            <w:spacing w:after="0"/>
            <w:ind w:right="-83"/>
            <w:rPr>
              <w:sz w:val="16"/>
              <w:szCs w:val="16"/>
            </w:rPr>
          </w:pPr>
        </w:p>
      </w:tc>
      <w:tc>
        <w:tcPr>
          <w:tcW w:w="1114" w:type="dxa"/>
          <w:vAlign w:val="center"/>
        </w:tcPr>
        <w:p w14:paraId="583322C0" w14:textId="77777777" w:rsidR="000F4359" w:rsidRPr="00022EDE" w:rsidRDefault="000F4359" w:rsidP="000F4359">
          <w:pPr>
            <w:pStyle w:val="Fuzeile"/>
            <w:spacing w:after="0"/>
            <w:ind w:right="-83"/>
            <w:rPr>
              <w:sz w:val="16"/>
              <w:szCs w:val="16"/>
            </w:rPr>
          </w:pPr>
        </w:p>
      </w:tc>
      <w:tc>
        <w:tcPr>
          <w:tcW w:w="1114" w:type="dxa"/>
          <w:vAlign w:val="center"/>
        </w:tcPr>
        <w:p w14:paraId="3CC8F3E5" w14:textId="77777777" w:rsidR="000F4359" w:rsidRPr="00022EDE" w:rsidRDefault="000F4359" w:rsidP="000F4359">
          <w:pPr>
            <w:pStyle w:val="Fuzeile"/>
            <w:spacing w:after="0"/>
            <w:ind w:right="-83"/>
            <w:rPr>
              <w:sz w:val="16"/>
              <w:szCs w:val="16"/>
            </w:rPr>
          </w:pPr>
        </w:p>
      </w:tc>
      <w:tc>
        <w:tcPr>
          <w:tcW w:w="1114" w:type="dxa"/>
          <w:vAlign w:val="center"/>
        </w:tcPr>
        <w:p w14:paraId="0441715C" w14:textId="77777777" w:rsidR="000F4359" w:rsidRPr="00022EDE" w:rsidRDefault="000F4359" w:rsidP="000F4359">
          <w:pPr>
            <w:pStyle w:val="Fuzeile"/>
            <w:spacing w:after="0"/>
            <w:ind w:right="-83"/>
            <w:rPr>
              <w:sz w:val="16"/>
              <w:szCs w:val="16"/>
            </w:rPr>
          </w:pPr>
          <w:r w:rsidRPr="00022EDE">
            <w:rPr>
              <w:sz w:val="16"/>
              <w:szCs w:val="16"/>
            </w:rPr>
            <w:t>Seite:</w:t>
          </w:r>
        </w:p>
      </w:tc>
      <w:tc>
        <w:tcPr>
          <w:tcW w:w="1114" w:type="dxa"/>
          <w:vAlign w:val="center"/>
        </w:tcPr>
        <w:p w14:paraId="5DA68FBE" w14:textId="77777777" w:rsidR="000F4359" w:rsidRPr="00022EDE" w:rsidRDefault="000F4359" w:rsidP="000F4359">
          <w:pPr>
            <w:pStyle w:val="Fuzeile"/>
            <w:spacing w:after="0"/>
            <w:ind w:right="-83"/>
            <w:rPr>
              <w:sz w:val="16"/>
              <w:szCs w:val="16"/>
            </w:rPr>
          </w:pPr>
          <w:r w:rsidRPr="00022EDE">
            <w:rPr>
              <w:sz w:val="16"/>
              <w:szCs w:val="16"/>
            </w:rPr>
            <w:fldChar w:fldCharType="begin"/>
          </w:r>
          <w:r w:rsidRPr="00022EDE">
            <w:rPr>
              <w:sz w:val="16"/>
              <w:szCs w:val="16"/>
            </w:rPr>
            <w:instrText xml:space="preserve"> PAGE  \* Arabic  \* MERGEFORMAT </w:instrText>
          </w:r>
          <w:r w:rsidRPr="00022EDE">
            <w:rPr>
              <w:sz w:val="16"/>
              <w:szCs w:val="16"/>
            </w:rPr>
            <w:fldChar w:fldCharType="separate"/>
          </w:r>
          <w:r w:rsidR="00195ECB" w:rsidRPr="00022EDE">
            <w:rPr>
              <w:noProof/>
              <w:sz w:val="16"/>
              <w:szCs w:val="16"/>
            </w:rPr>
            <w:t>1</w:t>
          </w:r>
          <w:r w:rsidRPr="00022EDE">
            <w:rPr>
              <w:sz w:val="16"/>
              <w:szCs w:val="16"/>
            </w:rPr>
            <w:fldChar w:fldCharType="end"/>
          </w:r>
          <w:r w:rsidRPr="00022EDE">
            <w:rPr>
              <w:sz w:val="16"/>
              <w:szCs w:val="16"/>
            </w:rPr>
            <w:t xml:space="preserve"> von </w:t>
          </w:r>
          <w:r w:rsidRPr="00022EDE">
            <w:rPr>
              <w:sz w:val="16"/>
              <w:szCs w:val="16"/>
            </w:rPr>
            <w:fldChar w:fldCharType="begin"/>
          </w:r>
          <w:r w:rsidRPr="00022EDE">
            <w:rPr>
              <w:sz w:val="16"/>
              <w:szCs w:val="16"/>
            </w:rPr>
            <w:instrText xml:space="preserve"> NUMPAGES  \* Arabic  \* MERGEFORMAT </w:instrText>
          </w:r>
          <w:r w:rsidRPr="00022EDE">
            <w:rPr>
              <w:sz w:val="16"/>
              <w:szCs w:val="16"/>
            </w:rPr>
            <w:fldChar w:fldCharType="separate"/>
          </w:r>
          <w:r w:rsidR="00195ECB" w:rsidRPr="00022EDE">
            <w:rPr>
              <w:noProof/>
              <w:sz w:val="16"/>
              <w:szCs w:val="16"/>
            </w:rPr>
            <w:t>1</w:t>
          </w:r>
          <w:r w:rsidRPr="00022EDE">
            <w:rPr>
              <w:sz w:val="16"/>
              <w:szCs w:val="16"/>
            </w:rPr>
            <w:fldChar w:fldCharType="end"/>
          </w:r>
        </w:p>
      </w:tc>
    </w:tr>
    <w:tr w:rsidR="000F4359" w:rsidRPr="00022EDE" w14:paraId="170C4AA8" w14:textId="77777777" w:rsidTr="003B1C73">
      <w:tc>
        <w:tcPr>
          <w:tcW w:w="1814" w:type="dxa"/>
          <w:vAlign w:val="center"/>
        </w:tcPr>
        <w:p w14:paraId="4B73E3EE" w14:textId="77777777" w:rsidR="000F4359" w:rsidRPr="00022EDE" w:rsidRDefault="000F4359" w:rsidP="000F4359">
          <w:pPr>
            <w:pStyle w:val="Fuzeile"/>
            <w:spacing w:after="0"/>
            <w:ind w:right="-83"/>
            <w:rPr>
              <w:sz w:val="16"/>
              <w:szCs w:val="16"/>
            </w:rPr>
          </w:pPr>
          <w:r w:rsidRPr="00022EDE">
            <w:rPr>
              <w:sz w:val="16"/>
              <w:szCs w:val="16"/>
            </w:rPr>
            <w:t>Datum:</w:t>
          </w:r>
        </w:p>
      </w:tc>
      <w:tc>
        <w:tcPr>
          <w:tcW w:w="1113" w:type="dxa"/>
          <w:vAlign w:val="center"/>
        </w:tcPr>
        <w:p w14:paraId="37FC0CE9" w14:textId="23E7F3DB" w:rsidR="000F4359" w:rsidRPr="00022EDE" w:rsidRDefault="001D07A8" w:rsidP="000F4359">
          <w:pPr>
            <w:pStyle w:val="Fuzeile"/>
            <w:spacing w:after="0"/>
            <w:ind w:right="-83"/>
            <w:rPr>
              <w:sz w:val="16"/>
              <w:szCs w:val="16"/>
            </w:rPr>
          </w:pPr>
          <w:r w:rsidRPr="00022EDE">
            <w:rPr>
              <w:sz w:val="16"/>
              <w:szCs w:val="16"/>
            </w:rPr>
            <w:t>11</w:t>
          </w:r>
          <w:r w:rsidR="002670BC" w:rsidRPr="00022EDE">
            <w:rPr>
              <w:sz w:val="16"/>
              <w:szCs w:val="16"/>
            </w:rPr>
            <w:t>.2016</w:t>
          </w:r>
        </w:p>
      </w:tc>
      <w:tc>
        <w:tcPr>
          <w:tcW w:w="1114" w:type="dxa"/>
          <w:vAlign w:val="center"/>
        </w:tcPr>
        <w:p w14:paraId="5B880C40" w14:textId="60F46C48" w:rsidR="000F4359" w:rsidRPr="00022EDE" w:rsidRDefault="005B3184" w:rsidP="000F4359">
          <w:pPr>
            <w:pStyle w:val="Fuzeile"/>
            <w:spacing w:after="0"/>
            <w:ind w:right="-83"/>
            <w:rPr>
              <w:sz w:val="16"/>
              <w:szCs w:val="16"/>
            </w:rPr>
          </w:pPr>
          <w:r w:rsidRPr="00022EDE">
            <w:rPr>
              <w:sz w:val="16"/>
              <w:szCs w:val="16"/>
            </w:rPr>
            <w:t>08.2019</w:t>
          </w:r>
        </w:p>
      </w:tc>
      <w:tc>
        <w:tcPr>
          <w:tcW w:w="1114" w:type="dxa"/>
          <w:vAlign w:val="center"/>
        </w:tcPr>
        <w:p w14:paraId="0D4AE9A4" w14:textId="77777777" w:rsidR="000F4359" w:rsidRPr="00022EDE" w:rsidRDefault="000F4359" w:rsidP="000F4359">
          <w:pPr>
            <w:pStyle w:val="Fuzeile"/>
            <w:spacing w:after="0"/>
            <w:ind w:right="-83"/>
            <w:rPr>
              <w:sz w:val="16"/>
              <w:szCs w:val="16"/>
            </w:rPr>
          </w:pPr>
        </w:p>
      </w:tc>
      <w:tc>
        <w:tcPr>
          <w:tcW w:w="1114" w:type="dxa"/>
          <w:vAlign w:val="center"/>
        </w:tcPr>
        <w:p w14:paraId="0DF1EBC2" w14:textId="77777777" w:rsidR="000F4359" w:rsidRPr="00022EDE" w:rsidRDefault="000F4359" w:rsidP="000F4359">
          <w:pPr>
            <w:pStyle w:val="Fuzeile"/>
            <w:spacing w:after="0"/>
            <w:ind w:right="-83"/>
            <w:rPr>
              <w:sz w:val="16"/>
              <w:szCs w:val="16"/>
            </w:rPr>
          </w:pPr>
        </w:p>
      </w:tc>
      <w:tc>
        <w:tcPr>
          <w:tcW w:w="1114" w:type="dxa"/>
          <w:vAlign w:val="center"/>
        </w:tcPr>
        <w:p w14:paraId="14EE2747" w14:textId="77777777" w:rsidR="000F4359" w:rsidRPr="00022EDE" w:rsidRDefault="000F4359" w:rsidP="000F4359">
          <w:pPr>
            <w:pStyle w:val="Fuzeile"/>
            <w:spacing w:after="0"/>
            <w:ind w:right="-83"/>
            <w:rPr>
              <w:sz w:val="16"/>
              <w:szCs w:val="16"/>
            </w:rPr>
          </w:pPr>
        </w:p>
      </w:tc>
      <w:tc>
        <w:tcPr>
          <w:tcW w:w="1114" w:type="dxa"/>
          <w:vAlign w:val="center"/>
        </w:tcPr>
        <w:p w14:paraId="0F65924F" w14:textId="77777777" w:rsidR="000F4359" w:rsidRPr="00022EDE" w:rsidRDefault="000F4359" w:rsidP="000F4359">
          <w:pPr>
            <w:pStyle w:val="Fuzeile"/>
            <w:spacing w:after="0"/>
            <w:ind w:right="-83"/>
            <w:rPr>
              <w:sz w:val="16"/>
              <w:szCs w:val="16"/>
            </w:rPr>
          </w:pPr>
          <w:r w:rsidRPr="00022EDE">
            <w:rPr>
              <w:sz w:val="16"/>
              <w:szCs w:val="16"/>
            </w:rPr>
            <w:t>Gültig ab:</w:t>
          </w:r>
        </w:p>
      </w:tc>
      <w:tc>
        <w:tcPr>
          <w:tcW w:w="1114" w:type="dxa"/>
          <w:vAlign w:val="center"/>
        </w:tcPr>
        <w:p w14:paraId="46AA8710" w14:textId="77777777" w:rsidR="000F4359" w:rsidRPr="00022EDE" w:rsidRDefault="000F4359" w:rsidP="000F4359">
          <w:pPr>
            <w:pStyle w:val="Fuzeile"/>
            <w:spacing w:after="0"/>
            <w:ind w:right="-83"/>
            <w:rPr>
              <w:sz w:val="16"/>
              <w:szCs w:val="16"/>
            </w:rPr>
          </w:pPr>
        </w:p>
      </w:tc>
    </w:tr>
    <w:tr w:rsidR="000F4359" w:rsidRPr="00022EDE" w14:paraId="1CDEF039" w14:textId="77777777" w:rsidTr="003B1C73">
      <w:tc>
        <w:tcPr>
          <w:tcW w:w="1814" w:type="dxa"/>
          <w:vAlign w:val="center"/>
        </w:tcPr>
        <w:p w14:paraId="4D98BA57" w14:textId="77777777" w:rsidR="000F4359" w:rsidRPr="00022EDE" w:rsidRDefault="000F4359" w:rsidP="000F4359">
          <w:pPr>
            <w:pStyle w:val="Fuzeile"/>
            <w:spacing w:after="0"/>
            <w:ind w:right="-83"/>
            <w:rPr>
              <w:sz w:val="16"/>
              <w:szCs w:val="16"/>
            </w:rPr>
          </w:pPr>
          <w:r w:rsidRPr="00022EDE">
            <w:rPr>
              <w:sz w:val="16"/>
              <w:szCs w:val="16"/>
            </w:rPr>
            <w:t>Erstellt/geändert:</w:t>
          </w:r>
        </w:p>
      </w:tc>
      <w:tc>
        <w:tcPr>
          <w:tcW w:w="1113" w:type="dxa"/>
          <w:vAlign w:val="center"/>
        </w:tcPr>
        <w:p w14:paraId="773174FE" w14:textId="42D2646E" w:rsidR="000F4359" w:rsidRPr="00022EDE" w:rsidRDefault="006A6CF7" w:rsidP="000F4359">
          <w:pPr>
            <w:pStyle w:val="Fuzeile"/>
            <w:spacing w:after="0"/>
            <w:ind w:right="-83"/>
            <w:rPr>
              <w:sz w:val="16"/>
              <w:szCs w:val="16"/>
            </w:rPr>
          </w:pPr>
          <w:r w:rsidRPr="00022EDE">
            <w:rPr>
              <w:sz w:val="16"/>
              <w:szCs w:val="16"/>
            </w:rPr>
            <w:t>R.O.E.GmbH</w:t>
          </w:r>
        </w:p>
      </w:tc>
      <w:tc>
        <w:tcPr>
          <w:tcW w:w="1114" w:type="dxa"/>
          <w:vAlign w:val="center"/>
        </w:tcPr>
        <w:p w14:paraId="3F6228DD" w14:textId="1C639CD7" w:rsidR="000F4359" w:rsidRPr="00022EDE" w:rsidRDefault="005B3184" w:rsidP="000F4359">
          <w:pPr>
            <w:pStyle w:val="Fuzeile"/>
            <w:spacing w:after="0"/>
            <w:ind w:right="-83"/>
            <w:rPr>
              <w:sz w:val="16"/>
              <w:szCs w:val="16"/>
            </w:rPr>
          </w:pPr>
          <w:r w:rsidRPr="00022EDE">
            <w:rPr>
              <w:sz w:val="16"/>
              <w:szCs w:val="16"/>
            </w:rPr>
            <w:t>R.O.E.GmbH</w:t>
          </w:r>
        </w:p>
      </w:tc>
      <w:tc>
        <w:tcPr>
          <w:tcW w:w="1114" w:type="dxa"/>
          <w:vAlign w:val="center"/>
        </w:tcPr>
        <w:p w14:paraId="33C6720A" w14:textId="77777777" w:rsidR="000F4359" w:rsidRPr="00022EDE" w:rsidRDefault="000F4359" w:rsidP="000F4359">
          <w:pPr>
            <w:pStyle w:val="Fuzeile"/>
            <w:spacing w:after="0"/>
            <w:ind w:right="-83"/>
            <w:rPr>
              <w:sz w:val="16"/>
              <w:szCs w:val="16"/>
            </w:rPr>
          </w:pPr>
        </w:p>
      </w:tc>
      <w:tc>
        <w:tcPr>
          <w:tcW w:w="1114" w:type="dxa"/>
          <w:vAlign w:val="center"/>
        </w:tcPr>
        <w:p w14:paraId="5F11B59C" w14:textId="77777777" w:rsidR="000F4359" w:rsidRPr="00022EDE" w:rsidRDefault="000F4359" w:rsidP="000F4359">
          <w:pPr>
            <w:pStyle w:val="Fuzeile"/>
            <w:spacing w:after="0"/>
            <w:ind w:right="-83"/>
            <w:rPr>
              <w:sz w:val="16"/>
              <w:szCs w:val="16"/>
            </w:rPr>
          </w:pPr>
        </w:p>
      </w:tc>
      <w:tc>
        <w:tcPr>
          <w:tcW w:w="1114" w:type="dxa"/>
          <w:vAlign w:val="center"/>
        </w:tcPr>
        <w:p w14:paraId="4571028E" w14:textId="77777777" w:rsidR="000F4359" w:rsidRPr="00022EDE"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022EDE" w:rsidRDefault="000F4359" w:rsidP="000F4359">
          <w:pPr>
            <w:pStyle w:val="Fuzeile"/>
            <w:spacing w:after="0"/>
            <w:ind w:right="-83"/>
            <w:rPr>
              <w:sz w:val="16"/>
              <w:szCs w:val="16"/>
            </w:rPr>
          </w:pPr>
        </w:p>
      </w:tc>
      <w:tc>
        <w:tcPr>
          <w:tcW w:w="1114" w:type="dxa"/>
          <w:vAlign w:val="center"/>
        </w:tcPr>
        <w:p w14:paraId="78D19F73" w14:textId="77777777" w:rsidR="000F4359" w:rsidRPr="00022EDE" w:rsidRDefault="000F4359" w:rsidP="000F4359">
          <w:pPr>
            <w:pStyle w:val="Fuzeile"/>
            <w:spacing w:after="0"/>
            <w:ind w:right="-83"/>
            <w:rPr>
              <w:sz w:val="16"/>
              <w:szCs w:val="16"/>
            </w:rPr>
          </w:pPr>
        </w:p>
      </w:tc>
    </w:tr>
    <w:tr w:rsidR="000F4359" w:rsidRPr="00022EDE" w14:paraId="237051E6" w14:textId="77777777" w:rsidTr="003B1C73">
      <w:tc>
        <w:tcPr>
          <w:tcW w:w="1814" w:type="dxa"/>
          <w:vAlign w:val="center"/>
        </w:tcPr>
        <w:p w14:paraId="2FB26E7C" w14:textId="77777777" w:rsidR="000F4359" w:rsidRPr="00022EDE" w:rsidRDefault="000F4359" w:rsidP="000F4359">
          <w:pPr>
            <w:pStyle w:val="Fuzeile"/>
            <w:spacing w:after="0"/>
            <w:ind w:right="-83"/>
            <w:rPr>
              <w:sz w:val="16"/>
              <w:szCs w:val="16"/>
            </w:rPr>
          </w:pPr>
          <w:r w:rsidRPr="00022EDE">
            <w:rPr>
              <w:sz w:val="16"/>
              <w:szCs w:val="16"/>
            </w:rPr>
            <w:t>Genehmigt:</w:t>
          </w:r>
        </w:p>
      </w:tc>
      <w:tc>
        <w:tcPr>
          <w:tcW w:w="1113" w:type="dxa"/>
          <w:vAlign w:val="center"/>
        </w:tcPr>
        <w:p w14:paraId="6B45523A" w14:textId="77777777" w:rsidR="000F4359" w:rsidRPr="00022EDE" w:rsidRDefault="000F4359" w:rsidP="000F4359">
          <w:pPr>
            <w:pStyle w:val="Fuzeile"/>
            <w:spacing w:after="0"/>
            <w:ind w:right="-83"/>
            <w:rPr>
              <w:sz w:val="16"/>
              <w:szCs w:val="16"/>
            </w:rPr>
          </w:pPr>
        </w:p>
      </w:tc>
      <w:tc>
        <w:tcPr>
          <w:tcW w:w="1114" w:type="dxa"/>
          <w:vAlign w:val="center"/>
        </w:tcPr>
        <w:p w14:paraId="5D706A56" w14:textId="77777777" w:rsidR="000F4359" w:rsidRPr="00022EDE" w:rsidRDefault="000F4359" w:rsidP="000F4359">
          <w:pPr>
            <w:pStyle w:val="Fuzeile"/>
            <w:spacing w:after="0"/>
            <w:ind w:right="-83"/>
            <w:rPr>
              <w:sz w:val="16"/>
              <w:szCs w:val="16"/>
            </w:rPr>
          </w:pPr>
        </w:p>
      </w:tc>
      <w:tc>
        <w:tcPr>
          <w:tcW w:w="1114" w:type="dxa"/>
          <w:vAlign w:val="center"/>
        </w:tcPr>
        <w:p w14:paraId="3CAC5B68" w14:textId="77777777" w:rsidR="000F4359" w:rsidRPr="00022EDE" w:rsidRDefault="000F4359" w:rsidP="000F4359">
          <w:pPr>
            <w:pStyle w:val="Fuzeile"/>
            <w:spacing w:after="0"/>
            <w:ind w:right="-83"/>
            <w:rPr>
              <w:sz w:val="16"/>
              <w:szCs w:val="16"/>
            </w:rPr>
          </w:pPr>
        </w:p>
      </w:tc>
      <w:tc>
        <w:tcPr>
          <w:tcW w:w="1114" w:type="dxa"/>
          <w:vAlign w:val="center"/>
        </w:tcPr>
        <w:p w14:paraId="3B3B696B" w14:textId="77777777" w:rsidR="000F4359" w:rsidRPr="00022EDE" w:rsidRDefault="000F4359" w:rsidP="000F4359">
          <w:pPr>
            <w:pStyle w:val="Fuzeile"/>
            <w:spacing w:after="0"/>
            <w:ind w:right="-83"/>
            <w:rPr>
              <w:sz w:val="16"/>
              <w:szCs w:val="16"/>
            </w:rPr>
          </w:pPr>
        </w:p>
      </w:tc>
      <w:tc>
        <w:tcPr>
          <w:tcW w:w="1114" w:type="dxa"/>
          <w:vAlign w:val="center"/>
        </w:tcPr>
        <w:p w14:paraId="7147F008" w14:textId="77777777" w:rsidR="000F4359" w:rsidRPr="00022EDE"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022EDE" w:rsidRDefault="000F4359" w:rsidP="000F4359">
          <w:pPr>
            <w:pStyle w:val="Fuzeile"/>
            <w:spacing w:after="0"/>
            <w:ind w:right="-83"/>
            <w:rPr>
              <w:sz w:val="16"/>
              <w:szCs w:val="16"/>
            </w:rPr>
          </w:pPr>
        </w:p>
      </w:tc>
      <w:tc>
        <w:tcPr>
          <w:tcW w:w="1114" w:type="dxa"/>
          <w:vAlign w:val="center"/>
        </w:tcPr>
        <w:p w14:paraId="24F34379" w14:textId="77777777" w:rsidR="000F4359" w:rsidRPr="00022EDE" w:rsidRDefault="000F4359" w:rsidP="000F4359">
          <w:pPr>
            <w:pStyle w:val="Fuzeile"/>
            <w:spacing w:after="0"/>
            <w:ind w:right="-83"/>
            <w:rPr>
              <w:sz w:val="16"/>
              <w:szCs w:val="16"/>
            </w:rPr>
          </w:pPr>
        </w:p>
      </w:tc>
    </w:tr>
  </w:tbl>
  <w:p w14:paraId="2702AF56" w14:textId="77777777" w:rsidR="00330719" w:rsidRPr="00022EDE" w:rsidRDefault="000F4359" w:rsidP="000F4359">
    <w:pPr>
      <w:spacing w:before="60"/>
    </w:pPr>
    <w:r w:rsidRPr="00022EDE">
      <w:rPr>
        <w:b/>
        <w:sz w:val="16"/>
      </w:rPr>
      <w:t xml:space="preserve">© Copyright </w:t>
    </w:r>
    <w:r w:rsidR="004679BF" w:rsidRPr="00022EDE">
      <w:rPr>
        <w:b/>
        <w:sz w:val="16"/>
      </w:rPr>
      <w:t>R.O.E. Online GmbH</w:t>
    </w:r>
    <w:r w:rsidRPr="00022EDE">
      <w:rPr>
        <w:b/>
        <w:sz w:val="16"/>
      </w:rPr>
      <w:t>, keine unerlaubte Vervielfältigung</w:t>
    </w:r>
    <w:r w:rsidR="00445BD0" w:rsidRPr="00022EDE">
      <w:rPr>
        <w:b/>
        <w:sz w:val="16"/>
      </w:rPr>
      <w:t>,</w:t>
    </w:r>
    <w:r w:rsidRPr="00022EDE">
      <w:rPr>
        <w:b/>
        <w:sz w:val="16"/>
      </w:rPr>
      <w:t xml:space="preserve"> auch </w:t>
    </w:r>
    <w:r w:rsidR="00445BD0" w:rsidRPr="00022EDE">
      <w:rPr>
        <w:b/>
        <w:sz w:val="16"/>
      </w:rPr>
      <w:t xml:space="preserve">nicht </w:t>
    </w:r>
    <w:r w:rsidR="00B8757B" w:rsidRPr="00022EDE">
      <w:rPr>
        <w:b/>
        <w:sz w:val="16"/>
      </w:rPr>
      <w:t>a</w:t>
    </w:r>
    <w:r w:rsidRPr="00022EDE">
      <w:rPr>
        <w:b/>
        <w:sz w:val="16"/>
      </w:rPr>
      <w:t>uszugsweise</w:t>
    </w:r>
    <w:r w:rsidR="00445BD0" w:rsidRPr="00022EDE">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D5CFA" w14:textId="77777777" w:rsidR="00680AD2" w:rsidRDefault="00680AD2" w:rsidP="00826AF7">
      <w:r>
        <w:separator/>
      </w:r>
    </w:p>
    <w:p w14:paraId="5F24B683" w14:textId="77777777" w:rsidR="00680AD2" w:rsidRDefault="00680AD2" w:rsidP="00826AF7"/>
    <w:p w14:paraId="1E7ABBAC" w14:textId="77777777" w:rsidR="00680AD2" w:rsidRDefault="00680AD2" w:rsidP="00826AF7"/>
  </w:footnote>
  <w:footnote w:type="continuationSeparator" w:id="0">
    <w:p w14:paraId="42224246" w14:textId="77777777" w:rsidR="00680AD2" w:rsidRDefault="00680AD2" w:rsidP="00826AF7">
      <w:r>
        <w:continuationSeparator/>
      </w:r>
    </w:p>
    <w:p w14:paraId="3755576A" w14:textId="77777777" w:rsidR="00680AD2" w:rsidRDefault="00680AD2" w:rsidP="00826AF7"/>
    <w:p w14:paraId="60074B22" w14:textId="77777777" w:rsidR="00680AD2" w:rsidRDefault="00680AD2"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8F0BA3">
      <w:trPr>
        <w:trHeight w:val="841"/>
      </w:trPr>
      <w:tc>
        <w:tcPr>
          <w:tcW w:w="2349" w:type="dxa"/>
          <w:vAlign w:val="center"/>
        </w:tcPr>
        <w:p w14:paraId="742C4325" w14:textId="11ECC1C5" w:rsidR="00DB66E9" w:rsidRPr="00E21DC0" w:rsidRDefault="00022EDE" w:rsidP="00C40A14">
          <w:pPr>
            <w:pStyle w:val="KeinLeerraum"/>
            <w:jc w:val="center"/>
            <w:rPr>
              <w:b/>
              <w:sz w:val="18"/>
            </w:rPr>
          </w:pPr>
          <w:r>
            <w:rPr>
              <w:noProof/>
            </w:rPr>
            <w:drawing>
              <wp:inline distT="0" distB="0" distL="0" distR="0" wp14:anchorId="72620722" wp14:editId="35B888F5">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8F0BA3">
      <w:trPr>
        <w:trHeight w:val="832"/>
      </w:trPr>
      <w:tc>
        <w:tcPr>
          <w:tcW w:w="2349" w:type="dxa"/>
          <w:vAlign w:val="center"/>
        </w:tcPr>
        <w:p w14:paraId="37896C1D" w14:textId="7A0B3A97" w:rsidR="00330719" w:rsidRPr="00E21DC0" w:rsidRDefault="002303AC" w:rsidP="002A63CB">
          <w:pPr>
            <w:jc w:val="center"/>
          </w:pPr>
          <w:r w:rsidRPr="00E21DC0">
            <w:rPr>
              <w:b/>
            </w:rPr>
            <w:t>UW_ET_</w:t>
          </w:r>
          <w:r w:rsidR="002670BC">
            <w:rPr>
              <w:b/>
            </w:rPr>
            <w:t>1</w:t>
          </w:r>
          <w:r w:rsidR="001D07A8">
            <w:rPr>
              <w:b/>
            </w:rPr>
            <w:t>7</w:t>
          </w:r>
        </w:p>
      </w:tc>
      <w:tc>
        <w:tcPr>
          <w:tcW w:w="5026" w:type="dxa"/>
          <w:vAlign w:val="center"/>
        </w:tcPr>
        <w:p w14:paraId="2E05780B" w14:textId="789FADDC" w:rsidR="00330719" w:rsidRPr="00E21DC0" w:rsidRDefault="001D07A8" w:rsidP="00F0574C">
          <w:pPr>
            <w:spacing w:after="0"/>
            <w:jc w:val="center"/>
            <w:rPr>
              <w:sz w:val="28"/>
              <w:szCs w:val="28"/>
            </w:rPr>
          </w:pPr>
          <w:r w:rsidRPr="001D07A8">
            <w:rPr>
              <w:sz w:val="28"/>
              <w:szCs w:val="28"/>
            </w:rPr>
            <w:t>Schutzarten und Schutzklassen</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1pt;height:11.1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B368D"/>
    <w:multiLevelType w:val="hybridMultilevel"/>
    <w:tmpl w:val="D6D42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EA164C"/>
    <w:multiLevelType w:val="hybridMultilevel"/>
    <w:tmpl w:val="8E92E4E8"/>
    <w:lvl w:ilvl="0" w:tplc="9CF28060">
      <w:start w:val="1"/>
      <w:numFmt w:val="decimal"/>
      <w:lvlText w:val="(%1)"/>
      <w:lvlJc w:val="left"/>
      <w:pPr>
        <w:ind w:left="360" w:hanging="360"/>
      </w:pPr>
      <w:rPr>
        <w:rFonts w:hint="default"/>
      </w:rPr>
    </w:lvl>
    <w:lvl w:ilvl="1" w:tplc="456EFEEA">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7"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C07CB1"/>
    <w:multiLevelType w:val="hybridMultilevel"/>
    <w:tmpl w:val="15A00BB6"/>
    <w:lvl w:ilvl="0" w:tplc="FB06DE5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4"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965201"/>
    <w:multiLevelType w:val="hybridMultilevel"/>
    <w:tmpl w:val="71DEC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4"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DF1AFB"/>
    <w:multiLevelType w:val="hybridMultilevel"/>
    <w:tmpl w:val="747AEFBC"/>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36" w15:restartNumberingAfterBreak="0">
    <w:nsid w:val="743274CA"/>
    <w:multiLevelType w:val="hybridMultilevel"/>
    <w:tmpl w:val="5F2CA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6E33347"/>
    <w:multiLevelType w:val="hybridMultilevel"/>
    <w:tmpl w:val="EBD632FA"/>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9" w15:restartNumberingAfterBreak="0">
    <w:nsid w:val="79A91C2A"/>
    <w:multiLevelType w:val="hybridMultilevel"/>
    <w:tmpl w:val="37F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7"/>
  </w:num>
  <w:num w:numId="4">
    <w:abstractNumId w:val="2"/>
  </w:num>
  <w:num w:numId="5">
    <w:abstractNumId w:val="15"/>
  </w:num>
  <w:num w:numId="6">
    <w:abstractNumId w:val="37"/>
  </w:num>
  <w:num w:numId="7">
    <w:abstractNumId w:val="21"/>
  </w:num>
  <w:num w:numId="8">
    <w:abstractNumId w:val="31"/>
  </w:num>
  <w:num w:numId="9">
    <w:abstractNumId w:val="19"/>
  </w:num>
  <w:num w:numId="10">
    <w:abstractNumId w:val="30"/>
  </w:num>
  <w:num w:numId="11">
    <w:abstractNumId w:val="6"/>
  </w:num>
  <w:num w:numId="12">
    <w:abstractNumId w:val="11"/>
  </w:num>
  <w:num w:numId="13">
    <w:abstractNumId w:val="34"/>
  </w:num>
  <w:num w:numId="14">
    <w:abstractNumId w:val="7"/>
  </w:num>
  <w:num w:numId="15">
    <w:abstractNumId w:val="18"/>
  </w:num>
  <w:num w:numId="16">
    <w:abstractNumId w:val="29"/>
  </w:num>
  <w:num w:numId="17">
    <w:abstractNumId w:val="14"/>
  </w:num>
  <w:num w:numId="18">
    <w:abstractNumId w:val="12"/>
  </w:num>
  <w:num w:numId="19">
    <w:abstractNumId w:val="9"/>
  </w:num>
  <w:num w:numId="20">
    <w:abstractNumId w:val="24"/>
  </w:num>
  <w:num w:numId="21">
    <w:abstractNumId w:val="20"/>
  </w:num>
  <w:num w:numId="22">
    <w:abstractNumId w:val="2"/>
  </w:num>
  <w:num w:numId="23">
    <w:abstractNumId w:val="2"/>
  </w:num>
  <w:num w:numId="24">
    <w:abstractNumId w:val="2"/>
  </w:num>
  <w:num w:numId="25">
    <w:abstractNumId w:val="27"/>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6"/>
  </w:num>
  <w:num w:numId="33">
    <w:abstractNumId w:val="2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40"/>
  </w:num>
  <w:num w:numId="37">
    <w:abstractNumId w:val="8"/>
  </w:num>
  <w:num w:numId="38">
    <w:abstractNumId w:val="1"/>
  </w:num>
  <w:num w:numId="39">
    <w:abstractNumId w:val="0"/>
  </w:num>
  <w:num w:numId="40">
    <w:abstractNumId w:val="13"/>
  </w:num>
  <w:num w:numId="41">
    <w:abstractNumId w:val="5"/>
  </w:num>
  <w:num w:numId="42">
    <w:abstractNumId w:val="32"/>
  </w:num>
  <w:num w:numId="43">
    <w:abstractNumId w:val="4"/>
  </w:num>
  <w:num w:numId="44">
    <w:abstractNumId w:val="39"/>
  </w:num>
  <w:num w:numId="45">
    <w:abstractNumId w:val="25"/>
  </w:num>
  <w:num w:numId="46">
    <w:abstractNumId w:val="36"/>
  </w:num>
  <w:num w:numId="47">
    <w:abstractNumId w:val="35"/>
  </w:num>
  <w:num w:numId="48">
    <w:abstractNumId w:val="38"/>
  </w:num>
  <w:num w:numId="49">
    <w:abstractNumId w:val="10"/>
  </w:num>
  <w:num w:numId="5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2EDE"/>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5E35"/>
    <w:rsid w:val="00171F84"/>
    <w:rsid w:val="00182075"/>
    <w:rsid w:val="00194762"/>
    <w:rsid w:val="00195ECB"/>
    <w:rsid w:val="001A46D5"/>
    <w:rsid w:val="001B10E1"/>
    <w:rsid w:val="001D07A8"/>
    <w:rsid w:val="001D2245"/>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E17"/>
    <w:rsid w:val="002E00A9"/>
    <w:rsid w:val="002E7496"/>
    <w:rsid w:val="002F3BB5"/>
    <w:rsid w:val="00303E39"/>
    <w:rsid w:val="00304F23"/>
    <w:rsid w:val="00305438"/>
    <w:rsid w:val="00314BCE"/>
    <w:rsid w:val="00317C3B"/>
    <w:rsid w:val="0032016F"/>
    <w:rsid w:val="00330719"/>
    <w:rsid w:val="0033379C"/>
    <w:rsid w:val="00343F20"/>
    <w:rsid w:val="003579E2"/>
    <w:rsid w:val="00371D90"/>
    <w:rsid w:val="00374452"/>
    <w:rsid w:val="00386D24"/>
    <w:rsid w:val="00392CCE"/>
    <w:rsid w:val="00393968"/>
    <w:rsid w:val="00396861"/>
    <w:rsid w:val="003A5A68"/>
    <w:rsid w:val="003B1C73"/>
    <w:rsid w:val="003B7375"/>
    <w:rsid w:val="003D7539"/>
    <w:rsid w:val="003E0AA6"/>
    <w:rsid w:val="003F4F74"/>
    <w:rsid w:val="003F624E"/>
    <w:rsid w:val="003F6C8A"/>
    <w:rsid w:val="00400023"/>
    <w:rsid w:val="00403934"/>
    <w:rsid w:val="004060B5"/>
    <w:rsid w:val="00415722"/>
    <w:rsid w:val="0041639C"/>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79EF"/>
    <w:rsid w:val="00483692"/>
    <w:rsid w:val="00486FAC"/>
    <w:rsid w:val="004917C9"/>
    <w:rsid w:val="004A680D"/>
    <w:rsid w:val="004B0A6F"/>
    <w:rsid w:val="004B2D5C"/>
    <w:rsid w:val="004B38B5"/>
    <w:rsid w:val="004C32B1"/>
    <w:rsid w:val="004C533D"/>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4897"/>
    <w:rsid w:val="00575D55"/>
    <w:rsid w:val="00594D75"/>
    <w:rsid w:val="005B3184"/>
    <w:rsid w:val="005B5493"/>
    <w:rsid w:val="005B686A"/>
    <w:rsid w:val="005C35BE"/>
    <w:rsid w:val="005C4F0E"/>
    <w:rsid w:val="005C516D"/>
    <w:rsid w:val="005D3964"/>
    <w:rsid w:val="005D5053"/>
    <w:rsid w:val="005F0979"/>
    <w:rsid w:val="005F19BE"/>
    <w:rsid w:val="006152E4"/>
    <w:rsid w:val="0063364D"/>
    <w:rsid w:val="006432E4"/>
    <w:rsid w:val="00660648"/>
    <w:rsid w:val="00666EB2"/>
    <w:rsid w:val="00680AD2"/>
    <w:rsid w:val="00683232"/>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432B"/>
    <w:rsid w:val="00867D12"/>
    <w:rsid w:val="0088313D"/>
    <w:rsid w:val="0088746E"/>
    <w:rsid w:val="00887DE6"/>
    <w:rsid w:val="008935D4"/>
    <w:rsid w:val="00893E9D"/>
    <w:rsid w:val="008950A7"/>
    <w:rsid w:val="008A51EC"/>
    <w:rsid w:val="008B1FA7"/>
    <w:rsid w:val="008B24B0"/>
    <w:rsid w:val="008C0FEC"/>
    <w:rsid w:val="008C21BC"/>
    <w:rsid w:val="008C238B"/>
    <w:rsid w:val="008E44FA"/>
    <w:rsid w:val="008E52FB"/>
    <w:rsid w:val="008F0BA3"/>
    <w:rsid w:val="008F6219"/>
    <w:rsid w:val="0090442A"/>
    <w:rsid w:val="00907E0F"/>
    <w:rsid w:val="0091020D"/>
    <w:rsid w:val="00923062"/>
    <w:rsid w:val="00927059"/>
    <w:rsid w:val="00941E5D"/>
    <w:rsid w:val="00954B50"/>
    <w:rsid w:val="00961422"/>
    <w:rsid w:val="0096686D"/>
    <w:rsid w:val="0097720B"/>
    <w:rsid w:val="00977781"/>
    <w:rsid w:val="009945E6"/>
    <w:rsid w:val="009A3A63"/>
    <w:rsid w:val="009B3F1D"/>
    <w:rsid w:val="009B6050"/>
    <w:rsid w:val="009B69C5"/>
    <w:rsid w:val="009C22CC"/>
    <w:rsid w:val="009D5428"/>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81660"/>
    <w:rsid w:val="00B83BF1"/>
    <w:rsid w:val="00B8757B"/>
    <w:rsid w:val="00B900A7"/>
    <w:rsid w:val="00BA4C12"/>
    <w:rsid w:val="00BB1E96"/>
    <w:rsid w:val="00BB1FDB"/>
    <w:rsid w:val="00BB3D43"/>
    <w:rsid w:val="00BB49C0"/>
    <w:rsid w:val="00BD26FF"/>
    <w:rsid w:val="00BD46DE"/>
    <w:rsid w:val="00BD492E"/>
    <w:rsid w:val="00BE7F2C"/>
    <w:rsid w:val="00C128C5"/>
    <w:rsid w:val="00C26931"/>
    <w:rsid w:val="00C274A8"/>
    <w:rsid w:val="00C33C84"/>
    <w:rsid w:val="00C34213"/>
    <w:rsid w:val="00C37C0D"/>
    <w:rsid w:val="00C40A14"/>
    <w:rsid w:val="00C45973"/>
    <w:rsid w:val="00C73B7D"/>
    <w:rsid w:val="00C74287"/>
    <w:rsid w:val="00C948C7"/>
    <w:rsid w:val="00C97F95"/>
    <w:rsid w:val="00CA5634"/>
    <w:rsid w:val="00CA7C93"/>
    <w:rsid w:val="00CB0FA0"/>
    <w:rsid w:val="00CB5431"/>
    <w:rsid w:val="00CE452B"/>
    <w:rsid w:val="00CE7657"/>
    <w:rsid w:val="00D43A3E"/>
    <w:rsid w:val="00D47697"/>
    <w:rsid w:val="00D56238"/>
    <w:rsid w:val="00D631C6"/>
    <w:rsid w:val="00D632E9"/>
    <w:rsid w:val="00D63872"/>
    <w:rsid w:val="00D72D07"/>
    <w:rsid w:val="00D779E2"/>
    <w:rsid w:val="00D81FC7"/>
    <w:rsid w:val="00D910E7"/>
    <w:rsid w:val="00D94619"/>
    <w:rsid w:val="00D949D8"/>
    <w:rsid w:val="00D9720B"/>
    <w:rsid w:val="00DA4C0F"/>
    <w:rsid w:val="00DA65DC"/>
    <w:rsid w:val="00DB465D"/>
    <w:rsid w:val="00DB66E9"/>
    <w:rsid w:val="00DC184D"/>
    <w:rsid w:val="00DC5A29"/>
    <w:rsid w:val="00DC622D"/>
    <w:rsid w:val="00DD7D52"/>
    <w:rsid w:val="00DE4BE7"/>
    <w:rsid w:val="00DE5F83"/>
    <w:rsid w:val="00DF7FE1"/>
    <w:rsid w:val="00E11197"/>
    <w:rsid w:val="00E21DC0"/>
    <w:rsid w:val="00E35694"/>
    <w:rsid w:val="00E377BE"/>
    <w:rsid w:val="00E513EE"/>
    <w:rsid w:val="00E54D77"/>
    <w:rsid w:val="00E720A4"/>
    <w:rsid w:val="00E82621"/>
    <w:rsid w:val="00E82C90"/>
    <w:rsid w:val="00E86225"/>
    <w:rsid w:val="00E91FD3"/>
    <w:rsid w:val="00E96A4B"/>
    <w:rsid w:val="00E9739E"/>
    <w:rsid w:val="00EC6C9F"/>
    <w:rsid w:val="00ED3474"/>
    <w:rsid w:val="00ED3B1C"/>
    <w:rsid w:val="00EE0586"/>
    <w:rsid w:val="00EE12FB"/>
    <w:rsid w:val="00EE13C8"/>
    <w:rsid w:val="00EE6106"/>
    <w:rsid w:val="00F0574C"/>
    <w:rsid w:val="00F16A65"/>
    <w:rsid w:val="00F31CAF"/>
    <w:rsid w:val="00F40E6B"/>
    <w:rsid w:val="00F44710"/>
    <w:rsid w:val="00F50CAE"/>
    <w:rsid w:val="00F72094"/>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96A5-9A31-1641-AFD4-679B3991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3698</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4</cp:revision>
  <cp:lastPrinted>2016-03-18T12:46:00Z</cp:lastPrinted>
  <dcterms:created xsi:type="dcterms:W3CDTF">2019-08-09T08:00:00Z</dcterms:created>
  <dcterms:modified xsi:type="dcterms:W3CDTF">2019-08-09T08:04:00Z</dcterms:modified>
</cp:coreProperties>
</file>