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A6A700" w14:textId="3BEF00B8" w:rsidR="00A36FF0" w:rsidRDefault="00A36FF0" w:rsidP="006058CE">
      <w:pPr>
        <w:spacing w:line="259" w:lineRule="auto"/>
        <w:jc w:val="both"/>
        <w:rPr>
          <w:rFonts w:eastAsiaTheme="minorHAnsi"/>
          <w:lang w:eastAsia="en-US"/>
        </w:rPr>
      </w:pPr>
      <w:bookmarkStart w:id="0" w:name="_GoBack"/>
      <w:r w:rsidRPr="007046CE">
        <w:rPr>
          <w:rFonts w:eastAsiaTheme="minorHAnsi"/>
          <w:b/>
          <w:lang w:eastAsia="en-US"/>
        </w:rPr>
        <w:t>Mehr Sicherheit durch die neue Norm DIN VDE 0100-704 (VDE 0100-704)</w:t>
      </w:r>
      <w:r w:rsidRPr="007046CE">
        <w:rPr>
          <w:rFonts w:eastAsiaTheme="minorHAnsi"/>
          <w:lang w:eastAsia="en-US"/>
        </w:rPr>
        <w:t xml:space="preserve"> </w:t>
      </w:r>
    </w:p>
    <w:p w14:paraId="481E3E7C" w14:textId="7F5E6AC2" w:rsidR="00A36FF0" w:rsidRPr="007046CE" w:rsidRDefault="00A36FF0" w:rsidP="00A36FF0">
      <w:pPr>
        <w:spacing w:after="160" w:line="259" w:lineRule="auto"/>
        <w:jc w:val="both"/>
        <w:rPr>
          <w:rFonts w:eastAsiaTheme="minorHAnsi"/>
          <w:lang w:eastAsia="en-US"/>
        </w:rPr>
      </w:pPr>
      <w:r w:rsidRPr="007046CE">
        <w:rPr>
          <w:rFonts w:eastAsiaTheme="minorHAnsi"/>
          <w:lang w:eastAsia="en-US"/>
        </w:rPr>
        <w:t xml:space="preserve">Immer wenn </w:t>
      </w:r>
      <w:r w:rsidR="00A86BFA">
        <w:rPr>
          <w:rFonts w:eastAsiaTheme="minorHAnsi"/>
          <w:lang w:eastAsia="en-US"/>
        </w:rPr>
        <w:t xml:space="preserve">sich </w:t>
      </w:r>
      <w:r w:rsidRPr="007046CE">
        <w:rPr>
          <w:rFonts w:eastAsiaTheme="minorHAnsi"/>
          <w:lang w:eastAsia="en-US"/>
        </w:rPr>
        <w:t>der technische Stand verändert, muss die Normenlage angepasst werden. Gerade auf Baustellen trifft dies in den letzten Jahren mehr und mehr zu. Die DIN VDE 0100-704 wurde nach langer Ankündigung nun im Oktober 2018 neu veröffentlicht und enthält tiefgreifende Änderungen</w:t>
      </w:r>
      <w:r w:rsidR="00A86BFA">
        <w:rPr>
          <w:rFonts w:eastAsiaTheme="minorHAnsi"/>
          <w:lang w:eastAsia="en-US"/>
        </w:rPr>
        <w:t>, die im betrieblichen Alltag Beachtung finden müssen.</w:t>
      </w:r>
    </w:p>
    <w:p w14:paraId="4B50037F" w14:textId="051C9657" w:rsidR="00A36FF0" w:rsidRDefault="00A36FF0" w:rsidP="00A36FF0">
      <w:pPr>
        <w:spacing w:after="160" w:line="259" w:lineRule="auto"/>
        <w:jc w:val="both"/>
        <w:rPr>
          <w:rFonts w:eastAsiaTheme="minorHAnsi"/>
          <w:lang w:eastAsia="en-US"/>
        </w:rPr>
      </w:pPr>
      <w:r w:rsidRPr="007046CE">
        <w:rPr>
          <w:rFonts w:eastAsiaTheme="minorHAnsi"/>
          <w:lang w:eastAsia="en-US"/>
        </w:rPr>
        <w:t>Bereits mit der Herausgabe der DIN VDE 0100-704 (VDE 0100-704):2001-05 [1] wurde zur Erhöhung der Sicherheit festgelegt, dass nicht nur Stromkreise im 1-Phasenbetrieb sondern alle Stromkreise mit Steckdosen bis 32 A nicht mehr mit RCDs ≤ 0,5 A sondern mit RCDs ≤ 30 mA „Bemessungsdifferenzstrom“ zu schützen sind. Dies erforderte schon damals einen immensen Aufwand an Nachrüstung</w:t>
      </w:r>
      <w:r w:rsidR="00A86BFA">
        <w:rPr>
          <w:rFonts w:eastAsiaTheme="minorHAnsi"/>
          <w:lang w:eastAsia="en-US"/>
        </w:rPr>
        <w:t xml:space="preserve"> und </w:t>
      </w:r>
      <w:r w:rsidRPr="007046CE">
        <w:rPr>
          <w:rFonts w:eastAsiaTheme="minorHAnsi"/>
          <w:lang w:eastAsia="en-US"/>
        </w:rPr>
        <w:t>Erneuerung von Baustromverteilern.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5439"/>
      </w:tblGrid>
      <w:tr w:rsidR="00A36FF0" w14:paraId="4CA6814A" w14:textId="77777777" w:rsidTr="00A36FF0">
        <w:tc>
          <w:tcPr>
            <w:tcW w:w="4200" w:type="dxa"/>
          </w:tcPr>
          <w:p w14:paraId="1C8A2CD3" w14:textId="2534129B" w:rsidR="00A36FF0" w:rsidRDefault="00A36FF0" w:rsidP="00A36FF0">
            <w:pPr>
              <w:spacing w:after="160" w:line="259" w:lineRule="auto"/>
              <w:jc w:val="both"/>
              <w:rPr>
                <w:rFonts w:eastAsiaTheme="minorHAnsi"/>
                <w:lang w:eastAsia="en-US"/>
              </w:rPr>
            </w:pPr>
            <w:r>
              <w:rPr>
                <w:noProof/>
              </w:rPr>
              <w:drawing>
                <wp:anchor distT="0" distB="0" distL="114300" distR="114300" simplePos="0" relativeHeight="251672576" behindDoc="0" locked="0" layoutInCell="1" allowOverlap="1" wp14:anchorId="131C5FF2" wp14:editId="5115BB91">
                  <wp:simplePos x="0" y="0"/>
                  <wp:positionH relativeFrom="margin">
                    <wp:posOffset>1474502</wp:posOffset>
                  </wp:positionH>
                  <wp:positionV relativeFrom="paragraph">
                    <wp:posOffset>2207057</wp:posOffset>
                  </wp:positionV>
                  <wp:extent cx="638175" cy="644557"/>
                  <wp:effectExtent l="0" t="0" r="0" b="317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8175" cy="644557"/>
                          </a:xfrm>
                          <a:prstGeom prst="rect">
                            <a:avLst/>
                          </a:prstGeom>
                        </pic:spPr>
                      </pic:pic>
                    </a:graphicData>
                  </a:graphic>
                  <wp14:sizeRelH relativeFrom="margin">
                    <wp14:pctWidth>0</wp14:pctWidth>
                  </wp14:sizeRelH>
                  <wp14:sizeRelV relativeFrom="margin">
                    <wp14:pctHeight>0</wp14:pctHeight>
                  </wp14:sizeRelV>
                </wp:anchor>
              </w:drawing>
            </w:r>
            <w:r w:rsidRPr="00133F1F">
              <w:rPr>
                <w:rFonts w:asciiTheme="minorHAnsi" w:eastAsiaTheme="minorHAnsi" w:hAnsiTheme="minorHAnsi" w:cstheme="minorBidi"/>
                <w:noProof/>
                <w:lang w:eastAsia="en-US"/>
              </w:rPr>
              <w:drawing>
                <wp:inline distT="0" distB="0" distL="0" distR="0" wp14:anchorId="4FE21D9A" wp14:editId="4698B111">
                  <wp:extent cx="2118995" cy="2827655"/>
                  <wp:effectExtent l="0" t="0" r="1905"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8995" cy="2827655"/>
                          </a:xfrm>
                          <a:prstGeom prst="rect">
                            <a:avLst/>
                          </a:prstGeom>
                        </pic:spPr>
                      </pic:pic>
                    </a:graphicData>
                  </a:graphic>
                </wp:inline>
              </w:drawing>
            </w:r>
            <w:r>
              <w:rPr>
                <w:noProof/>
              </w:rPr>
              <w:t xml:space="preserve"> </w:t>
            </w:r>
          </w:p>
        </w:tc>
        <w:tc>
          <w:tcPr>
            <w:tcW w:w="5439" w:type="dxa"/>
          </w:tcPr>
          <w:p w14:paraId="7BE649B4" w14:textId="21920992" w:rsidR="00A36FF0" w:rsidRDefault="00A36FF0" w:rsidP="00A36FF0">
            <w:pPr>
              <w:spacing w:after="160" w:line="259" w:lineRule="auto"/>
              <w:jc w:val="both"/>
              <w:rPr>
                <w:rFonts w:eastAsiaTheme="minorHAnsi"/>
                <w:lang w:eastAsia="en-US"/>
              </w:rPr>
            </w:pPr>
            <w:r>
              <w:rPr>
                <w:noProof/>
              </w:rPr>
              <w:drawing>
                <wp:anchor distT="0" distB="0" distL="114300" distR="114300" simplePos="0" relativeHeight="251674624" behindDoc="0" locked="0" layoutInCell="1" allowOverlap="1" wp14:anchorId="4C5FD46D" wp14:editId="6C72BBCB">
                  <wp:simplePos x="0" y="0"/>
                  <wp:positionH relativeFrom="margin">
                    <wp:posOffset>2675890</wp:posOffset>
                  </wp:positionH>
                  <wp:positionV relativeFrom="paragraph">
                    <wp:posOffset>2206288</wp:posOffset>
                  </wp:positionV>
                  <wp:extent cx="625475" cy="657225"/>
                  <wp:effectExtent l="0" t="0" r="3175" b="9525"/>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25475" cy="6572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b/>
                <w:noProof/>
                <w:lang w:eastAsia="en-US"/>
              </w:rPr>
              <w:drawing>
                <wp:inline distT="0" distB="0" distL="0" distR="0" wp14:anchorId="260F01E8" wp14:editId="28C8E4B8">
                  <wp:extent cx="3305358" cy="2853055"/>
                  <wp:effectExtent l="0" t="0" r="9525" b="444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eur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6132" cy="3000461"/>
                          </a:xfrm>
                          <a:prstGeom prst="rect">
                            <a:avLst/>
                          </a:prstGeom>
                        </pic:spPr>
                      </pic:pic>
                    </a:graphicData>
                  </a:graphic>
                </wp:inline>
              </w:drawing>
            </w:r>
          </w:p>
        </w:tc>
      </w:tr>
      <w:tr w:rsidR="00A36FF0" w14:paraId="4B87DB8D" w14:textId="77777777" w:rsidTr="00A36FF0">
        <w:tc>
          <w:tcPr>
            <w:tcW w:w="4200" w:type="dxa"/>
          </w:tcPr>
          <w:p w14:paraId="7460E83F" w14:textId="0A827F78" w:rsidR="00A36FF0" w:rsidRDefault="00A36FF0" w:rsidP="00044964">
            <w:pPr>
              <w:spacing w:after="160" w:line="259" w:lineRule="auto"/>
              <w:jc w:val="both"/>
              <w:rPr>
                <w:rFonts w:eastAsiaTheme="minorHAnsi"/>
                <w:lang w:eastAsia="en-US"/>
              </w:rPr>
            </w:pPr>
            <w:r w:rsidRPr="007046CE">
              <w:rPr>
                <w:rFonts w:eastAsiaTheme="minorHAnsi"/>
                <w:b/>
                <w:lang w:eastAsia="en-US"/>
              </w:rPr>
              <w:t xml:space="preserve">Bild 1 </w:t>
            </w:r>
            <w:r w:rsidRPr="007046CE">
              <w:rPr>
                <w:rFonts w:eastAsiaTheme="minorHAnsi"/>
                <w:lang w:eastAsia="en-US"/>
              </w:rPr>
              <w:t xml:space="preserve">(Quelle: </w:t>
            </w:r>
            <w:r>
              <w:rPr>
                <w:rFonts w:eastAsiaTheme="minorHAnsi"/>
                <w:lang w:eastAsia="en-US"/>
              </w:rPr>
              <w:t>R. O. E. GmbH</w:t>
            </w:r>
            <w:r w:rsidRPr="007046CE">
              <w:rPr>
                <w:rFonts w:eastAsiaTheme="minorHAnsi"/>
                <w:lang w:eastAsia="en-US"/>
              </w:rPr>
              <w:t>)</w:t>
            </w:r>
          </w:p>
        </w:tc>
        <w:tc>
          <w:tcPr>
            <w:tcW w:w="5439" w:type="dxa"/>
          </w:tcPr>
          <w:p w14:paraId="44BAC0EB" w14:textId="4B60DC69" w:rsidR="00A36FF0" w:rsidRDefault="00A36FF0" w:rsidP="00044964">
            <w:pPr>
              <w:spacing w:after="160" w:line="259" w:lineRule="auto"/>
              <w:jc w:val="both"/>
              <w:rPr>
                <w:rFonts w:eastAsiaTheme="minorHAnsi"/>
                <w:lang w:eastAsia="en-US"/>
              </w:rPr>
            </w:pPr>
            <w:r w:rsidRPr="007046CE">
              <w:rPr>
                <w:rFonts w:eastAsiaTheme="minorHAnsi"/>
                <w:b/>
                <w:lang w:eastAsia="en-US"/>
              </w:rPr>
              <w:t>Bild 2</w:t>
            </w:r>
            <w:r w:rsidRPr="007046CE">
              <w:rPr>
                <w:rFonts w:eastAsiaTheme="minorHAnsi"/>
                <w:lang w:eastAsia="en-US"/>
              </w:rPr>
              <w:t xml:space="preserve"> (Quelle: </w:t>
            </w:r>
            <w:r>
              <w:rPr>
                <w:rFonts w:eastAsiaTheme="minorHAnsi"/>
                <w:lang w:eastAsia="en-US"/>
              </w:rPr>
              <w:t>R. O. E. GmbH</w:t>
            </w:r>
            <w:r w:rsidRPr="007046CE">
              <w:rPr>
                <w:rFonts w:eastAsiaTheme="minorHAnsi"/>
                <w:lang w:eastAsia="en-US"/>
              </w:rPr>
              <w:t>)</w:t>
            </w:r>
          </w:p>
        </w:tc>
      </w:tr>
      <w:tr w:rsidR="00A36FF0" w14:paraId="29EBBDA3" w14:textId="77777777" w:rsidTr="00A36FF0">
        <w:tc>
          <w:tcPr>
            <w:tcW w:w="4200" w:type="dxa"/>
          </w:tcPr>
          <w:p w14:paraId="35FE8471" w14:textId="66CD0943" w:rsidR="00A36FF0" w:rsidRDefault="00A36FF0" w:rsidP="00044964">
            <w:pPr>
              <w:spacing w:after="160" w:line="259" w:lineRule="auto"/>
              <w:jc w:val="both"/>
              <w:rPr>
                <w:rFonts w:eastAsiaTheme="minorHAnsi"/>
                <w:lang w:eastAsia="en-US"/>
              </w:rPr>
            </w:pPr>
            <w:r w:rsidRPr="007046CE">
              <w:rPr>
                <w:rFonts w:eastAsiaTheme="minorHAnsi"/>
                <w:lang w:eastAsia="en-US"/>
              </w:rPr>
              <w:t xml:space="preserve">Künftig nicht </w:t>
            </w:r>
            <w:r w:rsidRPr="007046CE">
              <w:rPr>
                <w:rFonts w:eastAsiaTheme="minorHAnsi"/>
                <w:b/>
                <w:lang w:eastAsia="en-US"/>
              </w:rPr>
              <w:t>mehr zulässig</w:t>
            </w:r>
            <w:r w:rsidRPr="007046CE">
              <w:rPr>
                <w:rFonts w:eastAsiaTheme="minorHAnsi"/>
                <w:lang w:eastAsia="en-US"/>
              </w:rPr>
              <w:t xml:space="preserve"> auf Baustellen.</w:t>
            </w:r>
          </w:p>
        </w:tc>
        <w:tc>
          <w:tcPr>
            <w:tcW w:w="5439" w:type="dxa"/>
          </w:tcPr>
          <w:p w14:paraId="201FD958" w14:textId="77777777" w:rsidR="00A36FF0" w:rsidRPr="00A36FF0" w:rsidRDefault="00A36FF0" w:rsidP="00A36FF0">
            <w:pPr>
              <w:spacing w:line="259" w:lineRule="auto"/>
              <w:jc w:val="both"/>
              <w:rPr>
                <w:rFonts w:eastAsiaTheme="minorHAnsi"/>
                <w:lang w:eastAsia="en-US"/>
              </w:rPr>
            </w:pPr>
            <w:r w:rsidRPr="00A36FF0">
              <w:rPr>
                <w:rFonts w:eastAsiaTheme="minorHAnsi"/>
                <w:lang w:eastAsia="en-US"/>
              </w:rPr>
              <w:t>Neue</w:t>
            </w:r>
            <w:r w:rsidRPr="007046CE">
              <w:rPr>
                <w:rFonts w:eastAsiaTheme="minorHAnsi"/>
                <w:lang w:eastAsia="en-US"/>
              </w:rPr>
              <w:t xml:space="preserve"> Anforderungen an die </w:t>
            </w:r>
            <w:r w:rsidRPr="00A36FF0">
              <w:rPr>
                <w:rFonts w:eastAsiaTheme="minorHAnsi"/>
                <w:lang w:eastAsia="en-US"/>
              </w:rPr>
              <w:t>Ausstattung der Baustromverteiler:</w:t>
            </w:r>
          </w:p>
          <w:p w14:paraId="70F49B99" w14:textId="68064AC9" w:rsidR="00A36FF0" w:rsidRPr="00A36FF0" w:rsidRDefault="00A36FF0" w:rsidP="00A36FF0">
            <w:pPr>
              <w:spacing w:line="259" w:lineRule="auto"/>
              <w:jc w:val="both"/>
              <w:rPr>
                <w:rFonts w:eastAsiaTheme="minorHAnsi"/>
                <w:lang w:eastAsia="en-US"/>
              </w:rPr>
            </w:pPr>
            <w:r w:rsidRPr="007046CE">
              <w:rPr>
                <w:rFonts w:eastAsiaTheme="minorHAnsi"/>
                <w:lang w:eastAsia="en-US"/>
              </w:rPr>
              <w:t xml:space="preserve">1. </w:t>
            </w:r>
            <w:r w:rsidRPr="00A36FF0">
              <w:rPr>
                <w:rFonts w:eastAsiaTheme="minorHAnsi"/>
                <w:lang w:eastAsia="en-US"/>
              </w:rPr>
              <w:t>Abschalteinrichtungen z. B. Hauptschalter</w:t>
            </w:r>
          </w:p>
          <w:p w14:paraId="73023151" w14:textId="77777777" w:rsidR="00A36FF0" w:rsidRPr="007046CE" w:rsidRDefault="00A36FF0" w:rsidP="00A36FF0">
            <w:pPr>
              <w:tabs>
                <w:tab w:val="left" w:pos="5103"/>
              </w:tabs>
              <w:spacing w:line="259" w:lineRule="auto"/>
              <w:jc w:val="both"/>
              <w:rPr>
                <w:rFonts w:eastAsiaTheme="minorHAnsi"/>
                <w:lang w:eastAsia="en-US"/>
              </w:rPr>
            </w:pPr>
            <w:r w:rsidRPr="007046CE">
              <w:rPr>
                <w:rFonts w:eastAsiaTheme="minorHAnsi"/>
                <w:lang w:eastAsia="en-US"/>
              </w:rPr>
              <w:t xml:space="preserve">2. </w:t>
            </w:r>
            <w:r w:rsidRPr="00A36FF0">
              <w:rPr>
                <w:rFonts w:eastAsiaTheme="minorHAnsi"/>
                <w:lang w:eastAsia="en-US"/>
              </w:rPr>
              <w:t>Einsatz geeigneter RCD-Typen</w:t>
            </w:r>
          </w:p>
          <w:p w14:paraId="362AF0A1" w14:textId="77777777" w:rsidR="00A36FF0" w:rsidRPr="007046CE" w:rsidRDefault="00A36FF0" w:rsidP="00A36FF0">
            <w:pPr>
              <w:spacing w:line="259" w:lineRule="auto"/>
              <w:jc w:val="both"/>
              <w:rPr>
                <w:rFonts w:eastAsiaTheme="minorHAnsi"/>
                <w:lang w:eastAsia="en-US"/>
              </w:rPr>
            </w:pPr>
            <w:r w:rsidRPr="007046CE">
              <w:rPr>
                <w:rFonts w:eastAsiaTheme="minorHAnsi"/>
                <w:lang w:eastAsia="en-US"/>
              </w:rPr>
              <w:t xml:space="preserve">3. </w:t>
            </w:r>
            <w:r w:rsidRPr="00A36FF0">
              <w:rPr>
                <w:rFonts w:eastAsiaTheme="minorHAnsi"/>
                <w:lang w:eastAsia="en-US"/>
              </w:rPr>
              <w:t xml:space="preserve">Bei der Prüfung nur geeignete Messgeräte </w:t>
            </w:r>
            <w:r w:rsidRPr="007046CE">
              <w:rPr>
                <w:rFonts w:eastAsiaTheme="minorHAnsi"/>
                <w:lang w:eastAsia="en-US"/>
              </w:rPr>
              <w:t>verwenden</w:t>
            </w:r>
          </w:p>
          <w:p w14:paraId="002BC330" w14:textId="77777777" w:rsidR="00A36FF0" w:rsidRDefault="00A36FF0" w:rsidP="00A36FF0">
            <w:pPr>
              <w:spacing w:after="160" w:line="259" w:lineRule="auto"/>
              <w:jc w:val="both"/>
              <w:rPr>
                <w:rFonts w:eastAsiaTheme="minorHAnsi"/>
                <w:lang w:eastAsia="en-US"/>
              </w:rPr>
            </w:pPr>
          </w:p>
        </w:tc>
      </w:tr>
    </w:tbl>
    <w:p w14:paraId="15567EEA" w14:textId="77777777" w:rsidR="00A36FF0" w:rsidRDefault="00A36FF0" w:rsidP="00A36FF0">
      <w:pPr>
        <w:spacing w:line="259" w:lineRule="auto"/>
        <w:jc w:val="both"/>
        <w:rPr>
          <w:rFonts w:eastAsiaTheme="minorHAnsi"/>
          <w:b/>
          <w:lang w:eastAsia="en-US"/>
        </w:rPr>
      </w:pPr>
    </w:p>
    <w:p w14:paraId="2D820909" w14:textId="53B9AE09" w:rsidR="00A36FF0" w:rsidRPr="00D3780A" w:rsidRDefault="00A36FF0" w:rsidP="00A36FF0">
      <w:pPr>
        <w:spacing w:line="259" w:lineRule="auto"/>
        <w:jc w:val="both"/>
        <w:rPr>
          <w:rFonts w:eastAsiaTheme="minorHAnsi"/>
          <w:lang w:eastAsia="en-US"/>
        </w:rPr>
      </w:pPr>
      <w:r w:rsidRPr="00D3780A">
        <w:rPr>
          <w:rFonts w:eastAsiaTheme="minorHAnsi"/>
          <w:b/>
          <w:lang w:eastAsia="en-US"/>
        </w:rPr>
        <w:t>Hinweis:</w:t>
      </w:r>
      <w:r w:rsidRPr="00D3780A">
        <w:rPr>
          <w:rFonts w:eastAsiaTheme="minorHAnsi"/>
          <w:lang w:eastAsia="en-US"/>
        </w:rPr>
        <w:t xml:space="preserve"> </w:t>
      </w:r>
    </w:p>
    <w:p w14:paraId="70A159C3" w14:textId="34C02F9E" w:rsidR="00A36FF0" w:rsidRPr="00AC57BB" w:rsidRDefault="00A36FF0" w:rsidP="00A36FF0">
      <w:pPr>
        <w:spacing w:line="259" w:lineRule="auto"/>
        <w:jc w:val="both"/>
        <w:rPr>
          <w:rFonts w:eastAsiaTheme="minorHAnsi"/>
          <w:lang w:eastAsia="en-US"/>
        </w:rPr>
      </w:pPr>
      <w:r w:rsidRPr="00D3780A">
        <w:rPr>
          <w:rFonts w:eastAsiaTheme="minorHAnsi"/>
          <w:lang w:eastAsia="en-US"/>
        </w:rPr>
        <w:t>Umfangreiche Änderungen in der NEUEN Norm machen zukünftig den Einsatz alter Bau</w:t>
      </w:r>
      <w:r w:rsidR="00A86BFA">
        <w:rPr>
          <w:rFonts w:eastAsiaTheme="minorHAnsi"/>
          <w:lang w:eastAsia="en-US"/>
        </w:rPr>
        <w:t>-</w:t>
      </w:r>
      <w:r w:rsidRPr="00D3780A">
        <w:rPr>
          <w:rFonts w:eastAsiaTheme="minorHAnsi"/>
          <w:lang w:eastAsia="en-US"/>
        </w:rPr>
        <w:t>stromverteilungen nahezu unmöglich und münden meist in der Neubeschaffung.</w:t>
      </w:r>
    </w:p>
    <w:p w14:paraId="3B7DACD0" w14:textId="77777777" w:rsidR="006528B9" w:rsidRDefault="006528B9" w:rsidP="00A36FF0">
      <w:pPr>
        <w:spacing w:after="160" w:line="259" w:lineRule="auto"/>
        <w:jc w:val="both"/>
        <w:rPr>
          <w:rFonts w:eastAsiaTheme="minorHAnsi"/>
          <w:b/>
          <w:lang w:eastAsia="en-US"/>
        </w:rPr>
      </w:pPr>
      <w:r>
        <w:rPr>
          <w:rFonts w:eastAsiaTheme="minorHAnsi"/>
          <w:b/>
          <w:lang w:eastAsia="en-US"/>
        </w:rPr>
        <w:br w:type="page"/>
      </w:r>
    </w:p>
    <w:p w14:paraId="2DC70137" w14:textId="100218CA" w:rsidR="00A36FF0" w:rsidRPr="00D3780A" w:rsidRDefault="00A36FF0" w:rsidP="00A36FF0">
      <w:pPr>
        <w:spacing w:after="160" w:line="259" w:lineRule="auto"/>
        <w:jc w:val="both"/>
        <w:rPr>
          <w:rFonts w:eastAsiaTheme="minorHAnsi"/>
          <w:b/>
          <w:lang w:eastAsia="en-US"/>
        </w:rPr>
      </w:pPr>
      <w:r w:rsidRPr="00D3780A">
        <w:rPr>
          <w:rFonts w:eastAsiaTheme="minorHAnsi"/>
          <w:b/>
          <w:lang w:eastAsia="en-US"/>
        </w:rPr>
        <w:lastRenderedPageBreak/>
        <w:t>Rückblick</w:t>
      </w:r>
    </w:p>
    <w:p w14:paraId="468671F9" w14:textId="77777777" w:rsidR="00A36FF0" w:rsidRPr="00D3780A" w:rsidRDefault="00A36FF0" w:rsidP="00A36FF0">
      <w:pPr>
        <w:spacing w:line="259" w:lineRule="auto"/>
        <w:jc w:val="both"/>
        <w:rPr>
          <w:rFonts w:eastAsiaTheme="minorHAnsi"/>
          <w:b/>
          <w:lang w:eastAsia="en-US"/>
        </w:rPr>
      </w:pPr>
      <w:r w:rsidRPr="00D3780A">
        <w:rPr>
          <w:rFonts w:eastAsiaTheme="minorHAnsi"/>
          <w:b/>
          <w:lang w:eastAsia="en-US"/>
        </w:rPr>
        <w:t xml:space="preserve">Forderung allstromsensitiver RCDs </w:t>
      </w:r>
    </w:p>
    <w:p w14:paraId="047A3420" w14:textId="41C9DBFD" w:rsidR="00A36FF0" w:rsidRPr="00DC4F06" w:rsidRDefault="00A36FF0" w:rsidP="00A36FF0">
      <w:pPr>
        <w:spacing w:line="259" w:lineRule="auto"/>
        <w:jc w:val="both"/>
        <w:rPr>
          <w:rFonts w:eastAsiaTheme="minorHAnsi"/>
          <w:lang w:eastAsia="en-US"/>
        </w:rPr>
      </w:pPr>
      <w:r w:rsidRPr="00D3780A">
        <w:rPr>
          <w:rFonts w:eastAsiaTheme="minorHAnsi"/>
          <w:lang w:eastAsia="en-US"/>
        </w:rPr>
        <w:t>Die ersten Geräte auf Baustellen, die mit Frequenzumrichtern betrieben wurden, waren Kr</w:t>
      </w:r>
      <w:r w:rsidR="00A86BFA">
        <w:rPr>
          <w:rFonts w:eastAsiaTheme="minorHAnsi"/>
          <w:lang w:eastAsia="en-US"/>
        </w:rPr>
        <w:t>ä</w:t>
      </w:r>
      <w:r w:rsidRPr="00D3780A">
        <w:rPr>
          <w:rFonts w:eastAsiaTheme="minorHAnsi"/>
          <w:lang w:eastAsia="en-US"/>
        </w:rPr>
        <w:t>ne, Lüftungsanlagen und Pumpen. Diese Geräte mussten schon seit 2005 an einen entsprechenden Baustromverteiler mit einer allstromsensitiven Fehlerstrom-Schutzeinrichtung angeschlossen werden. So hieß es im Abschnitt 531.3.2 der DIN VDE 0100-530 (VDE 0100-530):2005-06 [2]: „Wenn Teile elektrischer Betriebsmittel, die auf der Lastseite einer Fehlerstrom-Schutzeinrichtung fest errichtet werden, reine Gleich-Fehlerströme erzeugen können, muss die Fehlerstrom-Schutzeinrichtung vom Typ B sein.“ Die damalige BGI 608 kannte dazu noch ein paar Sonderlösungen mit Trenntransformatoren oder Ausnahmen, in denen noch ein RCD Typ A verwendet werden durfte</w:t>
      </w:r>
      <w:r w:rsidR="00A86BFA">
        <w:rPr>
          <w:rFonts w:eastAsiaTheme="minorHAnsi"/>
          <w:lang w:eastAsia="en-US"/>
        </w:rPr>
        <w:t>,</w:t>
      </w:r>
      <w:r w:rsidRPr="00D3780A">
        <w:rPr>
          <w:rFonts w:eastAsiaTheme="minorHAnsi"/>
          <w:lang w:eastAsia="en-US"/>
        </w:rPr>
        <w:t xml:space="preserve"> aber grundsätzlich war damit der RCD Typ B auf Baustellen </w:t>
      </w:r>
      <w:r w:rsidRPr="00D3780A">
        <w:rPr>
          <w:rFonts w:eastAsiaTheme="minorHAnsi"/>
          <w:b/>
          <w:lang w:eastAsia="en-US"/>
        </w:rPr>
        <w:t>schon</w:t>
      </w:r>
      <w:r w:rsidRPr="00D3780A">
        <w:rPr>
          <w:rFonts w:eastAsiaTheme="minorHAnsi"/>
          <w:lang w:eastAsia="en-US"/>
        </w:rPr>
        <w:t xml:space="preserve"> eingeführt. Ob Geräte wie Inverter-Schweißgeräte, elektronische Umformer für Betonrüttelflaschen, Bauaufzüge, Ladegeräte für Stapler, Siloantriebe oder gesteuerte Pumpen usw. einen vorgeschalteten RCD Typ B erfordern, war in der Vergangenheit für Laien </w:t>
      </w:r>
      <w:r w:rsidRPr="00F86AFC">
        <w:rPr>
          <w:rFonts w:eastAsiaTheme="minorHAnsi"/>
          <w:b/>
          <w:lang w:eastAsia="en-US"/>
        </w:rPr>
        <w:t>nicht</w:t>
      </w:r>
      <w:r w:rsidRPr="00D3780A">
        <w:rPr>
          <w:rFonts w:eastAsiaTheme="minorHAnsi"/>
          <w:lang w:eastAsia="en-US"/>
        </w:rPr>
        <w:t xml:space="preserve"> und für Elektrofachkräfte kaum erkennbar. </w:t>
      </w:r>
    </w:p>
    <w:p w14:paraId="2863502E" w14:textId="77777777" w:rsidR="00A36FF0" w:rsidRPr="00CA249B" w:rsidRDefault="00A36FF0" w:rsidP="00A36FF0">
      <w:pPr>
        <w:spacing w:line="259" w:lineRule="auto"/>
        <w:jc w:val="both"/>
        <w:rPr>
          <w:rFonts w:eastAsiaTheme="minorHAnsi"/>
          <w:szCs w:val="24"/>
          <w:lang w:eastAsia="en-US"/>
        </w:rPr>
      </w:pPr>
    </w:p>
    <w:p w14:paraId="0507B527" w14:textId="77777777" w:rsidR="00A36FF0" w:rsidRPr="00CA249B" w:rsidRDefault="00A36FF0" w:rsidP="00A36FF0">
      <w:pPr>
        <w:spacing w:line="259" w:lineRule="auto"/>
        <w:jc w:val="both"/>
        <w:rPr>
          <w:rFonts w:eastAsiaTheme="minorHAnsi"/>
          <w:b/>
          <w:szCs w:val="24"/>
          <w:lang w:eastAsia="en-US"/>
        </w:rPr>
      </w:pPr>
      <w:r w:rsidRPr="00CA249B">
        <w:rPr>
          <w:rFonts w:eastAsiaTheme="minorHAnsi"/>
          <w:b/>
          <w:szCs w:val="24"/>
          <w:lang w:eastAsia="en-US"/>
        </w:rPr>
        <w:t xml:space="preserve">Ständig steigende Anzahl elektrischer Geräte </w:t>
      </w:r>
    </w:p>
    <w:p w14:paraId="13BD54BD" w14:textId="77777777" w:rsidR="00A36FF0" w:rsidRPr="00CA249B" w:rsidRDefault="00A36FF0" w:rsidP="00A36FF0">
      <w:pPr>
        <w:spacing w:line="259" w:lineRule="auto"/>
        <w:jc w:val="both"/>
        <w:rPr>
          <w:rFonts w:eastAsiaTheme="minorHAnsi"/>
          <w:lang w:eastAsia="en-US"/>
        </w:rPr>
      </w:pPr>
      <w:r w:rsidRPr="00CA249B">
        <w:rPr>
          <w:rFonts w:eastAsiaTheme="minorHAnsi"/>
          <w:lang w:eastAsia="en-US"/>
        </w:rPr>
        <w:t>Die ständig steigende Anzahl an Geräten (zum Beispiel mit Frequenzumrichtern), die auch glatte Leck-/Gleichfehlerströme erzeugen und somit RCDs vom Typ A beeinflussen können, erforderte nun neue Schutzmaßnahmen. Mit der neuen DIN VDE 0100-704 (VDE 0100-704) vom Oktober 2018 [3] wird diesem Problem nun entgegengewirkt. Im Abschnitt 704.531.3 von DIN VDE 0100-704 (VDE 0100-704) [3] ist festgelegt, dass Drehstrom-Steckdosen bis einschließlich 63 A mit einem allstromsensitiven RCD vom Typ B zu schützen sind. Nur wenn man über Baustromverteiler Bereiche versorgt, die nicht direkt zur Baustelle gehören, kann man argumentieren, dass dort kein RCD Typ B erforderlich ist. Denkbar und sinnvoll wäre dies eigentlich nur für eine separat aufgestellte Containeranlage.</w:t>
      </w:r>
    </w:p>
    <w:p w14:paraId="616899A5" w14:textId="77777777" w:rsidR="00A36FF0" w:rsidRPr="00CA249B" w:rsidRDefault="00A36FF0" w:rsidP="00A36FF0">
      <w:pPr>
        <w:spacing w:line="259" w:lineRule="auto"/>
        <w:jc w:val="both"/>
        <w:rPr>
          <w:rFonts w:eastAsiaTheme="minorHAnsi"/>
          <w:lang w:eastAsia="en-US"/>
        </w:rPr>
      </w:pPr>
    </w:p>
    <w:p w14:paraId="04DB379F" w14:textId="77777777" w:rsidR="00A36FF0" w:rsidRPr="00CA249B" w:rsidRDefault="00A36FF0" w:rsidP="00A36FF0">
      <w:pPr>
        <w:spacing w:line="259" w:lineRule="auto"/>
        <w:jc w:val="both"/>
        <w:rPr>
          <w:rFonts w:eastAsiaTheme="minorHAnsi"/>
          <w:b/>
          <w:szCs w:val="24"/>
          <w:lang w:eastAsia="en-US"/>
        </w:rPr>
      </w:pPr>
      <w:r w:rsidRPr="00CA249B">
        <w:rPr>
          <w:rFonts w:eastAsiaTheme="minorHAnsi"/>
          <w:b/>
          <w:szCs w:val="24"/>
          <w:lang w:eastAsia="en-US"/>
        </w:rPr>
        <w:t xml:space="preserve">Hauptschalter bei Baustromverteilern </w:t>
      </w:r>
    </w:p>
    <w:p w14:paraId="68F178B8" w14:textId="78094662" w:rsidR="00A36FF0" w:rsidRPr="00CA249B" w:rsidRDefault="00A36FF0" w:rsidP="00A36FF0">
      <w:pPr>
        <w:spacing w:line="259" w:lineRule="auto"/>
        <w:jc w:val="both"/>
        <w:rPr>
          <w:rFonts w:eastAsiaTheme="minorHAnsi"/>
          <w:lang w:eastAsia="en-US"/>
        </w:rPr>
      </w:pPr>
      <w:r w:rsidRPr="00CA249B">
        <w:rPr>
          <w:rFonts w:eastAsiaTheme="minorHAnsi"/>
          <w:lang w:eastAsia="en-US"/>
        </w:rPr>
        <w:t xml:space="preserve">Im Abschnitt 704.537.2.101 von DIN VDE 0100-704 (VDE 0100-704) [3] wurde folgendes festgelegt: „Fest angeschlossene Baustromverteiler (BV) mit Steckdosen müssen Einrichtungen zum Trennen der Einspeisung, die gegen Einschalten abschließbar und für Laien (BA1) benutzbar sind, enthalten. Eine verschließbare Umhüllung ist nicht ausreichend.“ Ein Vorhängeschloss am Baustromverteiler genügt somit nicht mehr. Bisher wurde ein Hauptschalter explizit nur für Anschlussschränke vorgeschrieben, um im Bedarfsfall die gesamte Stromversorgung der Baustelle abschalten zu können. Die neue Forderung bedeutet tatsächlich in den meisten Fällen eine Neubeschaffung des Baustromverteilers. Die </w:t>
      </w:r>
      <w:r w:rsidRPr="00CA249B">
        <w:rPr>
          <w:rFonts w:eastAsiaTheme="minorHAnsi"/>
          <w:b/>
          <w:lang w:eastAsia="en-US"/>
        </w:rPr>
        <w:t>„Notlösung“</w:t>
      </w:r>
      <w:r w:rsidRPr="00CA249B">
        <w:rPr>
          <w:rFonts w:eastAsiaTheme="minorHAnsi"/>
          <w:lang w:eastAsia="en-US"/>
        </w:rPr>
        <w:t>, an einen Baustromverteiler für den Festanschluss eine kurze Leitung mit Stecker zu montieren,</w:t>
      </w:r>
      <w:r>
        <w:rPr>
          <w:rFonts w:eastAsiaTheme="minorHAnsi"/>
          <w:lang w:eastAsia="en-US"/>
        </w:rPr>
        <w:t xml:space="preserve"> </w:t>
      </w:r>
      <w:r w:rsidRPr="00CA249B">
        <w:rPr>
          <w:rFonts w:eastAsiaTheme="minorHAnsi"/>
          <w:lang w:eastAsia="en-US"/>
        </w:rPr>
        <w:t>mag bei 63</w:t>
      </w:r>
      <w:r>
        <w:rPr>
          <w:rFonts w:eastAsiaTheme="minorHAnsi"/>
          <w:lang w:eastAsia="en-US"/>
        </w:rPr>
        <w:t> A </w:t>
      </w:r>
      <w:r w:rsidRPr="00CA249B">
        <w:rPr>
          <w:rFonts w:eastAsiaTheme="minorHAnsi"/>
          <w:lang w:eastAsia="en-US"/>
        </w:rPr>
        <w:t xml:space="preserve">Baustromverteilern noch praxistauglich sein, bei allen größeren Typen jedoch nicht mehr. Leider ist eine Nachrüstung oft nicht nur technisch anspruchsvoll sondern auch aus Sicht der Regelwerke schwierig. Da Baustromverteiler </w:t>
      </w:r>
      <w:r>
        <w:rPr>
          <w:rFonts w:eastAsiaTheme="minorHAnsi"/>
          <w:lang w:eastAsia="en-US"/>
        </w:rPr>
        <w:t>gemäß</w:t>
      </w:r>
      <w:r w:rsidRPr="00CA249B">
        <w:rPr>
          <w:rFonts w:eastAsiaTheme="minorHAnsi"/>
          <w:lang w:eastAsia="en-US"/>
        </w:rPr>
        <w:t xml:space="preserve"> DIN EN 61439-4 (VDE 0660-600-4) [4] typgeprüft sein müssen, kann nur der eigentliche Hersteller </w:t>
      </w:r>
      <w:r w:rsidRPr="00CA249B">
        <w:rPr>
          <w:rFonts w:eastAsiaTheme="minorHAnsi"/>
          <w:lang w:eastAsia="en-US"/>
        </w:rPr>
        <w:lastRenderedPageBreak/>
        <w:t>des Baustromverteilers eine</w:t>
      </w:r>
      <w:r>
        <w:rPr>
          <w:rFonts w:eastAsiaTheme="minorHAnsi"/>
          <w:lang w:eastAsia="en-US"/>
        </w:rPr>
        <w:t>n</w:t>
      </w:r>
      <w:r w:rsidRPr="00CA249B">
        <w:rPr>
          <w:rFonts w:eastAsiaTheme="minorHAnsi"/>
          <w:lang w:eastAsia="en-US"/>
        </w:rPr>
        <w:t xml:space="preserve"> Umbausatz inklusive neuer technischer Dokumentation bereitstellen. </w:t>
      </w:r>
      <w:r>
        <w:rPr>
          <w:rFonts w:eastAsiaTheme="minorHAnsi"/>
          <w:lang w:eastAsia="en-US"/>
        </w:rPr>
        <w:t>Damit nach</w:t>
      </w:r>
      <w:r w:rsidRPr="00CA249B">
        <w:rPr>
          <w:rFonts w:eastAsiaTheme="minorHAnsi"/>
          <w:lang w:eastAsia="en-US"/>
        </w:rPr>
        <w:t xml:space="preserve"> eine</w:t>
      </w:r>
      <w:r>
        <w:rPr>
          <w:rFonts w:eastAsiaTheme="minorHAnsi"/>
          <w:lang w:eastAsia="en-US"/>
        </w:rPr>
        <w:t>m</w:t>
      </w:r>
      <w:r w:rsidRPr="00CA249B">
        <w:rPr>
          <w:rFonts w:eastAsiaTheme="minorHAnsi"/>
          <w:lang w:eastAsia="en-US"/>
        </w:rPr>
        <w:t xml:space="preserve"> Umbau „auf eigene Faust“ </w:t>
      </w:r>
      <w:r>
        <w:rPr>
          <w:rFonts w:eastAsiaTheme="minorHAnsi"/>
          <w:lang w:eastAsia="en-US"/>
        </w:rPr>
        <w:t xml:space="preserve">die erforderliche Regelwerkskonformität nachgewiesen werden kann, </w:t>
      </w:r>
      <w:r w:rsidRPr="00CA249B">
        <w:rPr>
          <w:rFonts w:eastAsiaTheme="minorHAnsi"/>
          <w:lang w:eastAsia="en-US"/>
        </w:rPr>
        <w:t>sind umfangreiche Prüfungen und Berechnungen erforderlich.</w:t>
      </w:r>
    </w:p>
    <w:p w14:paraId="12B12042" w14:textId="77777777" w:rsidR="00A36FF0" w:rsidRPr="00CA249B" w:rsidRDefault="00A36FF0" w:rsidP="00A36FF0">
      <w:pPr>
        <w:spacing w:line="259" w:lineRule="auto"/>
        <w:jc w:val="both"/>
        <w:rPr>
          <w:rFonts w:eastAsiaTheme="minorHAnsi"/>
          <w:b/>
          <w:szCs w:val="24"/>
          <w:lang w:eastAsia="en-US"/>
        </w:rPr>
      </w:pPr>
    </w:p>
    <w:p w14:paraId="302F4FA8" w14:textId="77777777" w:rsidR="00A36FF0" w:rsidRPr="00CA249B" w:rsidRDefault="00A36FF0" w:rsidP="00A36FF0">
      <w:pPr>
        <w:spacing w:line="259" w:lineRule="auto"/>
        <w:jc w:val="both"/>
        <w:rPr>
          <w:rFonts w:eastAsiaTheme="minorHAnsi"/>
          <w:b/>
          <w:szCs w:val="24"/>
          <w:lang w:eastAsia="en-US"/>
        </w:rPr>
      </w:pPr>
      <w:r w:rsidRPr="00CA249B">
        <w:rPr>
          <w:rFonts w:eastAsiaTheme="minorHAnsi"/>
          <w:b/>
          <w:szCs w:val="24"/>
          <w:lang w:eastAsia="en-US"/>
        </w:rPr>
        <w:t>Prüfung</w:t>
      </w:r>
      <w:r>
        <w:rPr>
          <w:rFonts w:eastAsiaTheme="minorHAnsi"/>
          <w:b/>
          <w:szCs w:val="24"/>
          <w:lang w:eastAsia="en-US"/>
        </w:rPr>
        <w:t>en</w:t>
      </w:r>
      <w:r w:rsidRPr="00CA249B">
        <w:rPr>
          <w:rFonts w:eastAsiaTheme="minorHAnsi"/>
          <w:b/>
          <w:szCs w:val="24"/>
          <w:lang w:eastAsia="en-US"/>
        </w:rPr>
        <w:t xml:space="preserve"> </w:t>
      </w:r>
    </w:p>
    <w:p w14:paraId="220FA50B" w14:textId="16DE16C3" w:rsidR="00A36FF0" w:rsidRDefault="00A36FF0" w:rsidP="00A36FF0">
      <w:pPr>
        <w:spacing w:line="259" w:lineRule="auto"/>
        <w:jc w:val="both"/>
        <w:rPr>
          <w:rFonts w:eastAsiaTheme="minorHAnsi"/>
          <w:lang w:eastAsia="en-US"/>
        </w:rPr>
      </w:pPr>
      <w:r w:rsidRPr="00CA249B">
        <w:rPr>
          <w:rFonts w:eastAsiaTheme="minorHAnsi"/>
          <w:lang w:eastAsia="en-US"/>
        </w:rPr>
        <w:t xml:space="preserve">Auch die bisher verwendeten Installationsprüfgeräte sind nun nicht mehr uneingeschränkt verwendbar. So lassen sich mit </w:t>
      </w:r>
      <w:r w:rsidR="00A86BFA">
        <w:rPr>
          <w:rFonts w:eastAsiaTheme="minorHAnsi"/>
          <w:lang w:eastAsia="en-US"/>
        </w:rPr>
        <w:t>E</w:t>
      </w:r>
      <w:r w:rsidRPr="00CA249B">
        <w:rPr>
          <w:rFonts w:eastAsiaTheme="minorHAnsi"/>
          <w:lang w:eastAsia="en-US"/>
        </w:rPr>
        <w:t>inigen von ihnen keine allstromsensitiven Fehlerstrom</w:t>
      </w:r>
      <w:r>
        <w:rPr>
          <w:rFonts w:eastAsiaTheme="minorHAnsi"/>
          <w:lang w:eastAsia="en-US"/>
        </w:rPr>
        <w:t>-Schutzeinrichtungen</w:t>
      </w:r>
      <w:r w:rsidRPr="00CA249B">
        <w:rPr>
          <w:rFonts w:eastAsiaTheme="minorHAnsi"/>
          <w:lang w:eastAsia="en-US"/>
        </w:rPr>
        <w:t xml:space="preserve"> prüfen.</w:t>
      </w:r>
      <w:r w:rsidRPr="00CA249B">
        <w:rPr>
          <w:rFonts w:eastAsiaTheme="minorHAnsi"/>
          <w:b/>
          <w:lang w:eastAsia="en-US"/>
        </w:rPr>
        <w:t xml:space="preserve"> </w:t>
      </w:r>
      <w:r w:rsidRPr="00CA249B">
        <w:rPr>
          <w:rFonts w:eastAsiaTheme="minorHAnsi"/>
          <w:lang w:eastAsia="en-US"/>
        </w:rPr>
        <w:t>Erst seit wenigen Jahren können nicht nur Prüfgeräte der oberen Preisklasse</w:t>
      </w:r>
      <w:r>
        <w:rPr>
          <w:rFonts w:eastAsiaTheme="minorHAnsi"/>
          <w:lang w:eastAsia="en-US"/>
        </w:rPr>
        <w:t> </w:t>
      </w:r>
      <w:r w:rsidRPr="00CA249B">
        <w:rPr>
          <w:rFonts w:eastAsiaTheme="minorHAnsi"/>
          <w:b/>
          <w:lang w:eastAsia="en-US"/>
        </w:rPr>
        <w:t xml:space="preserve">(Bild </w:t>
      </w:r>
      <w:r>
        <w:rPr>
          <w:rFonts w:eastAsiaTheme="minorHAnsi"/>
          <w:b/>
          <w:lang w:eastAsia="en-US"/>
        </w:rPr>
        <w:t>3</w:t>
      </w:r>
      <w:r w:rsidRPr="00CA249B">
        <w:rPr>
          <w:rFonts w:eastAsiaTheme="minorHAnsi"/>
          <w:b/>
          <w:lang w:eastAsia="en-US"/>
        </w:rPr>
        <w:t>)</w:t>
      </w:r>
      <w:r w:rsidRPr="00CA249B">
        <w:rPr>
          <w:rFonts w:eastAsiaTheme="minorHAnsi"/>
          <w:lang w:eastAsia="en-US"/>
        </w:rPr>
        <w:t xml:space="preserve"> RCD</w:t>
      </w:r>
      <w:r>
        <w:rPr>
          <w:rFonts w:eastAsiaTheme="minorHAnsi"/>
          <w:lang w:eastAsia="en-US"/>
        </w:rPr>
        <w:t>s vom</w:t>
      </w:r>
      <w:r w:rsidRPr="00CA249B">
        <w:rPr>
          <w:rFonts w:eastAsiaTheme="minorHAnsi"/>
          <w:lang w:eastAsia="en-US"/>
        </w:rPr>
        <w:t xml:space="preserve"> Typ B mittels glatten Gleichfehlerströmen prüfen. Langsam setzt sich diese nun wichtige Funktion auch bei günstigeren Geräten durch.</w:t>
      </w:r>
    </w:p>
    <w:p w14:paraId="72BC694C" w14:textId="77777777" w:rsidR="006058CE" w:rsidRPr="00CA249B" w:rsidRDefault="006058CE" w:rsidP="00A36FF0">
      <w:pPr>
        <w:spacing w:line="259" w:lineRule="auto"/>
        <w:jc w:val="both"/>
        <w:rPr>
          <w:rFonts w:eastAsiaTheme="minorHAnsi"/>
          <w:lang w:eastAsia="en-US"/>
        </w:rPr>
      </w:pPr>
    </w:p>
    <w:p w14:paraId="4D3B55A3" w14:textId="77777777" w:rsidR="00A36FF0" w:rsidRPr="004A08F8" w:rsidRDefault="00A36FF0" w:rsidP="00A36FF0">
      <w:pPr>
        <w:spacing w:after="160" w:line="259" w:lineRule="auto"/>
        <w:jc w:val="both"/>
        <w:rPr>
          <w:rFonts w:asciiTheme="minorHAnsi" w:eastAsiaTheme="minorHAnsi" w:hAnsiTheme="minorHAnsi" w:cstheme="minorBidi"/>
          <w:lang w:eastAsia="en-US"/>
        </w:rPr>
      </w:pPr>
      <w:r>
        <w:rPr>
          <w:rFonts w:eastAsiaTheme="minorHAnsi"/>
          <w:noProof/>
          <w:lang w:eastAsia="en-US"/>
        </w:rPr>
        <mc:AlternateContent>
          <mc:Choice Requires="wps">
            <w:drawing>
              <wp:anchor distT="0" distB="0" distL="114300" distR="114300" simplePos="0" relativeHeight="251670528" behindDoc="0" locked="0" layoutInCell="1" allowOverlap="1" wp14:anchorId="60E1F874" wp14:editId="4FA356A0">
                <wp:simplePos x="0" y="0"/>
                <wp:positionH relativeFrom="column">
                  <wp:posOffset>3988097</wp:posOffset>
                </wp:positionH>
                <wp:positionV relativeFrom="paragraph">
                  <wp:posOffset>3805339</wp:posOffset>
                </wp:positionV>
                <wp:extent cx="1888565" cy="1546698"/>
                <wp:effectExtent l="0" t="0" r="3810" b="3175"/>
                <wp:wrapNone/>
                <wp:docPr id="22" name="Textfeld 22"/>
                <wp:cNvGraphicFramePr/>
                <a:graphic xmlns:a="http://schemas.openxmlformats.org/drawingml/2006/main">
                  <a:graphicData uri="http://schemas.microsoft.com/office/word/2010/wordprocessingShape">
                    <wps:wsp>
                      <wps:cNvSpPr txBox="1"/>
                      <wps:spPr>
                        <a:xfrm>
                          <a:off x="0" y="0"/>
                          <a:ext cx="1888565" cy="1546698"/>
                        </a:xfrm>
                        <a:prstGeom prst="rect">
                          <a:avLst/>
                        </a:prstGeom>
                        <a:solidFill>
                          <a:schemeClr val="lt1"/>
                        </a:solidFill>
                        <a:ln w="6350">
                          <a:noFill/>
                        </a:ln>
                      </wps:spPr>
                      <wps:txbx>
                        <w:txbxContent>
                          <w:p w14:paraId="3701F5D3" w14:textId="42E952F3" w:rsidR="006058CE" w:rsidRDefault="00A36FF0" w:rsidP="00A36FF0">
                            <w:pPr>
                              <w:spacing w:after="160" w:line="259" w:lineRule="auto"/>
                              <w:jc w:val="both"/>
                              <w:rPr>
                                <w:rFonts w:eastAsiaTheme="minorHAnsi"/>
                                <w:lang w:eastAsia="en-US"/>
                              </w:rPr>
                            </w:pPr>
                            <w:r w:rsidRPr="008A66E3">
                              <w:rPr>
                                <w:rFonts w:eastAsiaTheme="minorHAnsi"/>
                                <w:b/>
                                <w:lang w:eastAsia="en-US"/>
                              </w:rPr>
                              <w:t xml:space="preserve">Bild </w:t>
                            </w:r>
                            <w:r>
                              <w:rPr>
                                <w:rFonts w:eastAsiaTheme="minorHAnsi"/>
                                <w:b/>
                                <w:lang w:eastAsia="en-US"/>
                              </w:rPr>
                              <w:t>3</w:t>
                            </w:r>
                            <w:r w:rsidRPr="008A66E3">
                              <w:rPr>
                                <w:rFonts w:eastAsiaTheme="minorHAnsi"/>
                                <w:lang w:eastAsia="en-US"/>
                              </w:rPr>
                              <w:t xml:space="preserve"> Mit diesem Installationstester lassen sich bereits allstromsensitive RCD</w:t>
                            </w:r>
                            <w:r w:rsidR="00A86BFA">
                              <w:rPr>
                                <w:rFonts w:eastAsiaTheme="minorHAnsi"/>
                                <w:lang w:eastAsia="en-US"/>
                              </w:rPr>
                              <w:t>s</w:t>
                            </w:r>
                            <w:r w:rsidRPr="008A66E3">
                              <w:rPr>
                                <w:rFonts w:eastAsiaTheme="minorHAnsi"/>
                                <w:lang w:eastAsia="en-US"/>
                              </w:rPr>
                              <w:t xml:space="preserve"> prüfen – das ist noch längst nicht selbstverständlich</w:t>
                            </w:r>
                          </w:p>
                          <w:p w14:paraId="29A87A78" w14:textId="491EA08C" w:rsidR="006058CE" w:rsidRPr="004A08F8" w:rsidRDefault="006058CE" w:rsidP="00A36FF0">
                            <w:pPr>
                              <w:spacing w:after="160" w:line="259" w:lineRule="auto"/>
                              <w:jc w:val="both"/>
                              <w:rPr>
                                <w:rFonts w:eastAsiaTheme="minorHAnsi"/>
                                <w:lang w:eastAsia="en-US"/>
                              </w:rPr>
                            </w:pPr>
                            <w:r>
                              <w:rPr>
                                <w:rFonts w:eastAsiaTheme="minorHAnsi"/>
                                <w:lang w:eastAsia="en-US"/>
                              </w:rPr>
                              <w:t>(Quelle: R. O. E. GmbH)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E1F874" id="_x0000_t202" coordsize="21600,21600" o:spt="202" path="m,l,21600r21600,l21600,xe">
                <v:stroke joinstyle="miter"/>
                <v:path gradientshapeok="t" o:connecttype="rect"/>
              </v:shapetype>
              <v:shape id="Textfeld 22" o:spid="_x0000_s1026" type="#_x0000_t202" style="position:absolute;left:0;text-align:left;margin-left:314pt;margin-top:299.65pt;width:148.7pt;height:12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" fillcolor="white [3201]" stroked="f" strokeweight=".5pt">
                <v:textbox>
                  <w:txbxContent>
                    <w:p w14:paraId="3701F5D3" w14:textId="42E952F3" w:rsidR="006058CE" w:rsidRDefault="00A36FF0" w:rsidP="00A36FF0">
                      <w:pPr>
                        <w:spacing w:after="160" w:line="259" w:lineRule="auto"/>
                        <w:jc w:val="both"/>
                        <w:rPr>
                          <w:rFonts w:eastAsiaTheme="minorHAnsi"/>
                          <w:lang w:eastAsia="en-US"/>
                        </w:rPr>
                      </w:pPr>
                      <w:r w:rsidRPr="008A66E3">
                        <w:rPr>
                          <w:rFonts w:eastAsiaTheme="minorHAnsi"/>
                          <w:b/>
                          <w:lang w:eastAsia="en-US"/>
                        </w:rPr>
                        <w:t xml:space="preserve">Bild </w:t>
                      </w:r>
                      <w:r>
                        <w:rPr>
                          <w:rFonts w:eastAsiaTheme="minorHAnsi"/>
                          <w:b/>
                          <w:lang w:eastAsia="en-US"/>
                        </w:rPr>
                        <w:t>3</w:t>
                      </w:r>
                      <w:r w:rsidRPr="008A66E3">
                        <w:rPr>
                          <w:rFonts w:eastAsiaTheme="minorHAnsi"/>
                          <w:lang w:eastAsia="en-US"/>
                        </w:rPr>
                        <w:t xml:space="preserve"> Mit diesem Installationstester lassen sich bereits allstromsensitive RCD</w:t>
                      </w:r>
                      <w:r w:rsidR="00A86BFA">
                        <w:rPr>
                          <w:rFonts w:eastAsiaTheme="minorHAnsi"/>
                          <w:lang w:eastAsia="en-US"/>
                        </w:rPr>
                        <w:t>s</w:t>
                      </w:r>
                      <w:r w:rsidRPr="008A66E3">
                        <w:rPr>
                          <w:rFonts w:eastAsiaTheme="minorHAnsi"/>
                          <w:lang w:eastAsia="en-US"/>
                        </w:rPr>
                        <w:t xml:space="preserve"> prüfen – das ist noch längst nicht selbstverständlich</w:t>
                      </w:r>
                    </w:p>
                    <w:p w14:paraId="29A87A78" w14:textId="491EA08C" w:rsidR="006058CE" w:rsidRPr="004A08F8" w:rsidRDefault="006058CE" w:rsidP="00A36FF0">
                      <w:pPr>
                        <w:spacing w:after="160" w:line="259" w:lineRule="auto"/>
                        <w:jc w:val="both"/>
                        <w:rPr>
                          <w:rFonts w:eastAsiaTheme="minorHAnsi"/>
                          <w:lang w:eastAsia="en-US"/>
                        </w:rPr>
                      </w:pPr>
                      <w:r>
                        <w:rPr>
                          <w:rFonts w:eastAsiaTheme="minorHAnsi"/>
                          <w:lang w:eastAsia="en-US"/>
                        </w:rPr>
                        <w:t>(Quelle: R. O. E. GmbH)</w:t>
                      </w:r>
                    </w:p>
                  </w:txbxContent>
                </v:textbox>
              </v:shape>
            </w:pict>
          </mc:Fallback>
        </mc:AlternateContent>
      </w:r>
      <w:r w:rsidRPr="00133F1F">
        <w:rPr>
          <w:rFonts w:asciiTheme="minorHAnsi" w:eastAsiaTheme="minorHAnsi" w:hAnsiTheme="minorHAnsi" w:cstheme="minorBidi"/>
          <w:noProof/>
          <w:lang w:eastAsia="en-US"/>
        </w:rPr>
        <w:drawing>
          <wp:inline distT="0" distB="0" distL="0" distR="0" wp14:anchorId="6247F543" wp14:editId="7D990864">
            <wp:extent cx="4440555" cy="4476750"/>
            <wp:effectExtent l="0" t="0" r="4445"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440555" cy="4476750"/>
                    </a:xfrm>
                    <a:prstGeom prst="rect">
                      <a:avLst/>
                    </a:prstGeom>
                  </pic:spPr>
                </pic:pic>
              </a:graphicData>
            </a:graphic>
          </wp:inline>
        </w:drawing>
      </w:r>
      <w:r w:rsidRPr="00C278D8">
        <w:rPr>
          <w:rFonts w:asciiTheme="minorHAnsi" w:eastAsiaTheme="minorHAnsi" w:hAnsiTheme="minorHAnsi" w:cstheme="minorBidi"/>
          <w:b/>
          <w:noProof/>
          <w:szCs w:val="24"/>
          <w:lang w:eastAsia="en-US"/>
        </w:rPr>
        <mc:AlternateContent>
          <mc:Choice Requires="wps">
            <w:drawing>
              <wp:anchor distT="45720" distB="45720" distL="114300" distR="114300" simplePos="0" relativeHeight="251663360" behindDoc="1" locked="0" layoutInCell="1" allowOverlap="1" wp14:anchorId="72E3EA99" wp14:editId="2CABDC9B">
                <wp:simplePos x="0" y="0"/>
                <wp:positionH relativeFrom="column">
                  <wp:posOffset>-47883</wp:posOffset>
                </wp:positionH>
                <wp:positionV relativeFrom="paragraph">
                  <wp:posOffset>107053</wp:posOffset>
                </wp:positionV>
                <wp:extent cx="2360930" cy="1404620"/>
                <wp:effectExtent l="0" t="0" r="20320" b="14605"/>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ysClr val="window" lastClr="FFFFFF"/>
                          </a:solidFill>
                          <a:miter lim="800000"/>
                          <a:headEnd/>
                          <a:tailEnd/>
                        </a:ln>
                      </wps:spPr>
                      <wps:txbx>
                        <w:txbxContent>
                          <w:p w14:paraId="5CC2AFF3" w14:textId="77777777" w:rsidR="00A36FF0" w:rsidRPr="008A66E3" w:rsidRDefault="00A36FF0" w:rsidP="00A36FF0">
                            <w:r w:rsidRPr="008A66E3">
                              <w:rPr>
                                <w:rFonts w:eastAsiaTheme="minorHAnsi"/>
                                <w:lang w:eastAsia="en-US"/>
                              </w:rPr>
                              <w:t>(Quelle: MEBEDO/Lochthofen)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2E3EA99" id="Textfeld 2" o:spid="_x0000_s1027" type="#_x0000_t202" style="position:absolute;left:0;text-align:left;margin-left:-3.75pt;margin-top:8.45pt;width:185.9pt;height:110.6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" strokecolor="window">
                <v:textbox style="mso-fit-shape-to-text:t">
                  <w:txbxContent>
                    <w:p w14:paraId="5CC2AFF3" w14:textId="77777777" w:rsidR="00A36FF0" w:rsidRPr="008A66E3" w:rsidRDefault="00A36FF0" w:rsidP="00A36FF0">
                      <w:r w:rsidRPr="008A66E3">
                        <w:rPr>
                          <w:rFonts w:eastAsiaTheme="minorHAnsi"/>
                          <w:lang w:eastAsia="en-US"/>
                        </w:rPr>
                        <w:t>(Quelle: MEBEDO/Lochthofen)</w:t>
                      </w:r>
                    </w:p>
                  </w:txbxContent>
                </v:textbox>
              </v:shape>
            </w:pict>
          </mc:Fallback>
        </mc:AlternateContent>
      </w:r>
    </w:p>
    <w:p w14:paraId="1508A4F3" w14:textId="77777777" w:rsidR="006528B9" w:rsidRDefault="006528B9" w:rsidP="00A36FF0">
      <w:pPr>
        <w:spacing w:line="259" w:lineRule="auto"/>
        <w:jc w:val="both"/>
        <w:rPr>
          <w:rFonts w:eastAsiaTheme="minorHAnsi"/>
          <w:b/>
          <w:szCs w:val="24"/>
          <w:lang w:eastAsia="en-US"/>
        </w:rPr>
      </w:pPr>
      <w:r>
        <w:rPr>
          <w:rFonts w:eastAsiaTheme="minorHAnsi"/>
          <w:b/>
          <w:szCs w:val="24"/>
          <w:lang w:eastAsia="en-US"/>
        </w:rPr>
        <w:br w:type="page"/>
      </w:r>
    </w:p>
    <w:p w14:paraId="5B9FFC96" w14:textId="54607F83" w:rsidR="00A36FF0" w:rsidRPr="00DC419B" w:rsidRDefault="00A36FF0" w:rsidP="00A36FF0">
      <w:pPr>
        <w:spacing w:line="259" w:lineRule="auto"/>
        <w:jc w:val="both"/>
        <w:rPr>
          <w:rFonts w:eastAsiaTheme="minorHAnsi"/>
          <w:b/>
          <w:szCs w:val="24"/>
          <w:lang w:eastAsia="en-US"/>
        </w:rPr>
      </w:pPr>
      <w:r w:rsidRPr="00DC419B">
        <w:rPr>
          <w:rFonts w:eastAsiaTheme="minorHAnsi"/>
          <w:b/>
          <w:szCs w:val="24"/>
          <w:lang w:eastAsia="en-US"/>
        </w:rPr>
        <w:lastRenderedPageBreak/>
        <w:t xml:space="preserve">Zugelassene Leitungsbauarten </w:t>
      </w:r>
    </w:p>
    <w:p w14:paraId="0254AC8C" w14:textId="77777777" w:rsidR="00A86BFA" w:rsidRDefault="00A36FF0" w:rsidP="00A36FF0">
      <w:pPr>
        <w:spacing w:line="259" w:lineRule="auto"/>
        <w:jc w:val="both"/>
        <w:rPr>
          <w:rFonts w:eastAsiaTheme="minorHAnsi"/>
          <w:lang w:eastAsia="en-US"/>
        </w:rPr>
      </w:pPr>
      <w:r w:rsidRPr="00DC419B">
        <w:rPr>
          <w:rFonts w:eastAsiaTheme="minorHAnsi"/>
          <w:lang w:eastAsia="en-US"/>
        </w:rPr>
        <w:t xml:space="preserve">Schon seit vielen Jahren fordert die Normung, dass flexible Leitungen der Bauart „H07RN-F oder gleichwertig“ beständig gegen Abnutzung oder Wasser sein müssen. Für die Praxis bedeutet </w:t>
      </w:r>
      <w:r>
        <w:rPr>
          <w:rFonts w:eastAsiaTheme="minorHAnsi"/>
          <w:lang w:eastAsia="en-US"/>
        </w:rPr>
        <w:t>diese Forderung</w:t>
      </w:r>
      <w:r w:rsidRPr="00DC419B">
        <w:rPr>
          <w:rFonts w:eastAsiaTheme="minorHAnsi"/>
          <w:lang w:eastAsia="en-US"/>
        </w:rPr>
        <w:t xml:space="preserve">, dass neben der schweren Gummischlauchleitung H07RN-F auch das besonders widerstandsfähige NSSHÖU verwendet werden kann. </w:t>
      </w:r>
    </w:p>
    <w:p w14:paraId="205F0567" w14:textId="77777777" w:rsidR="00A86BFA" w:rsidRDefault="00A86BFA" w:rsidP="00A36FF0">
      <w:pPr>
        <w:spacing w:line="259" w:lineRule="auto"/>
        <w:jc w:val="both"/>
        <w:rPr>
          <w:rFonts w:eastAsiaTheme="minorHAnsi"/>
          <w:lang w:eastAsia="en-US"/>
        </w:rPr>
      </w:pPr>
    </w:p>
    <w:p w14:paraId="47F5E434" w14:textId="0B1507C5" w:rsidR="00A36FF0" w:rsidRPr="00DC419B" w:rsidRDefault="00A86BFA" w:rsidP="00A36FF0">
      <w:pPr>
        <w:spacing w:line="259" w:lineRule="auto"/>
        <w:jc w:val="both"/>
        <w:rPr>
          <w:rFonts w:eastAsiaTheme="minorHAnsi"/>
          <w:lang w:eastAsia="en-US"/>
        </w:rPr>
      </w:pPr>
      <w:r>
        <w:rPr>
          <w:rFonts w:eastAsiaTheme="minorHAnsi"/>
          <w:lang w:eastAsia="en-US"/>
        </w:rPr>
        <w:t>d</w:t>
      </w:r>
      <w:r w:rsidR="00A36FF0" w:rsidRPr="00DC419B">
        <w:rPr>
          <w:rFonts w:eastAsiaTheme="minorHAnsi"/>
          <w:lang w:eastAsia="en-US"/>
        </w:rPr>
        <w:t>Mit der neuen Ausgabe</w:t>
      </w:r>
      <w:r>
        <w:rPr>
          <w:rFonts w:eastAsiaTheme="minorHAnsi"/>
          <w:lang w:eastAsia="en-US"/>
        </w:rPr>
        <w:t xml:space="preserve"> der</w:t>
      </w:r>
      <w:r w:rsidR="00A36FF0" w:rsidRPr="00DC419B">
        <w:rPr>
          <w:rFonts w:eastAsiaTheme="minorHAnsi"/>
          <w:lang w:eastAsia="en-US"/>
        </w:rPr>
        <w:t xml:space="preserve"> DIN VDE 0100-704 (VDE 0100-704) [3] wurde nun auch die Polyuretanleitung H07BQ-F mit aufgenommen, die im Gegensatz zur Gummischlauchleitung allerdings nicht beständig gegenüber großer Hitze </w:t>
      </w:r>
      <w:r w:rsidR="00A36FF0">
        <w:rPr>
          <w:rFonts w:eastAsiaTheme="minorHAnsi"/>
          <w:lang w:eastAsia="en-US"/>
        </w:rPr>
        <w:t>ist. Deshalb sollte dieser Leitungs</w:t>
      </w:r>
      <w:r w:rsidR="00A36FF0" w:rsidRPr="00DC419B">
        <w:rPr>
          <w:rFonts w:eastAsiaTheme="minorHAnsi"/>
          <w:lang w:eastAsia="en-US"/>
        </w:rPr>
        <w:t>typ auch nie an Schweißgeräten oder in der unmittelbaren Umgebung von Schweißarbeitsplätzen eingesetzt werden, da es sonst zu einem Schmelzen der Leitung kommen kann. Weiterhin nicht zugelassen ist</w:t>
      </w:r>
      <w:r>
        <w:rPr>
          <w:rFonts w:eastAsiaTheme="minorHAnsi"/>
          <w:lang w:eastAsia="en-US"/>
        </w:rPr>
        <w:t>,</w:t>
      </w:r>
      <w:r w:rsidR="00A36FF0" w:rsidRPr="00DC419B">
        <w:rPr>
          <w:rFonts w:eastAsiaTheme="minorHAnsi"/>
          <w:lang w:eastAsia="en-US"/>
        </w:rPr>
        <w:t xml:space="preserve"> da</w:t>
      </w:r>
      <w:r>
        <w:rPr>
          <w:rFonts w:eastAsiaTheme="minorHAnsi"/>
          <w:lang w:eastAsia="en-US"/>
        </w:rPr>
        <w:t>s</w:t>
      </w:r>
      <w:r w:rsidR="00A36FF0" w:rsidRPr="00DC419B">
        <w:rPr>
          <w:rFonts w:eastAsiaTheme="minorHAnsi"/>
          <w:lang w:eastAsia="en-US"/>
        </w:rPr>
        <w:t>s aus Österreich stammende N07V3V3-F, eine besonders schwere Form der PVC-Schlauchleitung. Sie wird gerne auch in deutschen Baumärkten unter der Überschrift „Baustellenleitung“ vertrieben. Diese Leitung ist jedoch weder nach VDE noch den Regelwerken der DGUV auf deutschen Baustellen zulässig.</w:t>
      </w:r>
    </w:p>
    <w:p w14:paraId="3F367250" w14:textId="77777777" w:rsidR="006058CE" w:rsidRDefault="006058CE" w:rsidP="00A36FF0">
      <w:pPr>
        <w:spacing w:line="259" w:lineRule="auto"/>
        <w:jc w:val="both"/>
        <w:rPr>
          <w:rFonts w:asciiTheme="minorHAnsi" w:eastAsiaTheme="minorHAnsi" w:hAnsiTheme="minorHAnsi" w:cstheme="minorBidi"/>
          <w:b/>
          <w:lang w:eastAsia="en-US"/>
        </w:rPr>
      </w:pPr>
    </w:p>
    <w:p w14:paraId="29A9157C" w14:textId="5F091BD1" w:rsidR="00A36FF0" w:rsidRPr="00DC419B" w:rsidRDefault="00A36FF0" w:rsidP="00A36FF0">
      <w:pPr>
        <w:spacing w:line="259" w:lineRule="auto"/>
        <w:jc w:val="both"/>
        <w:rPr>
          <w:rFonts w:eastAsiaTheme="minorHAnsi"/>
          <w:b/>
          <w:szCs w:val="24"/>
          <w:lang w:eastAsia="en-US"/>
        </w:rPr>
      </w:pPr>
      <w:r w:rsidRPr="00DC419B">
        <w:rPr>
          <w:rFonts w:eastAsiaTheme="minorHAnsi"/>
          <w:b/>
          <w:szCs w:val="24"/>
          <w:lang w:eastAsia="en-US"/>
        </w:rPr>
        <w:t xml:space="preserve">Übergangsfrist </w:t>
      </w:r>
    </w:p>
    <w:p w14:paraId="56A9F49C" w14:textId="2EA5C165" w:rsidR="00A36FF0" w:rsidRPr="00DC419B" w:rsidRDefault="006058CE" w:rsidP="00A36FF0">
      <w:pPr>
        <w:spacing w:line="259" w:lineRule="auto"/>
        <w:jc w:val="both"/>
        <w:rPr>
          <w:rFonts w:eastAsiaTheme="minorHAnsi"/>
          <w:lang w:eastAsia="en-US"/>
        </w:rPr>
      </w:pPr>
      <w:r w:rsidRPr="00DC419B">
        <w:rPr>
          <w:rFonts w:eastAsiaTheme="minorHAnsi"/>
          <w:noProof/>
          <w:lang w:eastAsia="en-US"/>
        </w:rPr>
        <w:drawing>
          <wp:anchor distT="0" distB="0" distL="114300" distR="114300" simplePos="0" relativeHeight="251676672" behindDoc="0" locked="0" layoutInCell="1" allowOverlap="1" wp14:anchorId="7C2D7C3F" wp14:editId="13553BA3">
            <wp:simplePos x="0" y="0"/>
            <wp:positionH relativeFrom="margin">
              <wp:posOffset>3315335</wp:posOffset>
            </wp:positionH>
            <wp:positionV relativeFrom="paragraph">
              <wp:posOffset>1384975</wp:posOffset>
            </wp:positionV>
            <wp:extent cx="2772410" cy="2835275"/>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72410" cy="2835275"/>
                    </a:xfrm>
                    <a:prstGeom prst="rect">
                      <a:avLst/>
                    </a:prstGeom>
                  </pic:spPr>
                </pic:pic>
              </a:graphicData>
            </a:graphic>
            <wp14:sizeRelH relativeFrom="margin">
              <wp14:pctWidth>0</wp14:pctWidth>
            </wp14:sizeRelH>
            <wp14:sizeRelV relativeFrom="margin">
              <wp14:pctHeight>0</wp14:pctHeight>
            </wp14:sizeRelV>
          </wp:anchor>
        </w:drawing>
      </w:r>
      <w:r w:rsidR="00A36FF0" w:rsidRPr="00DC419B">
        <w:rPr>
          <w:rFonts w:eastAsiaTheme="minorHAnsi"/>
          <w:lang w:eastAsia="en-US"/>
        </w:rPr>
        <w:t xml:space="preserve">In der Übergangszeit bis zum 18.05.2021 sind weiterhin beide Normen gültig. Bis zu diesem Datum dürfen also auch Baustromanlagen nach der alten Norm aufgebaut werden. Danach dürfen Baustromanlagen nach alter Norm nicht mehr geändert werden, </w:t>
      </w:r>
      <w:r w:rsidR="00A36FF0" w:rsidRPr="00510725">
        <w:rPr>
          <w:rFonts w:eastAsiaTheme="minorHAnsi"/>
          <w:b/>
          <w:lang w:eastAsia="en-US"/>
        </w:rPr>
        <w:t>ohne</w:t>
      </w:r>
      <w:r w:rsidR="00A36FF0" w:rsidRPr="00DC419B">
        <w:rPr>
          <w:rFonts w:eastAsiaTheme="minorHAnsi"/>
          <w:lang w:eastAsia="en-US"/>
        </w:rPr>
        <w:t xml:space="preserve"> sie an die neue Norm anzupassen. Bei einer „Kombination“ aus alten und neuen Baustromverteilern muss beachtet werden, dass bereits in der DIN VDE 0100-530 (VDE 0100530):2011-06 [5] im Abschnitt 531.3.1 früher folge</w:t>
      </w:r>
      <w:r w:rsidR="00A36FF0">
        <w:rPr>
          <w:rFonts w:eastAsiaTheme="minorHAnsi"/>
          <w:lang w:eastAsia="en-US"/>
        </w:rPr>
        <w:t>nde Festlegung getroffen wurde:</w:t>
      </w:r>
      <w:r w:rsidR="00A36FF0" w:rsidRPr="00DC419B">
        <w:rPr>
          <w:rFonts w:eastAsiaTheme="minorHAnsi"/>
          <w:lang w:eastAsia="en-US"/>
        </w:rPr>
        <w:t xml:space="preserve"> </w:t>
      </w:r>
      <w:r w:rsidR="00A36FF0">
        <w:rPr>
          <w:rFonts w:eastAsiaTheme="minorHAnsi"/>
          <w:lang w:eastAsia="en-US"/>
        </w:rPr>
        <w:t>„Den Fehlerstrom</w:t>
      </w:r>
      <w:r>
        <w:rPr>
          <w:rFonts w:eastAsiaTheme="minorHAnsi"/>
          <w:lang w:eastAsia="en-US"/>
        </w:rPr>
        <w:t xml:space="preserve"> </w:t>
      </w:r>
      <w:r w:rsidR="00A36FF0">
        <w:rPr>
          <w:rFonts w:eastAsiaTheme="minorHAnsi"/>
          <w:lang w:eastAsia="en-US"/>
        </w:rPr>
        <w:t>S</w:t>
      </w:r>
      <w:r w:rsidR="00A36FF0" w:rsidRPr="00DC419B">
        <w:rPr>
          <w:rFonts w:eastAsiaTheme="minorHAnsi"/>
          <w:lang w:eastAsia="en-US"/>
        </w:rPr>
        <w:t>chutzeinrichtungen (RCDs) des Typs B und</w:t>
      </w:r>
      <w:r w:rsidR="00A36FF0">
        <w:rPr>
          <w:rFonts w:eastAsiaTheme="minorHAnsi"/>
          <w:lang w:eastAsia="en-US"/>
        </w:rPr>
        <w:t xml:space="preserve"> des Typs B+ dürfen Fehlerstrom</w:t>
      </w:r>
      <w:r>
        <w:rPr>
          <w:rFonts w:eastAsiaTheme="minorHAnsi"/>
          <w:lang w:eastAsia="en-US"/>
        </w:rPr>
        <w:t xml:space="preserve"> </w:t>
      </w:r>
      <w:r w:rsidR="00A36FF0">
        <w:rPr>
          <w:rFonts w:eastAsiaTheme="minorHAnsi"/>
          <w:lang w:eastAsia="en-US"/>
        </w:rPr>
        <w:t>S</w:t>
      </w:r>
      <w:r w:rsidR="00A36FF0" w:rsidRPr="00DC419B">
        <w:rPr>
          <w:rFonts w:eastAsiaTheme="minorHAnsi"/>
          <w:lang w:eastAsia="en-US"/>
        </w:rPr>
        <w:t>chutzeinrichtungen (RCDs) des Typs</w:t>
      </w:r>
      <w:r w:rsidR="00A36FF0">
        <w:rPr>
          <w:rFonts w:eastAsiaTheme="minorHAnsi"/>
          <w:lang w:eastAsia="en-US"/>
        </w:rPr>
        <w:t> </w:t>
      </w:r>
      <w:r w:rsidR="00A36FF0" w:rsidRPr="00DC419B">
        <w:rPr>
          <w:rFonts w:eastAsiaTheme="minorHAnsi"/>
          <w:lang w:eastAsia="en-US"/>
        </w:rPr>
        <w:t>A nicht vorgeschaltet werden.“ Die sauberste Lösung besteht darin, unabhängige Versorgungsstränge aufzubauen</w:t>
      </w:r>
      <w:r w:rsidR="00A86BFA">
        <w:rPr>
          <w:rFonts w:eastAsiaTheme="minorHAnsi"/>
          <w:lang w:eastAsia="en-US"/>
        </w:rPr>
        <w:t>.</w:t>
      </w:r>
      <w:r w:rsidR="00A36FF0" w:rsidRPr="00DC419B">
        <w:rPr>
          <w:rFonts w:eastAsiaTheme="minorHAnsi"/>
          <w:lang w:eastAsia="en-US"/>
        </w:rPr>
        <w:t xml:space="preserve"> </w:t>
      </w:r>
      <w:r w:rsidR="00A86BFA">
        <w:rPr>
          <w:rFonts w:eastAsiaTheme="minorHAnsi"/>
          <w:lang w:eastAsia="en-US"/>
        </w:rPr>
        <w:t>E</w:t>
      </w:r>
      <w:r w:rsidR="00A36FF0" w:rsidRPr="00DC419B">
        <w:rPr>
          <w:rFonts w:eastAsiaTheme="minorHAnsi"/>
          <w:lang w:eastAsia="en-US"/>
        </w:rPr>
        <w:t xml:space="preserve">ntweder nur mit RCD Typ A oder nur mit RCD Typ B </w:t>
      </w:r>
      <w:r w:rsidR="00A36FF0" w:rsidRPr="00DC419B">
        <w:rPr>
          <w:rFonts w:eastAsiaTheme="minorHAnsi"/>
          <w:b/>
          <w:lang w:eastAsia="en-US"/>
        </w:rPr>
        <w:t xml:space="preserve">(Bild </w:t>
      </w:r>
      <w:r>
        <w:rPr>
          <w:rFonts w:eastAsiaTheme="minorHAnsi"/>
          <w:b/>
          <w:lang w:eastAsia="en-US"/>
        </w:rPr>
        <w:t>4</w:t>
      </w:r>
      <w:r w:rsidR="00A36FF0" w:rsidRPr="00DC419B">
        <w:rPr>
          <w:rFonts w:eastAsiaTheme="minorHAnsi"/>
          <w:b/>
          <w:lang w:eastAsia="en-US"/>
        </w:rPr>
        <w:t>)</w:t>
      </w:r>
      <w:r w:rsidR="00A36FF0" w:rsidRPr="00DC419B">
        <w:rPr>
          <w:rFonts w:eastAsiaTheme="minorHAnsi"/>
          <w:lang w:eastAsia="en-US"/>
        </w:rPr>
        <w:t>.</w:t>
      </w:r>
      <w:r w:rsidR="00A36FF0" w:rsidRPr="00DC419B">
        <w:rPr>
          <w:rFonts w:eastAsiaTheme="minorHAnsi"/>
          <w:b/>
          <w:lang w:eastAsia="en-US"/>
        </w:rPr>
        <w:t xml:space="preserve"> </w:t>
      </w:r>
      <w:r w:rsidR="00A36FF0" w:rsidRPr="00DC419B">
        <w:rPr>
          <w:rFonts w:eastAsiaTheme="minorHAnsi"/>
          <w:lang w:eastAsia="en-US"/>
        </w:rPr>
        <w:t>Wenn ein RCD Typ B vor einem RCD Typ A eingebaut ist, dürfen keine frequenzgeführten Betriebsmittel hinter dem Typ A angeschlossen werden, denn dann besteht die Möglichkeit, dass glatte Gleichfehlerströme die Auslösung des vorgeschalteten RCD Typ A verhindern. Wenige Milliampere eines Gleichstroms können schon</w:t>
      </w:r>
      <w:r w:rsidR="00A36FF0">
        <w:rPr>
          <w:rFonts w:eastAsiaTheme="minorHAnsi"/>
          <w:lang w:eastAsia="en-US"/>
        </w:rPr>
        <w:t xml:space="preserve"> d</w:t>
      </w:r>
      <w:r w:rsidR="00A36FF0" w:rsidRPr="00DC419B">
        <w:rPr>
          <w:rFonts w:eastAsiaTheme="minorHAnsi"/>
          <w:lang w:eastAsia="en-US"/>
        </w:rPr>
        <w:t>azu führen, dass RCDs Typ A nur noch sehr langsam oder gar nicht mehr auslösen.</w:t>
      </w:r>
      <w:r w:rsidR="00A36FF0">
        <w:rPr>
          <w:rFonts w:eastAsiaTheme="minorHAnsi"/>
          <w:lang w:eastAsia="en-US"/>
        </w:rPr>
        <w:t xml:space="preserve"> Sie werden in die magnetische Sättigung gefahren.</w:t>
      </w:r>
    </w:p>
    <w:p w14:paraId="5119F836" w14:textId="3EC010D3" w:rsidR="00A36FF0" w:rsidRDefault="00A36FF0" w:rsidP="00A36FF0">
      <w:pPr>
        <w:spacing w:after="160" w:line="259" w:lineRule="auto"/>
        <w:jc w:val="both"/>
        <w:rPr>
          <w:rFonts w:eastAsiaTheme="minorHAnsi"/>
          <w:b/>
          <w:lang w:eastAsia="en-US"/>
        </w:rPr>
      </w:pPr>
    </w:p>
    <w:p w14:paraId="56B78563" w14:textId="77777777" w:rsidR="006528B9" w:rsidRDefault="006528B9" w:rsidP="00A36FF0">
      <w:pPr>
        <w:spacing w:line="259" w:lineRule="auto"/>
        <w:jc w:val="both"/>
        <w:rPr>
          <w:rFonts w:eastAsiaTheme="minorHAnsi"/>
          <w:b/>
          <w:szCs w:val="24"/>
          <w:lang w:eastAsia="en-US"/>
        </w:rPr>
      </w:pPr>
      <w:r>
        <w:rPr>
          <w:rFonts w:eastAsiaTheme="minorHAnsi"/>
          <w:b/>
          <w:szCs w:val="24"/>
          <w:lang w:eastAsia="en-US"/>
        </w:rPr>
        <w:br w:type="page"/>
      </w:r>
    </w:p>
    <w:p w14:paraId="58CE4B44" w14:textId="0A9023BB" w:rsidR="00A36FF0" w:rsidRPr="00DC419B" w:rsidRDefault="00A36FF0" w:rsidP="00A36FF0">
      <w:pPr>
        <w:spacing w:line="259" w:lineRule="auto"/>
        <w:jc w:val="both"/>
        <w:rPr>
          <w:rFonts w:eastAsiaTheme="minorHAnsi"/>
          <w:b/>
          <w:szCs w:val="24"/>
          <w:lang w:eastAsia="en-US"/>
        </w:rPr>
      </w:pPr>
      <w:r w:rsidRPr="00DC419B">
        <w:rPr>
          <w:rFonts w:eastAsiaTheme="minorHAnsi"/>
          <w:b/>
          <w:szCs w:val="24"/>
          <w:lang w:eastAsia="en-US"/>
        </w:rPr>
        <w:lastRenderedPageBreak/>
        <w:t xml:space="preserve">Fazit </w:t>
      </w:r>
    </w:p>
    <w:p w14:paraId="7D2A4232" w14:textId="27F91AE2" w:rsidR="00A36FF0" w:rsidRDefault="00A36FF0" w:rsidP="00A36FF0">
      <w:pPr>
        <w:spacing w:line="259" w:lineRule="auto"/>
        <w:jc w:val="both"/>
        <w:rPr>
          <w:rFonts w:eastAsiaTheme="minorHAnsi"/>
          <w:lang w:eastAsia="en-US"/>
        </w:rPr>
      </w:pPr>
      <w:r w:rsidRPr="00DC419B">
        <w:rPr>
          <w:rFonts w:eastAsiaTheme="minorHAnsi"/>
          <w:lang w:eastAsia="en-US"/>
        </w:rPr>
        <w:t xml:space="preserve">Die Änderungen in der Norm waren längst überfällig. Moderne Antriebstechniken in vielen Baugeräten erfordern zeitgemäße Schutzmaßnahmen bei der Stromversorgung. Auch der Hauptschalter ist in vielen Ländern Europas schon lange Pflicht – teilweise sogar als Not-Aus. Für viele Bauunternehmen bedeutet dies jedoch auch deutliche Investitionen. Um Elektrounfälle zu reduzieren bezuschusst die Berufsgenossenschaft der Bauwirtschaft (BG Bau) ihre Mitgliedsbetriebe bei </w:t>
      </w:r>
      <w:r>
        <w:rPr>
          <w:rFonts w:eastAsiaTheme="minorHAnsi"/>
          <w:lang w:eastAsia="en-US"/>
        </w:rPr>
        <w:t>der Anschaffung von Fehlerstrom-S</w:t>
      </w:r>
      <w:r w:rsidRPr="00DC419B">
        <w:rPr>
          <w:rFonts w:eastAsiaTheme="minorHAnsi"/>
          <w:lang w:eastAsia="en-US"/>
        </w:rPr>
        <w:t xml:space="preserve">chutzeinrichtungen </w:t>
      </w:r>
      <w:r w:rsidR="00A86BFA">
        <w:rPr>
          <w:rFonts w:eastAsiaTheme="minorHAnsi"/>
          <w:lang w:eastAsia="en-US"/>
        </w:rPr>
        <w:t xml:space="preserve">des </w:t>
      </w:r>
      <w:r w:rsidRPr="00DC419B">
        <w:rPr>
          <w:rFonts w:eastAsiaTheme="minorHAnsi"/>
          <w:lang w:eastAsia="en-US"/>
        </w:rPr>
        <w:t>(RCD) Typ</w:t>
      </w:r>
      <w:r w:rsidR="00A86BFA">
        <w:rPr>
          <w:rFonts w:eastAsiaTheme="minorHAnsi"/>
          <w:lang w:eastAsia="en-US"/>
        </w:rPr>
        <w:t>s</w:t>
      </w:r>
      <w:r w:rsidRPr="00DC419B">
        <w:rPr>
          <w:rFonts w:eastAsiaTheme="minorHAnsi"/>
          <w:lang w:eastAsia="en-US"/>
        </w:rPr>
        <w:t xml:space="preserve"> B.</w:t>
      </w:r>
    </w:p>
    <w:p w14:paraId="593A77D7" w14:textId="77777777" w:rsidR="00A36FF0" w:rsidRPr="00DC419B" w:rsidRDefault="00A36FF0" w:rsidP="00A36FF0">
      <w:pPr>
        <w:spacing w:line="259" w:lineRule="auto"/>
        <w:jc w:val="both"/>
        <w:rPr>
          <w:rFonts w:eastAsiaTheme="minorHAnsi"/>
          <w:lang w:eastAsia="en-US"/>
        </w:rPr>
      </w:pPr>
    </w:p>
    <w:p w14:paraId="331460BA" w14:textId="1A8905C1" w:rsidR="00A36FF0" w:rsidRPr="00DC419B" w:rsidRDefault="00A36FF0" w:rsidP="00A36FF0">
      <w:pPr>
        <w:spacing w:line="259" w:lineRule="auto"/>
        <w:jc w:val="both"/>
        <w:rPr>
          <w:rFonts w:eastAsiaTheme="minorHAnsi"/>
          <w:lang w:eastAsia="en-US"/>
        </w:rPr>
      </w:pPr>
      <w:r w:rsidRPr="00DC419B">
        <w:rPr>
          <w:rFonts w:eastAsiaTheme="minorHAnsi"/>
          <w:lang w:eastAsia="en-US"/>
        </w:rPr>
        <w:t>Demnach sind die nun NEUEN Änderungen an die Baustromversorgung in den allermeisten Fällen nur mit einer Neuanschaffung der Baustromverteiler und geeigneter abgestimmter Ausstattung zu erreichen.</w:t>
      </w:r>
    </w:p>
    <w:p w14:paraId="2FCF8F72" w14:textId="77777777" w:rsidR="00A36FF0" w:rsidRPr="003C2E2F" w:rsidRDefault="00A36FF0" w:rsidP="00A36FF0">
      <w:pPr>
        <w:tabs>
          <w:tab w:val="left" w:pos="4053"/>
        </w:tabs>
        <w:spacing w:after="160" w:line="259" w:lineRule="auto"/>
        <w:jc w:val="both"/>
        <w:rPr>
          <w:rFonts w:eastAsiaTheme="minorHAnsi"/>
          <w:lang w:eastAsia="en-US"/>
        </w:rPr>
      </w:pPr>
      <w:r>
        <w:rPr>
          <w:noProof/>
        </w:rPr>
        <w:drawing>
          <wp:anchor distT="0" distB="0" distL="114300" distR="114300" simplePos="0" relativeHeight="251667456" behindDoc="0" locked="0" layoutInCell="1" allowOverlap="1" wp14:anchorId="36652DEA" wp14:editId="629F3A2E">
            <wp:simplePos x="0" y="0"/>
            <wp:positionH relativeFrom="column">
              <wp:posOffset>1291590</wp:posOffset>
            </wp:positionH>
            <wp:positionV relativeFrom="paragraph">
              <wp:posOffset>275590</wp:posOffset>
            </wp:positionV>
            <wp:extent cx="625475" cy="657225"/>
            <wp:effectExtent l="0" t="0" r="3175" b="952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25475" cy="657225"/>
                    </a:xfrm>
                    <a:prstGeom prst="rect">
                      <a:avLst/>
                    </a:prstGeom>
                  </pic:spPr>
                </pic:pic>
              </a:graphicData>
            </a:graphic>
            <wp14:sizeRelH relativeFrom="margin">
              <wp14:pctWidth>0</wp14:pctWidth>
            </wp14:sizeRelH>
            <wp14:sizeRelV relativeFrom="margin">
              <wp14:pctHeight>0</wp14:pctHeight>
            </wp14:sizeRelV>
          </wp:anchor>
        </w:drawing>
      </w:r>
    </w:p>
    <w:p w14:paraId="48BED404" w14:textId="77777777" w:rsidR="00A36FF0" w:rsidRPr="003F6144" w:rsidRDefault="00A36FF0" w:rsidP="00A36FF0">
      <w:pPr>
        <w:ind w:firstLine="708"/>
        <w:jc w:val="center"/>
        <w:rPr>
          <w:noProof/>
        </w:rPr>
      </w:pPr>
      <w:r>
        <w:rPr>
          <w:noProof/>
        </w:rPr>
        <w:drawing>
          <wp:inline distT="0" distB="0" distL="0" distR="0" wp14:anchorId="1187DE31" wp14:editId="2463AB5C">
            <wp:extent cx="3983064" cy="2983019"/>
            <wp:effectExtent l="0" t="0" r="0" b="825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64384" cy="3118814"/>
                    </a:xfrm>
                    <a:prstGeom prst="rect">
                      <a:avLst/>
                    </a:prstGeom>
                    <a:noFill/>
                    <a:ln>
                      <a:noFill/>
                    </a:ln>
                  </pic:spPr>
                </pic:pic>
              </a:graphicData>
            </a:graphic>
          </wp:inline>
        </w:drawing>
      </w:r>
    </w:p>
    <w:p w14:paraId="5BD881DB" w14:textId="5B57373D" w:rsidR="00A36FF0" w:rsidRPr="007046CE" w:rsidRDefault="00A36FF0" w:rsidP="00A36FF0">
      <w:pPr>
        <w:spacing w:after="160" w:line="259" w:lineRule="auto"/>
        <w:jc w:val="center"/>
        <w:rPr>
          <w:rFonts w:eastAsiaTheme="minorHAnsi"/>
          <w:lang w:eastAsia="en-US"/>
        </w:rPr>
      </w:pPr>
      <w:r>
        <w:rPr>
          <w:rFonts w:eastAsiaTheme="minorHAnsi"/>
          <w:b/>
          <w:lang w:eastAsia="en-US"/>
        </w:rPr>
        <w:t xml:space="preserve">Bild </w:t>
      </w:r>
      <w:r w:rsidR="006058CE">
        <w:rPr>
          <w:rFonts w:eastAsiaTheme="minorHAnsi"/>
          <w:b/>
          <w:lang w:eastAsia="en-US"/>
        </w:rPr>
        <w:t>5</w:t>
      </w:r>
      <w:r w:rsidRPr="007046CE">
        <w:rPr>
          <w:rFonts w:eastAsiaTheme="minorHAnsi"/>
          <w:lang w:eastAsia="en-US"/>
        </w:rPr>
        <w:t xml:space="preserve"> </w:t>
      </w:r>
      <w:r w:rsidRPr="00F760A0">
        <w:rPr>
          <w:rFonts w:eastAsiaTheme="minorHAnsi"/>
          <w:b/>
          <w:color w:val="00B050"/>
          <w:lang w:eastAsia="en-US"/>
        </w:rPr>
        <w:t>RCD Typ B</w:t>
      </w:r>
      <w:r w:rsidRPr="00F760A0">
        <w:rPr>
          <w:rFonts w:eastAsiaTheme="minorHAnsi"/>
          <w:color w:val="00B050"/>
          <w:lang w:eastAsia="en-US"/>
        </w:rPr>
        <w:t xml:space="preserve"> </w:t>
      </w:r>
      <w:r w:rsidRPr="007046CE">
        <w:rPr>
          <w:rFonts w:eastAsiaTheme="minorHAnsi"/>
          <w:lang w:eastAsia="en-US"/>
        </w:rPr>
        <w:t>(</w:t>
      </w:r>
      <w:r w:rsidR="006058CE">
        <w:rPr>
          <w:rFonts w:eastAsiaTheme="minorHAnsi"/>
          <w:lang w:eastAsia="en-US"/>
        </w:rPr>
        <w:t>Quelle: R. O. E. GmbH</w:t>
      </w:r>
      <w:r w:rsidRPr="007046CE">
        <w:rPr>
          <w:rFonts w:eastAsiaTheme="minorHAnsi"/>
          <w:lang w:eastAsia="en-US"/>
        </w:rPr>
        <w:t>)</w:t>
      </w:r>
    </w:p>
    <w:p w14:paraId="1BFA97AF" w14:textId="77777777" w:rsidR="00A36FF0" w:rsidRDefault="00A36FF0" w:rsidP="00A36FF0">
      <w:pPr>
        <w:spacing w:line="259" w:lineRule="auto"/>
        <w:jc w:val="both"/>
        <w:rPr>
          <w:rFonts w:eastAsiaTheme="minorHAnsi"/>
          <w:b/>
          <w:lang w:eastAsia="en-US"/>
        </w:rPr>
      </w:pPr>
    </w:p>
    <w:p w14:paraId="7799E857" w14:textId="77777777" w:rsidR="00A36FF0" w:rsidRPr="00DC419B" w:rsidRDefault="00A36FF0" w:rsidP="00A36FF0">
      <w:pPr>
        <w:spacing w:line="259" w:lineRule="auto"/>
        <w:jc w:val="both"/>
        <w:rPr>
          <w:rFonts w:eastAsiaTheme="minorHAnsi"/>
          <w:b/>
          <w:lang w:eastAsia="en-US"/>
        </w:rPr>
      </w:pPr>
      <w:r w:rsidRPr="00DC419B">
        <w:rPr>
          <w:rFonts w:eastAsiaTheme="minorHAnsi"/>
          <w:b/>
          <w:lang w:eastAsia="en-US"/>
        </w:rPr>
        <w:t xml:space="preserve">Literatur </w:t>
      </w:r>
    </w:p>
    <w:p w14:paraId="667354A7" w14:textId="77777777" w:rsidR="00A36FF0" w:rsidRPr="00DC419B" w:rsidRDefault="00A36FF0" w:rsidP="00A36FF0">
      <w:pPr>
        <w:spacing w:line="259" w:lineRule="auto"/>
        <w:jc w:val="both"/>
        <w:rPr>
          <w:rFonts w:eastAsiaTheme="minorHAnsi"/>
          <w:sz w:val="16"/>
          <w:szCs w:val="16"/>
          <w:lang w:eastAsia="en-US"/>
        </w:rPr>
      </w:pPr>
      <w:r w:rsidRPr="00DC419B">
        <w:rPr>
          <w:rFonts w:eastAsiaTheme="minorHAnsi"/>
          <w:sz w:val="16"/>
          <w:szCs w:val="16"/>
          <w:lang w:eastAsia="en-US"/>
        </w:rPr>
        <w:t xml:space="preserve">[1] DIN VDE 0100-704 (VDE 0100-704):2001-05 </w:t>
      </w:r>
      <w:r w:rsidRPr="00DC419B">
        <w:rPr>
          <w:rFonts w:eastAsiaTheme="minorHAnsi"/>
          <w:b/>
          <w:sz w:val="16"/>
          <w:szCs w:val="16"/>
          <w:lang w:eastAsia="en-US"/>
        </w:rPr>
        <w:t>(zurückgezogen)</w:t>
      </w:r>
      <w:r w:rsidRPr="00DC419B">
        <w:rPr>
          <w:rFonts w:eastAsiaTheme="minorHAnsi"/>
          <w:sz w:val="16"/>
          <w:szCs w:val="16"/>
          <w:lang w:eastAsia="en-US"/>
        </w:rPr>
        <w:t xml:space="preserve"> </w:t>
      </w:r>
    </w:p>
    <w:p w14:paraId="71837F07" w14:textId="77777777" w:rsidR="00A36FF0" w:rsidRPr="00DC419B" w:rsidRDefault="00A36FF0" w:rsidP="00A36FF0">
      <w:pPr>
        <w:spacing w:line="259" w:lineRule="auto"/>
        <w:jc w:val="both"/>
        <w:rPr>
          <w:rFonts w:eastAsiaTheme="minorHAnsi"/>
          <w:sz w:val="16"/>
          <w:szCs w:val="16"/>
          <w:lang w:eastAsia="en-US"/>
        </w:rPr>
      </w:pPr>
      <w:r w:rsidRPr="00DC419B">
        <w:rPr>
          <w:rFonts w:eastAsiaTheme="minorHAnsi"/>
          <w:sz w:val="16"/>
          <w:szCs w:val="16"/>
          <w:lang w:eastAsia="en-US"/>
        </w:rPr>
        <w:t xml:space="preserve">Errichten von Niederspannungsanlagen – Anforderungen für Betriebsstätten, Räume und Anlagen besonderer Art – Baustellen. </w:t>
      </w:r>
    </w:p>
    <w:p w14:paraId="5CAD331E" w14:textId="77777777" w:rsidR="00A36FF0" w:rsidRPr="00DC419B" w:rsidRDefault="00A36FF0" w:rsidP="00A36FF0">
      <w:pPr>
        <w:spacing w:line="259" w:lineRule="auto"/>
        <w:jc w:val="both"/>
        <w:rPr>
          <w:rFonts w:eastAsiaTheme="minorHAnsi"/>
          <w:sz w:val="16"/>
          <w:szCs w:val="16"/>
          <w:lang w:eastAsia="en-US"/>
        </w:rPr>
      </w:pPr>
      <w:r w:rsidRPr="00DC419B">
        <w:rPr>
          <w:rFonts w:eastAsiaTheme="minorHAnsi"/>
          <w:sz w:val="16"/>
          <w:szCs w:val="16"/>
          <w:lang w:eastAsia="en-US"/>
        </w:rPr>
        <w:t xml:space="preserve">[2] DIN VDE 0100-530 (VDE 0100-530):2005-06 </w:t>
      </w:r>
      <w:r w:rsidRPr="00DC419B">
        <w:rPr>
          <w:rFonts w:eastAsiaTheme="minorHAnsi"/>
          <w:b/>
          <w:sz w:val="16"/>
          <w:szCs w:val="16"/>
          <w:lang w:eastAsia="en-US"/>
        </w:rPr>
        <w:t>(zurückgezogen)</w:t>
      </w:r>
      <w:r w:rsidRPr="00DC419B">
        <w:rPr>
          <w:rFonts w:eastAsiaTheme="minorHAnsi"/>
          <w:sz w:val="16"/>
          <w:szCs w:val="16"/>
          <w:lang w:eastAsia="en-US"/>
        </w:rPr>
        <w:t xml:space="preserve"> </w:t>
      </w:r>
    </w:p>
    <w:p w14:paraId="7B8EDE3C" w14:textId="77777777" w:rsidR="00A36FF0" w:rsidRPr="00DC419B" w:rsidRDefault="00A36FF0" w:rsidP="00A36FF0">
      <w:pPr>
        <w:spacing w:line="259" w:lineRule="auto"/>
        <w:jc w:val="both"/>
        <w:rPr>
          <w:rFonts w:eastAsiaTheme="minorHAnsi"/>
          <w:sz w:val="16"/>
          <w:szCs w:val="16"/>
          <w:lang w:eastAsia="en-US"/>
        </w:rPr>
      </w:pPr>
      <w:r w:rsidRPr="00DC419B">
        <w:rPr>
          <w:rFonts w:eastAsiaTheme="minorHAnsi"/>
          <w:sz w:val="16"/>
          <w:szCs w:val="16"/>
          <w:lang w:eastAsia="en-US"/>
        </w:rPr>
        <w:t xml:space="preserve">Errichten von Niederspannungsanlagen – Teil 530: Auswahl und Errichtung elektrischer Betriebsmittel – Schalt- und Steuergeräte. </w:t>
      </w:r>
    </w:p>
    <w:p w14:paraId="32F0A9EB" w14:textId="77777777" w:rsidR="00A36FF0" w:rsidRPr="00DC419B" w:rsidRDefault="00A36FF0" w:rsidP="00A36FF0">
      <w:pPr>
        <w:spacing w:line="259" w:lineRule="auto"/>
        <w:jc w:val="both"/>
        <w:rPr>
          <w:rFonts w:eastAsiaTheme="minorHAnsi"/>
          <w:sz w:val="16"/>
          <w:szCs w:val="16"/>
          <w:lang w:eastAsia="en-US"/>
        </w:rPr>
      </w:pPr>
      <w:r w:rsidRPr="00DC419B">
        <w:rPr>
          <w:rFonts w:eastAsiaTheme="minorHAnsi"/>
          <w:sz w:val="16"/>
          <w:szCs w:val="16"/>
          <w:lang w:eastAsia="en-US"/>
        </w:rPr>
        <w:t xml:space="preserve">[3] DIN VDE 0100-704 (VDE 0100-704):2018-10 </w:t>
      </w:r>
    </w:p>
    <w:p w14:paraId="55B37B9B" w14:textId="77777777" w:rsidR="00A36FF0" w:rsidRPr="00DC419B" w:rsidRDefault="00A36FF0" w:rsidP="00A36FF0">
      <w:pPr>
        <w:spacing w:line="259" w:lineRule="auto"/>
        <w:jc w:val="both"/>
        <w:rPr>
          <w:rFonts w:eastAsiaTheme="minorHAnsi"/>
          <w:sz w:val="16"/>
          <w:szCs w:val="16"/>
          <w:lang w:eastAsia="en-US"/>
        </w:rPr>
      </w:pPr>
      <w:r w:rsidRPr="00DC419B">
        <w:rPr>
          <w:rFonts w:eastAsiaTheme="minorHAnsi"/>
          <w:sz w:val="16"/>
          <w:szCs w:val="16"/>
          <w:lang w:eastAsia="en-US"/>
        </w:rPr>
        <w:t xml:space="preserve">Errichten von Niederspannungsanlagen – Teil 7-704: Anforderungen für Betriebsstätten, Räume und Anlagen besonderer Art – Baustellen. </w:t>
      </w:r>
    </w:p>
    <w:p w14:paraId="6199BDFA" w14:textId="77777777" w:rsidR="00A36FF0" w:rsidRPr="00DC419B" w:rsidRDefault="00A36FF0" w:rsidP="00A36FF0">
      <w:pPr>
        <w:spacing w:line="259" w:lineRule="auto"/>
        <w:jc w:val="both"/>
        <w:rPr>
          <w:rFonts w:eastAsiaTheme="minorHAnsi"/>
          <w:sz w:val="16"/>
          <w:szCs w:val="16"/>
          <w:lang w:eastAsia="en-US"/>
        </w:rPr>
      </w:pPr>
      <w:r w:rsidRPr="00DC419B">
        <w:rPr>
          <w:rFonts w:eastAsiaTheme="minorHAnsi"/>
          <w:sz w:val="16"/>
          <w:szCs w:val="16"/>
          <w:lang w:eastAsia="en-US"/>
        </w:rPr>
        <w:t xml:space="preserve">[4] DIN EN 61439-4 (VDE 0660-600-4):2013-09 </w:t>
      </w:r>
    </w:p>
    <w:p w14:paraId="621A0366" w14:textId="77777777" w:rsidR="00A36FF0" w:rsidRPr="00DC419B" w:rsidRDefault="00A36FF0" w:rsidP="00A36FF0">
      <w:pPr>
        <w:spacing w:line="259" w:lineRule="auto"/>
        <w:jc w:val="both"/>
        <w:rPr>
          <w:rFonts w:eastAsiaTheme="minorHAnsi"/>
          <w:sz w:val="16"/>
          <w:szCs w:val="16"/>
          <w:lang w:eastAsia="en-US"/>
        </w:rPr>
      </w:pPr>
      <w:r w:rsidRPr="00DC419B">
        <w:rPr>
          <w:rFonts w:eastAsiaTheme="minorHAnsi"/>
          <w:sz w:val="16"/>
          <w:szCs w:val="16"/>
          <w:lang w:eastAsia="en-US"/>
        </w:rPr>
        <w:t xml:space="preserve">Niederspannungs-Schaltgerätekombinationen – Teil 4: Besondere Anforderungen für Baustromverteiler (BV). </w:t>
      </w:r>
    </w:p>
    <w:p w14:paraId="1B014942" w14:textId="77777777" w:rsidR="00A36FF0" w:rsidRPr="00DC419B" w:rsidRDefault="00A36FF0" w:rsidP="00A36FF0">
      <w:pPr>
        <w:spacing w:line="259" w:lineRule="auto"/>
        <w:jc w:val="both"/>
        <w:rPr>
          <w:rFonts w:eastAsiaTheme="minorHAnsi"/>
          <w:sz w:val="16"/>
          <w:szCs w:val="16"/>
          <w:lang w:eastAsia="en-US"/>
        </w:rPr>
      </w:pPr>
      <w:r w:rsidRPr="00DC419B">
        <w:rPr>
          <w:rFonts w:eastAsiaTheme="minorHAnsi"/>
          <w:sz w:val="16"/>
          <w:szCs w:val="16"/>
          <w:lang w:eastAsia="en-US"/>
        </w:rPr>
        <w:t>[5] DIN VDE 0100-530 (VDE 0100-530):2011-06</w:t>
      </w:r>
      <w:r w:rsidRPr="00DC419B">
        <w:rPr>
          <w:rFonts w:eastAsiaTheme="minorHAnsi"/>
          <w:b/>
          <w:sz w:val="16"/>
          <w:szCs w:val="16"/>
          <w:lang w:eastAsia="en-US"/>
        </w:rPr>
        <w:t xml:space="preserve"> (zurückgezogen)</w:t>
      </w:r>
      <w:r w:rsidRPr="00DC419B">
        <w:rPr>
          <w:rFonts w:eastAsiaTheme="minorHAnsi"/>
          <w:sz w:val="16"/>
          <w:szCs w:val="16"/>
          <w:lang w:eastAsia="en-US"/>
        </w:rPr>
        <w:t xml:space="preserve"> </w:t>
      </w:r>
    </w:p>
    <w:p w14:paraId="1B641D5B" w14:textId="77777777" w:rsidR="00A36FF0" w:rsidRPr="00DC419B" w:rsidRDefault="00A36FF0" w:rsidP="00A36FF0">
      <w:pPr>
        <w:spacing w:line="259" w:lineRule="auto"/>
        <w:jc w:val="both"/>
        <w:rPr>
          <w:rFonts w:eastAsiaTheme="minorHAnsi"/>
          <w:sz w:val="16"/>
          <w:szCs w:val="16"/>
          <w:lang w:eastAsia="en-US"/>
        </w:rPr>
      </w:pPr>
      <w:r w:rsidRPr="00DC419B">
        <w:rPr>
          <w:rFonts w:eastAsiaTheme="minorHAnsi"/>
          <w:sz w:val="16"/>
          <w:szCs w:val="16"/>
          <w:lang w:eastAsia="en-US"/>
        </w:rPr>
        <w:t>Errichten von Niederspannungsanlagen – Teil 530: Auswahl und Errichtung elektrischer Betriebsmittel – Schalt- und Steuergeräte.</w:t>
      </w:r>
    </w:p>
    <w:p w14:paraId="6AC6DE42" w14:textId="05972E6E" w:rsidR="006528B9" w:rsidRDefault="00A36FF0" w:rsidP="00A36FF0">
      <w:pPr>
        <w:spacing w:line="259" w:lineRule="auto"/>
        <w:jc w:val="both"/>
      </w:pPr>
      <w:r w:rsidRPr="00DC419B">
        <w:rPr>
          <w:rFonts w:eastAsiaTheme="minorHAnsi"/>
          <w:color w:val="000000" w:themeColor="text1"/>
          <w:sz w:val="16"/>
          <w:szCs w:val="16"/>
          <w:lang w:eastAsia="en-US"/>
        </w:rPr>
        <w:t>[6] Herstellerangaben beachten</w:t>
      </w:r>
      <w:r w:rsidR="006528B9">
        <w:br w:type="page"/>
      </w:r>
    </w:p>
    <w:tbl>
      <w:tblPr>
        <w:tblW w:w="9618" w:type="dxa"/>
        <w:tblInd w:w="-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81"/>
        <w:gridCol w:w="2970"/>
        <w:gridCol w:w="3667"/>
      </w:tblGrid>
      <w:tr w:rsidR="00AB24B8" w:rsidRPr="00AB24B8" w14:paraId="2D91FDB2" w14:textId="77777777" w:rsidTr="00CF57D9">
        <w:trPr>
          <w:trHeight w:hRule="exact" w:val="765"/>
        </w:trPr>
        <w:tc>
          <w:tcPr>
            <w:tcW w:w="2981" w:type="dxa"/>
            <w:tcBorders>
              <w:top w:val="single" w:sz="12" w:space="0" w:color="auto"/>
              <w:bottom w:val="single" w:sz="12" w:space="0" w:color="auto"/>
            </w:tcBorders>
            <w:vAlign w:val="center"/>
          </w:tcPr>
          <w:p w14:paraId="45642F14" w14:textId="178FCBAA" w:rsidR="00F87883" w:rsidRPr="00AB24B8" w:rsidRDefault="00F87883" w:rsidP="00AB24B8">
            <w:pPr>
              <w:ind w:right="-1"/>
              <w:jc w:val="both"/>
              <w:rPr>
                <w:rFonts w:cs="Arial"/>
                <w:b/>
                <w:color w:val="000000" w:themeColor="text1"/>
                <w:sz w:val="22"/>
                <w:szCs w:val="22"/>
              </w:rPr>
            </w:pPr>
            <w:r w:rsidRPr="00AB24B8">
              <w:rPr>
                <w:rFonts w:cs="Arial"/>
                <w:b/>
                <w:color w:val="000000" w:themeColor="text1"/>
                <w:sz w:val="22"/>
                <w:szCs w:val="22"/>
              </w:rPr>
              <w:lastRenderedPageBreak/>
              <w:t>Teilnehmer</w:t>
            </w:r>
          </w:p>
        </w:tc>
        <w:tc>
          <w:tcPr>
            <w:tcW w:w="2970" w:type="dxa"/>
            <w:tcBorders>
              <w:top w:val="single" w:sz="12" w:space="0" w:color="auto"/>
              <w:bottom w:val="single" w:sz="12" w:space="0" w:color="auto"/>
            </w:tcBorders>
            <w:vAlign w:val="center"/>
          </w:tcPr>
          <w:p w14:paraId="2F6EE0B8" w14:textId="77777777" w:rsidR="00F87883" w:rsidRPr="00AB24B8" w:rsidRDefault="00F87883" w:rsidP="00AB24B8">
            <w:pPr>
              <w:ind w:right="-1"/>
              <w:jc w:val="both"/>
              <w:rPr>
                <w:rFonts w:cs="Arial"/>
                <w:b/>
                <w:color w:val="000000" w:themeColor="text1"/>
                <w:sz w:val="22"/>
                <w:szCs w:val="22"/>
              </w:rPr>
            </w:pPr>
            <w:r w:rsidRPr="00AB24B8">
              <w:rPr>
                <w:rFonts w:cs="Arial"/>
                <w:b/>
                <w:color w:val="000000" w:themeColor="text1"/>
                <w:sz w:val="22"/>
                <w:szCs w:val="22"/>
              </w:rPr>
              <w:t>Bereich / Abt.</w:t>
            </w:r>
          </w:p>
        </w:tc>
        <w:tc>
          <w:tcPr>
            <w:tcW w:w="3667" w:type="dxa"/>
            <w:tcBorders>
              <w:top w:val="single" w:sz="12" w:space="0" w:color="auto"/>
              <w:bottom w:val="single" w:sz="12" w:space="0" w:color="auto"/>
            </w:tcBorders>
            <w:vAlign w:val="center"/>
          </w:tcPr>
          <w:p w14:paraId="4BAFAD23" w14:textId="77777777" w:rsidR="00F87883" w:rsidRPr="00AB24B8" w:rsidRDefault="00F87883" w:rsidP="00AB24B8">
            <w:pPr>
              <w:ind w:right="-1"/>
              <w:jc w:val="both"/>
              <w:rPr>
                <w:rFonts w:cs="Arial"/>
                <w:b/>
                <w:color w:val="000000" w:themeColor="text1"/>
                <w:sz w:val="22"/>
                <w:szCs w:val="22"/>
              </w:rPr>
            </w:pPr>
            <w:r w:rsidRPr="00AB24B8">
              <w:rPr>
                <w:rFonts w:cs="Arial"/>
                <w:b/>
                <w:color w:val="000000" w:themeColor="text1"/>
                <w:sz w:val="22"/>
                <w:szCs w:val="22"/>
              </w:rPr>
              <w:t xml:space="preserve">Unterschrift </w:t>
            </w:r>
            <w:r w:rsidRPr="00AB24B8">
              <w:rPr>
                <w:rFonts w:cs="Arial"/>
                <w:color w:val="000000" w:themeColor="text1"/>
                <w:sz w:val="22"/>
                <w:szCs w:val="22"/>
              </w:rPr>
              <w:t>*)</w:t>
            </w:r>
          </w:p>
        </w:tc>
      </w:tr>
      <w:tr w:rsidR="00AB24B8" w:rsidRPr="00AB24B8" w14:paraId="4817344F" w14:textId="77777777" w:rsidTr="00CF57D9">
        <w:trPr>
          <w:trHeight w:val="572"/>
        </w:trPr>
        <w:tc>
          <w:tcPr>
            <w:tcW w:w="2981" w:type="dxa"/>
            <w:tcBorders>
              <w:top w:val="single" w:sz="12" w:space="0" w:color="auto"/>
            </w:tcBorders>
            <w:vAlign w:val="center"/>
          </w:tcPr>
          <w:p w14:paraId="54BE514E" w14:textId="77777777" w:rsidR="00F87883" w:rsidRPr="00AB24B8" w:rsidRDefault="00F87883" w:rsidP="00AB24B8">
            <w:pPr>
              <w:ind w:right="-1"/>
              <w:jc w:val="both"/>
              <w:rPr>
                <w:rFonts w:cs="Arial"/>
                <w:color w:val="000000" w:themeColor="text1"/>
                <w:sz w:val="22"/>
                <w:szCs w:val="22"/>
              </w:rPr>
            </w:pPr>
          </w:p>
        </w:tc>
        <w:tc>
          <w:tcPr>
            <w:tcW w:w="2970" w:type="dxa"/>
            <w:tcBorders>
              <w:top w:val="single" w:sz="12" w:space="0" w:color="auto"/>
            </w:tcBorders>
            <w:vAlign w:val="center"/>
          </w:tcPr>
          <w:p w14:paraId="24420DA8" w14:textId="77777777" w:rsidR="00F87883" w:rsidRPr="00AB24B8" w:rsidRDefault="00F87883" w:rsidP="00AB24B8">
            <w:pPr>
              <w:ind w:right="-1"/>
              <w:jc w:val="both"/>
              <w:rPr>
                <w:rFonts w:cs="Arial"/>
                <w:color w:val="000000" w:themeColor="text1"/>
                <w:sz w:val="22"/>
                <w:szCs w:val="22"/>
              </w:rPr>
            </w:pPr>
          </w:p>
        </w:tc>
        <w:tc>
          <w:tcPr>
            <w:tcW w:w="3667" w:type="dxa"/>
            <w:tcBorders>
              <w:top w:val="single" w:sz="12" w:space="0" w:color="auto"/>
            </w:tcBorders>
            <w:vAlign w:val="center"/>
          </w:tcPr>
          <w:p w14:paraId="1512A43A" w14:textId="77777777" w:rsidR="00F87883" w:rsidRPr="00AB24B8" w:rsidRDefault="00F87883" w:rsidP="00AB24B8">
            <w:pPr>
              <w:ind w:right="-1"/>
              <w:jc w:val="both"/>
              <w:rPr>
                <w:rFonts w:cs="Arial"/>
                <w:color w:val="000000" w:themeColor="text1"/>
                <w:sz w:val="22"/>
                <w:szCs w:val="22"/>
              </w:rPr>
            </w:pPr>
          </w:p>
          <w:p w14:paraId="0732EF69" w14:textId="77777777" w:rsidR="00F87883" w:rsidRPr="00AB24B8" w:rsidRDefault="00F87883" w:rsidP="00AB24B8">
            <w:pPr>
              <w:ind w:right="-1"/>
              <w:jc w:val="both"/>
              <w:rPr>
                <w:rFonts w:cs="Arial"/>
                <w:color w:val="000000" w:themeColor="text1"/>
                <w:sz w:val="22"/>
                <w:szCs w:val="22"/>
              </w:rPr>
            </w:pPr>
          </w:p>
        </w:tc>
      </w:tr>
      <w:tr w:rsidR="00AB24B8" w:rsidRPr="00AB24B8" w14:paraId="52977B13" w14:textId="77777777" w:rsidTr="00CF57D9">
        <w:trPr>
          <w:trHeight w:val="572"/>
        </w:trPr>
        <w:tc>
          <w:tcPr>
            <w:tcW w:w="2981" w:type="dxa"/>
            <w:vAlign w:val="center"/>
          </w:tcPr>
          <w:p w14:paraId="3D3E9823" w14:textId="77777777" w:rsidR="00F87883" w:rsidRPr="00AB24B8" w:rsidRDefault="00F87883" w:rsidP="00AB24B8">
            <w:pPr>
              <w:ind w:right="-1"/>
              <w:jc w:val="both"/>
              <w:rPr>
                <w:rFonts w:cs="Arial"/>
                <w:color w:val="000000" w:themeColor="text1"/>
                <w:sz w:val="22"/>
                <w:szCs w:val="22"/>
              </w:rPr>
            </w:pPr>
          </w:p>
        </w:tc>
        <w:tc>
          <w:tcPr>
            <w:tcW w:w="2970" w:type="dxa"/>
            <w:vAlign w:val="center"/>
          </w:tcPr>
          <w:p w14:paraId="255F3D99" w14:textId="77777777" w:rsidR="00F87883" w:rsidRPr="00AB24B8" w:rsidRDefault="00F87883" w:rsidP="00AB24B8">
            <w:pPr>
              <w:ind w:right="-1"/>
              <w:jc w:val="both"/>
              <w:rPr>
                <w:rFonts w:cs="Arial"/>
                <w:color w:val="000000" w:themeColor="text1"/>
                <w:sz w:val="22"/>
                <w:szCs w:val="22"/>
              </w:rPr>
            </w:pPr>
          </w:p>
        </w:tc>
        <w:tc>
          <w:tcPr>
            <w:tcW w:w="3667" w:type="dxa"/>
            <w:vAlign w:val="center"/>
          </w:tcPr>
          <w:p w14:paraId="51CAE9FA" w14:textId="77777777" w:rsidR="00F87883" w:rsidRPr="00AB24B8" w:rsidRDefault="00F87883" w:rsidP="00AB24B8">
            <w:pPr>
              <w:ind w:right="-1"/>
              <w:jc w:val="both"/>
              <w:rPr>
                <w:rFonts w:cs="Arial"/>
                <w:color w:val="000000" w:themeColor="text1"/>
                <w:sz w:val="22"/>
                <w:szCs w:val="22"/>
              </w:rPr>
            </w:pPr>
          </w:p>
          <w:p w14:paraId="707EFC07" w14:textId="77777777" w:rsidR="00F87883" w:rsidRPr="00AB24B8" w:rsidRDefault="00F87883" w:rsidP="00AB24B8">
            <w:pPr>
              <w:ind w:right="-1"/>
              <w:jc w:val="both"/>
              <w:rPr>
                <w:rFonts w:cs="Arial"/>
                <w:color w:val="000000" w:themeColor="text1"/>
                <w:sz w:val="22"/>
                <w:szCs w:val="22"/>
              </w:rPr>
            </w:pPr>
          </w:p>
        </w:tc>
      </w:tr>
      <w:tr w:rsidR="00AB24B8" w:rsidRPr="00AB24B8" w14:paraId="0123FA40" w14:textId="77777777" w:rsidTr="00CF57D9">
        <w:trPr>
          <w:trHeight w:val="557"/>
        </w:trPr>
        <w:tc>
          <w:tcPr>
            <w:tcW w:w="2981" w:type="dxa"/>
            <w:vAlign w:val="center"/>
          </w:tcPr>
          <w:p w14:paraId="18595C59" w14:textId="77777777" w:rsidR="00F87883" w:rsidRPr="00AB24B8" w:rsidRDefault="00F87883" w:rsidP="00AB24B8">
            <w:pPr>
              <w:ind w:right="-1"/>
              <w:jc w:val="both"/>
              <w:rPr>
                <w:rFonts w:cs="Arial"/>
                <w:color w:val="000000" w:themeColor="text1"/>
                <w:sz w:val="22"/>
                <w:szCs w:val="22"/>
              </w:rPr>
            </w:pPr>
          </w:p>
        </w:tc>
        <w:tc>
          <w:tcPr>
            <w:tcW w:w="2970" w:type="dxa"/>
            <w:vAlign w:val="center"/>
          </w:tcPr>
          <w:p w14:paraId="37389102" w14:textId="77777777" w:rsidR="00F87883" w:rsidRPr="00AB24B8" w:rsidRDefault="00F87883" w:rsidP="00AB24B8">
            <w:pPr>
              <w:ind w:right="-1"/>
              <w:jc w:val="both"/>
              <w:rPr>
                <w:rFonts w:cs="Arial"/>
                <w:color w:val="000000" w:themeColor="text1"/>
                <w:sz w:val="22"/>
                <w:szCs w:val="22"/>
              </w:rPr>
            </w:pPr>
          </w:p>
        </w:tc>
        <w:tc>
          <w:tcPr>
            <w:tcW w:w="3667" w:type="dxa"/>
            <w:vAlign w:val="center"/>
          </w:tcPr>
          <w:p w14:paraId="101FC8EE" w14:textId="77777777" w:rsidR="00F87883" w:rsidRPr="00AB24B8" w:rsidRDefault="00F87883" w:rsidP="00AB24B8">
            <w:pPr>
              <w:ind w:right="-1"/>
              <w:jc w:val="both"/>
              <w:rPr>
                <w:rFonts w:cs="Arial"/>
                <w:color w:val="000000" w:themeColor="text1"/>
                <w:sz w:val="22"/>
                <w:szCs w:val="22"/>
              </w:rPr>
            </w:pPr>
          </w:p>
          <w:p w14:paraId="2E6C05B7" w14:textId="77777777" w:rsidR="00F87883" w:rsidRPr="00AB24B8" w:rsidRDefault="00F87883" w:rsidP="00AB24B8">
            <w:pPr>
              <w:ind w:right="-1"/>
              <w:jc w:val="both"/>
              <w:rPr>
                <w:rFonts w:cs="Arial"/>
                <w:color w:val="000000" w:themeColor="text1"/>
                <w:sz w:val="22"/>
                <w:szCs w:val="22"/>
              </w:rPr>
            </w:pPr>
          </w:p>
        </w:tc>
      </w:tr>
      <w:tr w:rsidR="00AB24B8" w:rsidRPr="00AB24B8" w14:paraId="45B9A57E" w14:textId="77777777" w:rsidTr="00CF57D9">
        <w:trPr>
          <w:trHeight w:val="557"/>
        </w:trPr>
        <w:tc>
          <w:tcPr>
            <w:tcW w:w="2981" w:type="dxa"/>
            <w:vAlign w:val="center"/>
          </w:tcPr>
          <w:p w14:paraId="5C4428A3" w14:textId="77777777" w:rsidR="00F87883" w:rsidRPr="00AB24B8" w:rsidRDefault="00F87883" w:rsidP="00AB24B8">
            <w:pPr>
              <w:ind w:right="-1"/>
              <w:jc w:val="both"/>
              <w:rPr>
                <w:rFonts w:cs="Arial"/>
                <w:color w:val="000000" w:themeColor="text1"/>
                <w:sz w:val="22"/>
                <w:szCs w:val="22"/>
              </w:rPr>
            </w:pPr>
          </w:p>
        </w:tc>
        <w:tc>
          <w:tcPr>
            <w:tcW w:w="2970" w:type="dxa"/>
            <w:vAlign w:val="center"/>
          </w:tcPr>
          <w:p w14:paraId="3DD7E8AE" w14:textId="77777777" w:rsidR="00F87883" w:rsidRPr="00AB24B8" w:rsidRDefault="00F87883" w:rsidP="00AB24B8">
            <w:pPr>
              <w:ind w:right="-1"/>
              <w:jc w:val="both"/>
              <w:rPr>
                <w:rFonts w:cs="Arial"/>
                <w:color w:val="000000" w:themeColor="text1"/>
                <w:sz w:val="22"/>
                <w:szCs w:val="22"/>
              </w:rPr>
            </w:pPr>
          </w:p>
        </w:tc>
        <w:tc>
          <w:tcPr>
            <w:tcW w:w="3667" w:type="dxa"/>
            <w:vAlign w:val="center"/>
          </w:tcPr>
          <w:p w14:paraId="1F063CFF" w14:textId="77777777" w:rsidR="00F87883" w:rsidRPr="00AB24B8" w:rsidRDefault="00F87883" w:rsidP="00AB24B8">
            <w:pPr>
              <w:ind w:right="-1"/>
              <w:jc w:val="both"/>
              <w:rPr>
                <w:rFonts w:cs="Arial"/>
                <w:color w:val="000000" w:themeColor="text1"/>
                <w:sz w:val="22"/>
                <w:szCs w:val="22"/>
              </w:rPr>
            </w:pPr>
          </w:p>
          <w:p w14:paraId="4D5EB7AF" w14:textId="77777777" w:rsidR="00F87883" w:rsidRPr="00AB24B8" w:rsidRDefault="00F87883" w:rsidP="00AB24B8">
            <w:pPr>
              <w:ind w:right="-1"/>
              <w:jc w:val="both"/>
              <w:rPr>
                <w:rFonts w:cs="Arial"/>
                <w:color w:val="000000" w:themeColor="text1"/>
                <w:sz w:val="22"/>
                <w:szCs w:val="22"/>
              </w:rPr>
            </w:pPr>
          </w:p>
        </w:tc>
      </w:tr>
      <w:tr w:rsidR="00AB24B8" w:rsidRPr="00AB24B8" w14:paraId="6E158E36" w14:textId="77777777" w:rsidTr="00CF57D9">
        <w:trPr>
          <w:trHeight w:val="572"/>
        </w:trPr>
        <w:tc>
          <w:tcPr>
            <w:tcW w:w="2981" w:type="dxa"/>
            <w:vAlign w:val="center"/>
          </w:tcPr>
          <w:p w14:paraId="7E0EA258" w14:textId="77777777" w:rsidR="00F87883" w:rsidRPr="00AB24B8" w:rsidRDefault="00F87883" w:rsidP="00AB24B8">
            <w:pPr>
              <w:ind w:right="-1"/>
              <w:jc w:val="both"/>
              <w:rPr>
                <w:rFonts w:cs="Arial"/>
                <w:color w:val="000000" w:themeColor="text1"/>
                <w:sz w:val="22"/>
                <w:szCs w:val="22"/>
              </w:rPr>
            </w:pPr>
          </w:p>
        </w:tc>
        <w:tc>
          <w:tcPr>
            <w:tcW w:w="2970" w:type="dxa"/>
            <w:vAlign w:val="center"/>
          </w:tcPr>
          <w:p w14:paraId="1277066E" w14:textId="77777777" w:rsidR="00F87883" w:rsidRPr="00AB24B8" w:rsidRDefault="00F87883" w:rsidP="00AB24B8">
            <w:pPr>
              <w:ind w:right="-1"/>
              <w:jc w:val="both"/>
              <w:rPr>
                <w:rFonts w:cs="Arial"/>
                <w:color w:val="000000" w:themeColor="text1"/>
                <w:sz w:val="22"/>
                <w:szCs w:val="22"/>
              </w:rPr>
            </w:pPr>
          </w:p>
        </w:tc>
        <w:tc>
          <w:tcPr>
            <w:tcW w:w="3667" w:type="dxa"/>
            <w:vAlign w:val="center"/>
          </w:tcPr>
          <w:p w14:paraId="7B3E5232" w14:textId="77777777" w:rsidR="00F87883" w:rsidRPr="00AB24B8" w:rsidRDefault="00F87883" w:rsidP="00AB24B8">
            <w:pPr>
              <w:ind w:right="-1"/>
              <w:jc w:val="both"/>
              <w:rPr>
                <w:rFonts w:cs="Arial"/>
                <w:color w:val="000000" w:themeColor="text1"/>
                <w:sz w:val="22"/>
                <w:szCs w:val="22"/>
              </w:rPr>
            </w:pPr>
          </w:p>
          <w:p w14:paraId="20E436C3" w14:textId="77777777" w:rsidR="00F87883" w:rsidRPr="00AB24B8" w:rsidRDefault="00F87883" w:rsidP="00AB24B8">
            <w:pPr>
              <w:ind w:right="-1"/>
              <w:jc w:val="both"/>
              <w:rPr>
                <w:rFonts w:cs="Arial"/>
                <w:color w:val="000000" w:themeColor="text1"/>
                <w:sz w:val="22"/>
                <w:szCs w:val="22"/>
              </w:rPr>
            </w:pPr>
          </w:p>
        </w:tc>
      </w:tr>
      <w:tr w:rsidR="00AB24B8" w:rsidRPr="00AB24B8" w14:paraId="684CB588" w14:textId="77777777" w:rsidTr="00CF57D9">
        <w:trPr>
          <w:trHeight w:val="557"/>
        </w:trPr>
        <w:tc>
          <w:tcPr>
            <w:tcW w:w="2981" w:type="dxa"/>
            <w:vAlign w:val="center"/>
          </w:tcPr>
          <w:p w14:paraId="4BFD905F" w14:textId="77777777" w:rsidR="00F87883" w:rsidRPr="00AB24B8" w:rsidRDefault="00F87883" w:rsidP="00AB24B8">
            <w:pPr>
              <w:ind w:right="-1"/>
              <w:jc w:val="both"/>
              <w:rPr>
                <w:rFonts w:cs="Arial"/>
                <w:color w:val="000000" w:themeColor="text1"/>
                <w:sz w:val="22"/>
                <w:szCs w:val="22"/>
              </w:rPr>
            </w:pPr>
          </w:p>
        </w:tc>
        <w:tc>
          <w:tcPr>
            <w:tcW w:w="2970" w:type="dxa"/>
            <w:vAlign w:val="center"/>
          </w:tcPr>
          <w:p w14:paraId="599875EF" w14:textId="77777777" w:rsidR="00F87883" w:rsidRPr="00AB24B8" w:rsidRDefault="00F87883" w:rsidP="00AB24B8">
            <w:pPr>
              <w:ind w:right="-1"/>
              <w:jc w:val="both"/>
              <w:rPr>
                <w:rFonts w:cs="Arial"/>
                <w:color w:val="000000" w:themeColor="text1"/>
                <w:sz w:val="22"/>
                <w:szCs w:val="22"/>
              </w:rPr>
            </w:pPr>
          </w:p>
        </w:tc>
        <w:tc>
          <w:tcPr>
            <w:tcW w:w="3667" w:type="dxa"/>
            <w:vAlign w:val="center"/>
          </w:tcPr>
          <w:p w14:paraId="48F14178" w14:textId="77777777" w:rsidR="00F87883" w:rsidRPr="00AB24B8" w:rsidRDefault="00F87883" w:rsidP="00AB24B8">
            <w:pPr>
              <w:ind w:right="-1"/>
              <w:jc w:val="both"/>
              <w:rPr>
                <w:rFonts w:cs="Arial"/>
                <w:color w:val="000000" w:themeColor="text1"/>
                <w:sz w:val="22"/>
                <w:szCs w:val="22"/>
              </w:rPr>
            </w:pPr>
          </w:p>
          <w:p w14:paraId="6A6964CB" w14:textId="77777777" w:rsidR="00F87883" w:rsidRPr="00AB24B8" w:rsidRDefault="00F87883" w:rsidP="00AB24B8">
            <w:pPr>
              <w:ind w:right="-1"/>
              <w:jc w:val="both"/>
              <w:rPr>
                <w:rFonts w:cs="Arial"/>
                <w:color w:val="000000" w:themeColor="text1"/>
                <w:sz w:val="22"/>
                <w:szCs w:val="22"/>
              </w:rPr>
            </w:pPr>
          </w:p>
        </w:tc>
      </w:tr>
      <w:tr w:rsidR="00AB24B8" w:rsidRPr="00AB24B8" w14:paraId="2406A8D9" w14:textId="77777777" w:rsidTr="00CF57D9">
        <w:trPr>
          <w:trHeight w:val="572"/>
        </w:trPr>
        <w:tc>
          <w:tcPr>
            <w:tcW w:w="2981" w:type="dxa"/>
            <w:vAlign w:val="center"/>
          </w:tcPr>
          <w:p w14:paraId="61DD10EC" w14:textId="77777777" w:rsidR="00F87883" w:rsidRPr="00AB24B8" w:rsidRDefault="00F87883" w:rsidP="00AB24B8">
            <w:pPr>
              <w:ind w:right="-1"/>
              <w:jc w:val="both"/>
              <w:rPr>
                <w:rFonts w:cs="Arial"/>
                <w:color w:val="000000" w:themeColor="text1"/>
                <w:sz w:val="22"/>
                <w:szCs w:val="22"/>
              </w:rPr>
            </w:pPr>
          </w:p>
        </w:tc>
        <w:tc>
          <w:tcPr>
            <w:tcW w:w="2970" w:type="dxa"/>
            <w:vAlign w:val="center"/>
          </w:tcPr>
          <w:p w14:paraId="78DF2ADD" w14:textId="77777777" w:rsidR="00F87883" w:rsidRPr="00AB24B8" w:rsidRDefault="00F87883" w:rsidP="00AB24B8">
            <w:pPr>
              <w:ind w:right="-1"/>
              <w:jc w:val="both"/>
              <w:rPr>
                <w:rFonts w:cs="Arial"/>
                <w:color w:val="000000" w:themeColor="text1"/>
                <w:sz w:val="22"/>
                <w:szCs w:val="22"/>
              </w:rPr>
            </w:pPr>
          </w:p>
        </w:tc>
        <w:tc>
          <w:tcPr>
            <w:tcW w:w="3667" w:type="dxa"/>
            <w:vAlign w:val="center"/>
          </w:tcPr>
          <w:p w14:paraId="247C472A" w14:textId="77777777" w:rsidR="00F87883" w:rsidRPr="00AB24B8" w:rsidRDefault="00F87883" w:rsidP="00AB24B8">
            <w:pPr>
              <w:ind w:right="-1"/>
              <w:jc w:val="both"/>
              <w:rPr>
                <w:rFonts w:cs="Arial"/>
                <w:color w:val="000000" w:themeColor="text1"/>
                <w:sz w:val="22"/>
                <w:szCs w:val="22"/>
              </w:rPr>
            </w:pPr>
          </w:p>
          <w:p w14:paraId="4EC2D8DE" w14:textId="77777777" w:rsidR="00F87883" w:rsidRPr="00AB24B8" w:rsidRDefault="00F87883" w:rsidP="00AB24B8">
            <w:pPr>
              <w:ind w:right="-1"/>
              <w:jc w:val="both"/>
              <w:rPr>
                <w:rFonts w:cs="Arial"/>
                <w:color w:val="000000" w:themeColor="text1"/>
                <w:sz w:val="22"/>
                <w:szCs w:val="22"/>
              </w:rPr>
            </w:pPr>
          </w:p>
        </w:tc>
      </w:tr>
      <w:tr w:rsidR="00AB24B8" w:rsidRPr="00AB24B8" w14:paraId="5DCD1ACE" w14:textId="77777777" w:rsidTr="00CF57D9">
        <w:trPr>
          <w:trHeight w:val="557"/>
        </w:trPr>
        <w:tc>
          <w:tcPr>
            <w:tcW w:w="2981" w:type="dxa"/>
            <w:vAlign w:val="center"/>
          </w:tcPr>
          <w:p w14:paraId="2E884B66" w14:textId="77777777" w:rsidR="00F87883" w:rsidRPr="00AB24B8" w:rsidRDefault="00F87883" w:rsidP="00AB24B8">
            <w:pPr>
              <w:ind w:right="-1"/>
              <w:jc w:val="both"/>
              <w:rPr>
                <w:rFonts w:cs="Arial"/>
                <w:color w:val="000000" w:themeColor="text1"/>
                <w:sz w:val="22"/>
                <w:szCs w:val="22"/>
              </w:rPr>
            </w:pPr>
          </w:p>
        </w:tc>
        <w:tc>
          <w:tcPr>
            <w:tcW w:w="2970" w:type="dxa"/>
            <w:vAlign w:val="center"/>
          </w:tcPr>
          <w:p w14:paraId="3DC1553B" w14:textId="77777777" w:rsidR="00F87883" w:rsidRPr="00AB24B8" w:rsidRDefault="00F87883" w:rsidP="00AB24B8">
            <w:pPr>
              <w:ind w:right="-1"/>
              <w:jc w:val="both"/>
              <w:rPr>
                <w:rFonts w:cs="Arial"/>
                <w:color w:val="000000" w:themeColor="text1"/>
                <w:sz w:val="22"/>
                <w:szCs w:val="22"/>
              </w:rPr>
            </w:pPr>
          </w:p>
        </w:tc>
        <w:tc>
          <w:tcPr>
            <w:tcW w:w="3667" w:type="dxa"/>
            <w:vAlign w:val="center"/>
          </w:tcPr>
          <w:p w14:paraId="3CEF95B8" w14:textId="77777777" w:rsidR="00F87883" w:rsidRPr="00AB24B8" w:rsidRDefault="00F87883" w:rsidP="00AB24B8">
            <w:pPr>
              <w:ind w:right="-1"/>
              <w:jc w:val="both"/>
              <w:rPr>
                <w:rFonts w:cs="Arial"/>
                <w:color w:val="000000" w:themeColor="text1"/>
                <w:sz w:val="22"/>
                <w:szCs w:val="22"/>
              </w:rPr>
            </w:pPr>
          </w:p>
          <w:p w14:paraId="4E4F9327" w14:textId="77777777" w:rsidR="00F87883" w:rsidRPr="00AB24B8" w:rsidRDefault="00F87883" w:rsidP="00AB24B8">
            <w:pPr>
              <w:ind w:right="-1"/>
              <w:jc w:val="both"/>
              <w:rPr>
                <w:rFonts w:cs="Arial"/>
                <w:color w:val="000000" w:themeColor="text1"/>
                <w:sz w:val="22"/>
                <w:szCs w:val="22"/>
              </w:rPr>
            </w:pPr>
          </w:p>
        </w:tc>
      </w:tr>
      <w:tr w:rsidR="00AB24B8" w:rsidRPr="00AB24B8" w14:paraId="1D8BD99D" w14:textId="77777777" w:rsidTr="00CF57D9">
        <w:trPr>
          <w:trHeight w:val="572"/>
        </w:trPr>
        <w:tc>
          <w:tcPr>
            <w:tcW w:w="2981" w:type="dxa"/>
            <w:vAlign w:val="center"/>
          </w:tcPr>
          <w:p w14:paraId="208A304C" w14:textId="77777777" w:rsidR="00F87883" w:rsidRPr="00AB24B8" w:rsidRDefault="00F87883" w:rsidP="00AB24B8">
            <w:pPr>
              <w:ind w:right="-1"/>
              <w:jc w:val="both"/>
              <w:rPr>
                <w:rFonts w:cs="Arial"/>
                <w:color w:val="000000" w:themeColor="text1"/>
                <w:sz w:val="22"/>
                <w:szCs w:val="22"/>
              </w:rPr>
            </w:pPr>
          </w:p>
        </w:tc>
        <w:tc>
          <w:tcPr>
            <w:tcW w:w="2970" w:type="dxa"/>
            <w:vAlign w:val="center"/>
          </w:tcPr>
          <w:p w14:paraId="706B96D1" w14:textId="77777777" w:rsidR="00F87883" w:rsidRPr="00AB24B8" w:rsidRDefault="00F87883" w:rsidP="00AB24B8">
            <w:pPr>
              <w:ind w:right="-1"/>
              <w:jc w:val="both"/>
              <w:rPr>
                <w:rFonts w:cs="Arial"/>
                <w:color w:val="000000" w:themeColor="text1"/>
                <w:sz w:val="22"/>
                <w:szCs w:val="22"/>
              </w:rPr>
            </w:pPr>
          </w:p>
        </w:tc>
        <w:tc>
          <w:tcPr>
            <w:tcW w:w="3667" w:type="dxa"/>
            <w:vAlign w:val="center"/>
          </w:tcPr>
          <w:p w14:paraId="6A85CD81" w14:textId="77777777" w:rsidR="00F87883" w:rsidRPr="00AB24B8" w:rsidRDefault="00F87883" w:rsidP="00AB24B8">
            <w:pPr>
              <w:ind w:right="-1"/>
              <w:jc w:val="both"/>
              <w:rPr>
                <w:rFonts w:cs="Arial"/>
                <w:color w:val="000000" w:themeColor="text1"/>
                <w:sz w:val="22"/>
                <w:szCs w:val="22"/>
              </w:rPr>
            </w:pPr>
          </w:p>
          <w:p w14:paraId="2A29B830" w14:textId="77777777" w:rsidR="00F87883" w:rsidRPr="00AB24B8" w:rsidRDefault="00F87883" w:rsidP="00AB24B8">
            <w:pPr>
              <w:ind w:right="-1"/>
              <w:jc w:val="both"/>
              <w:rPr>
                <w:rFonts w:cs="Arial"/>
                <w:color w:val="000000" w:themeColor="text1"/>
                <w:sz w:val="22"/>
                <w:szCs w:val="22"/>
              </w:rPr>
            </w:pPr>
          </w:p>
        </w:tc>
      </w:tr>
      <w:tr w:rsidR="00AB24B8" w:rsidRPr="00AB24B8" w14:paraId="787FCACD" w14:textId="77777777" w:rsidTr="00CF57D9">
        <w:trPr>
          <w:trHeight w:val="557"/>
        </w:trPr>
        <w:tc>
          <w:tcPr>
            <w:tcW w:w="2981" w:type="dxa"/>
            <w:vAlign w:val="center"/>
          </w:tcPr>
          <w:p w14:paraId="19281D27" w14:textId="77777777" w:rsidR="00F87883" w:rsidRPr="00AB24B8" w:rsidRDefault="00F87883" w:rsidP="00AB24B8">
            <w:pPr>
              <w:ind w:right="-1"/>
              <w:jc w:val="both"/>
              <w:rPr>
                <w:rFonts w:cs="Arial"/>
                <w:color w:val="000000" w:themeColor="text1"/>
                <w:sz w:val="22"/>
                <w:szCs w:val="22"/>
              </w:rPr>
            </w:pPr>
          </w:p>
        </w:tc>
        <w:tc>
          <w:tcPr>
            <w:tcW w:w="2970" w:type="dxa"/>
            <w:vAlign w:val="center"/>
          </w:tcPr>
          <w:p w14:paraId="32F30EBA" w14:textId="77777777" w:rsidR="00F87883" w:rsidRPr="00AB24B8" w:rsidRDefault="00F87883" w:rsidP="00AB24B8">
            <w:pPr>
              <w:ind w:right="-1"/>
              <w:jc w:val="both"/>
              <w:rPr>
                <w:rFonts w:cs="Arial"/>
                <w:color w:val="000000" w:themeColor="text1"/>
                <w:sz w:val="22"/>
                <w:szCs w:val="22"/>
              </w:rPr>
            </w:pPr>
          </w:p>
        </w:tc>
        <w:tc>
          <w:tcPr>
            <w:tcW w:w="3667" w:type="dxa"/>
            <w:vAlign w:val="center"/>
          </w:tcPr>
          <w:p w14:paraId="3188B9D5" w14:textId="77777777" w:rsidR="00F87883" w:rsidRPr="00AB24B8" w:rsidRDefault="00F87883" w:rsidP="00AB24B8">
            <w:pPr>
              <w:ind w:right="-1"/>
              <w:jc w:val="both"/>
              <w:rPr>
                <w:rFonts w:cs="Arial"/>
                <w:color w:val="000000" w:themeColor="text1"/>
                <w:sz w:val="22"/>
                <w:szCs w:val="22"/>
              </w:rPr>
            </w:pPr>
          </w:p>
          <w:p w14:paraId="654DE60F" w14:textId="77777777" w:rsidR="00F87883" w:rsidRPr="00AB24B8" w:rsidRDefault="00F87883" w:rsidP="00AB24B8">
            <w:pPr>
              <w:ind w:right="-1"/>
              <w:jc w:val="both"/>
              <w:rPr>
                <w:rFonts w:cs="Arial"/>
                <w:color w:val="000000" w:themeColor="text1"/>
                <w:sz w:val="22"/>
                <w:szCs w:val="22"/>
              </w:rPr>
            </w:pPr>
          </w:p>
        </w:tc>
      </w:tr>
      <w:tr w:rsidR="00AB24B8" w:rsidRPr="00AB24B8" w14:paraId="36080E2B" w14:textId="77777777" w:rsidTr="00CF57D9">
        <w:trPr>
          <w:trHeight w:val="572"/>
        </w:trPr>
        <w:tc>
          <w:tcPr>
            <w:tcW w:w="2981" w:type="dxa"/>
            <w:tcBorders>
              <w:bottom w:val="single" w:sz="12" w:space="0" w:color="auto"/>
            </w:tcBorders>
            <w:vAlign w:val="center"/>
          </w:tcPr>
          <w:p w14:paraId="59941641" w14:textId="77777777" w:rsidR="00F87883" w:rsidRPr="00AB24B8" w:rsidRDefault="00F87883" w:rsidP="00AB24B8">
            <w:pPr>
              <w:ind w:right="-1"/>
              <w:jc w:val="both"/>
              <w:rPr>
                <w:rFonts w:cs="Arial"/>
                <w:color w:val="000000" w:themeColor="text1"/>
                <w:sz w:val="22"/>
                <w:szCs w:val="22"/>
              </w:rPr>
            </w:pPr>
          </w:p>
        </w:tc>
        <w:tc>
          <w:tcPr>
            <w:tcW w:w="2970" w:type="dxa"/>
            <w:tcBorders>
              <w:bottom w:val="single" w:sz="12" w:space="0" w:color="auto"/>
            </w:tcBorders>
            <w:vAlign w:val="center"/>
          </w:tcPr>
          <w:p w14:paraId="21269827" w14:textId="77777777" w:rsidR="00F87883" w:rsidRPr="00AB24B8" w:rsidRDefault="00F87883" w:rsidP="00AB24B8">
            <w:pPr>
              <w:ind w:right="-1"/>
              <w:jc w:val="both"/>
              <w:rPr>
                <w:rFonts w:cs="Arial"/>
                <w:color w:val="000000" w:themeColor="text1"/>
                <w:sz w:val="22"/>
                <w:szCs w:val="22"/>
              </w:rPr>
            </w:pPr>
          </w:p>
        </w:tc>
        <w:tc>
          <w:tcPr>
            <w:tcW w:w="3667" w:type="dxa"/>
            <w:tcBorders>
              <w:bottom w:val="single" w:sz="12" w:space="0" w:color="auto"/>
            </w:tcBorders>
            <w:vAlign w:val="center"/>
          </w:tcPr>
          <w:p w14:paraId="60A7D028" w14:textId="77777777" w:rsidR="00F87883" w:rsidRPr="00AB24B8" w:rsidRDefault="00F87883" w:rsidP="00AB24B8">
            <w:pPr>
              <w:ind w:right="-1"/>
              <w:jc w:val="both"/>
              <w:rPr>
                <w:rFonts w:cs="Arial"/>
                <w:color w:val="000000" w:themeColor="text1"/>
                <w:sz w:val="22"/>
                <w:szCs w:val="22"/>
              </w:rPr>
            </w:pPr>
          </w:p>
          <w:p w14:paraId="20E96D05" w14:textId="77777777" w:rsidR="00F87883" w:rsidRPr="00AB24B8" w:rsidRDefault="00F87883" w:rsidP="00AB24B8">
            <w:pPr>
              <w:ind w:right="-1"/>
              <w:jc w:val="both"/>
              <w:rPr>
                <w:rFonts w:cs="Arial"/>
                <w:color w:val="000000" w:themeColor="text1"/>
                <w:sz w:val="22"/>
                <w:szCs w:val="22"/>
              </w:rPr>
            </w:pPr>
          </w:p>
        </w:tc>
      </w:tr>
    </w:tbl>
    <w:p w14:paraId="6E1447AF" w14:textId="77777777" w:rsidR="00F87883" w:rsidRPr="00AB24B8" w:rsidRDefault="00F87883" w:rsidP="00AB24B8">
      <w:pPr>
        <w:ind w:right="-1"/>
        <w:jc w:val="both"/>
        <w:rPr>
          <w:rFonts w:cs="Arial"/>
          <w:color w:val="000000" w:themeColor="text1"/>
          <w:sz w:val="22"/>
          <w:szCs w:val="22"/>
        </w:rPr>
      </w:pPr>
    </w:p>
    <w:p w14:paraId="1B0EEA08" w14:textId="77777777" w:rsidR="00F87883" w:rsidRPr="00AB24B8" w:rsidRDefault="00F87883" w:rsidP="00AB24B8">
      <w:pPr>
        <w:ind w:right="-1"/>
        <w:jc w:val="both"/>
        <w:rPr>
          <w:color w:val="000000" w:themeColor="text1"/>
          <w:sz w:val="22"/>
          <w:szCs w:val="22"/>
        </w:rPr>
      </w:pPr>
      <w:r w:rsidRPr="00AB24B8">
        <w:rPr>
          <w:color w:val="000000" w:themeColor="text1"/>
          <w:sz w:val="22"/>
          <w:szCs w:val="22"/>
        </w:rPr>
        <w:t xml:space="preserve">*) Mit seiner Unterschrift bestätigt der/die Teilnehmer/in, dass der Inhalt der Schulung verstanden wurde. </w:t>
      </w:r>
    </w:p>
    <w:p w14:paraId="2634E649" w14:textId="77777777" w:rsidR="00F87883" w:rsidRPr="00AB24B8" w:rsidRDefault="00F87883" w:rsidP="00AB24B8">
      <w:pPr>
        <w:ind w:right="-1"/>
        <w:jc w:val="both"/>
        <w:rPr>
          <w:rFonts w:cs="Arial"/>
          <w:color w:val="000000" w:themeColor="text1"/>
          <w:sz w:val="22"/>
          <w:szCs w:val="22"/>
        </w:rPr>
      </w:pPr>
    </w:p>
    <w:p w14:paraId="6D67E25E" w14:textId="535A662D" w:rsidR="00B03014" w:rsidRDefault="00B03014" w:rsidP="00AB24B8">
      <w:pPr>
        <w:ind w:right="-1"/>
        <w:jc w:val="both"/>
        <w:rPr>
          <w:rFonts w:cs="Arial"/>
          <w:color w:val="000000" w:themeColor="text1"/>
          <w:sz w:val="22"/>
          <w:szCs w:val="22"/>
        </w:rPr>
      </w:pPr>
    </w:p>
    <w:p w14:paraId="10F34446" w14:textId="77777777" w:rsidR="00A86BFA" w:rsidRPr="00AB24B8" w:rsidRDefault="00A86BFA" w:rsidP="00A86BFA">
      <w:pPr>
        <w:ind w:right="-1"/>
        <w:jc w:val="both"/>
        <w:rPr>
          <w:rFonts w:cs="Arial"/>
          <w:color w:val="000000" w:themeColor="text1"/>
          <w:sz w:val="22"/>
          <w:szCs w:val="22"/>
        </w:rPr>
      </w:pPr>
      <w:r w:rsidRPr="008901B6">
        <w:rPr>
          <w:rFonts w:cs="Arial"/>
          <w:b/>
          <w:bCs/>
          <w:color w:val="000000" w:themeColor="text1"/>
          <w:sz w:val="22"/>
          <w:szCs w:val="22"/>
        </w:rPr>
        <w:t>Ablauf</w:t>
      </w:r>
      <w:r w:rsidRPr="008651BB">
        <w:rPr>
          <w:rFonts w:cs="Arial"/>
          <w:color w:val="000000" w:themeColor="text1"/>
          <w:sz w:val="22"/>
          <w:szCs w:val="22"/>
        </w:rPr>
        <w:t>: Die Elektrokurzschulungen sind für die verantwortlichen Elektrofachkräfte (VEFK) gedacht, um diese in Ihrer Schulungs- und Unterweisungsarbeit zu unterstützen. Die Kurzschulungen können von der VEFK selbst oder von entsprechend befähigten Beschäftigten durchgeführt werden. Es ist darauf zu achten, dass nicht nur die eigenen Elektro-Mitarbeiter, sondern auch die Leiharbeiter geschult werden.</w:t>
      </w:r>
    </w:p>
    <w:bookmarkEnd w:id="0"/>
    <w:p w14:paraId="0E774734" w14:textId="77777777" w:rsidR="00A86BFA" w:rsidRPr="00AB24B8" w:rsidRDefault="00A86BFA" w:rsidP="00AB24B8">
      <w:pPr>
        <w:ind w:right="-1"/>
        <w:jc w:val="both"/>
        <w:rPr>
          <w:rFonts w:cs="Arial"/>
          <w:color w:val="000000" w:themeColor="text1"/>
          <w:sz w:val="22"/>
          <w:szCs w:val="22"/>
        </w:rPr>
      </w:pPr>
    </w:p>
    <w:sectPr w:rsidR="00A86BFA" w:rsidRPr="00AB24B8" w:rsidSect="000D0A32">
      <w:headerReference w:type="even" r:id="rId14"/>
      <w:headerReference w:type="default" r:id="rId15"/>
      <w:footerReference w:type="even" r:id="rId16"/>
      <w:footerReference w:type="default" r:id="rId17"/>
      <w:headerReference w:type="first" r:id="rId18"/>
      <w:footerReference w:type="first" r:id="rId19"/>
      <w:pgSz w:w="11906" w:h="16838"/>
      <w:pgMar w:top="1418" w:right="1134" w:bottom="1134" w:left="1134" w:header="709" w:footer="4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751041" w14:textId="77777777" w:rsidR="0053483C" w:rsidRDefault="0053483C">
      <w:r>
        <w:separator/>
      </w:r>
    </w:p>
  </w:endnote>
  <w:endnote w:type="continuationSeparator" w:id="0">
    <w:p w14:paraId="53847BB6" w14:textId="77777777" w:rsidR="0053483C" w:rsidRDefault="00534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5C32C" w14:textId="77777777" w:rsidR="0094407D" w:rsidRDefault="0094407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1"/>
      <w:gridCol w:w="1113"/>
      <w:gridCol w:w="1114"/>
      <w:gridCol w:w="1114"/>
      <w:gridCol w:w="1114"/>
      <w:gridCol w:w="1114"/>
      <w:gridCol w:w="1114"/>
      <w:gridCol w:w="1114"/>
    </w:tblGrid>
    <w:tr w:rsidR="000D3F83" w:rsidRPr="00FA3A35" w14:paraId="380CFD4D" w14:textId="77777777" w:rsidTr="006618CF">
      <w:trPr>
        <w:trHeight w:val="132"/>
      </w:trPr>
      <w:tc>
        <w:tcPr>
          <w:tcW w:w="1811" w:type="dxa"/>
          <w:vAlign w:val="center"/>
        </w:tcPr>
        <w:p w14:paraId="454E0CE0" w14:textId="77777777" w:rsidR="000D3F83" w:rsidRPr="00FA3A35" w:rsidRDefault="000D3F83" w:rsidP="00474259">
          <w:pPr>
            <w:pStyle w:val="Fuzeile"/>
            <w:ind w:right="-83"/>
            <w:rPr>
              <w:rFonts w:cs="Arial"/>
              <w:sz w:val="16"/>
              <w:szCs w:val="16"/>
            </w:rPr>
          </w:pPr>
          <w:r w:rsidRPr="00FA3A35">
            <w:rPr>
              <w:rFonts w:cs="Arial"/>
              <w:sz w:val="16"/>
              <w:szCs w:val="16"/>
            </w:rPr>
            <w:t>Ausgabe/Revision:</w:t>
          </w:r>
        </w:p>
      </w:tc>
      <w:tc>
        <w:tcPr>
          <w:tcW w:w="1113" w:type="dxa"/>
          <w:vAlign w:val="center"/>
        </w:tcPr>
        <w:p w14:paraId="5E50C2F1" w14:textId="77777777" w:rsidR="000D3F83" w:rsidRPr="00FA3A35" w:rsidRDefault="00856444" w:rsidP="00474259">
          <w:pPr>
            <w:pStyle w:val="Fuzeile"/>
            <w:ind w:right="-83"/>
            <w:rPr>
              <w:rFonts w:cs="Arial"/>
              <w:sz w:val="16"/>
              <w:szCs w:val="16"/>
            </w:rPr>
          </w:pPr>
          <w:r w:rsidRPr="00FA3A35">
            <w:rPr>
              <w:rFonts w:cs="Arial"/>
              <w:sz w:val="16"/>
              <w:szCs w:val="16"/>
            </w:rPr>
            <w:t>0</w:t>
          </w:r>
        </w:p>
      </w:tc>
      <w:tc>
        <w:tcPr>
          <w:tcW w:w="1114" w:type="dxa"/>
          <w:vAlign w:val="center"/>
        </w:tcPr>
        <w:p w14:paraId="5B538206" w14:textId="4DF24D29" w:rsidR="000D3F83" w:rsidRPr="00FA3A35" w:rsidRDefault="00107196" w:rsidP="00474259">
          <w:pPr>
            <w:pStyle w:val="Fuzeile"/>
            <w:ind w:right="-83"/>
            <w:rPr>
              <w:rFonts w:cs="Arial"/>
              <w:sz w:val="16"/>
              <w:szCs w:val="16"/>
            </w:rPr>
          </w:pPr>
          <w:r>
            <w:rPr>
              <w:rFonts w:cs="Arial"/>
              <w:sz w:val="16"/>
              <w:szCs w:val="16"/>
            </w:rPr>
            <w:t>1</w:t>
          </w:r>
        </w:p>
      </w:tc>
      <w:tc>
        <w:tcPr>
          <w:tcW w:w="1114" w:type="dxa"/>
          <w:vAlign w:val="center"/>
        </w:tcPr>
        <w:p w14:paraId="2DAFFE4B" w14:textId="77777777" w:rsidR="000D3F83" w:rsidRPr="00FA3A35" w:rsidRDefault="000D3F83" w:rsidP="00474259">
          <w:pPr>
            <w:pStyle w:val="Fuzeile"/>
            <w:ind w:right="-83"/>
            <w:rPr>
              <w:rFonts w:cs="Arial"/>
              <w:sz w:val="16"/>
              <w:szCs w:val="16"/>
            </w:rPr>
          </w:pPr>
        </w:p>
      </w:tc>
      <w:tc>
        <w:tcPr>
          <w:tcW w:w="1114" w:type="dxa"/>
          <w:vAlign w:val="center"/>
        </w:tcPr>
        <w:p w14:paraId="53BB3C1E" w14:textId="77777777" w:rsidR="000D3F83" w:rsidRPr="00FA3A35" w:rsidRDefault="000D3F83" w:rsidP="00474259">
          <w:pPr>
            <w:pStyle w:val="Fuzeile"/>
            <w:ind w:right="-83"/>
            <w:rPr>
              <w:rFonts w:cs="Arial"/>
              <w:sz w:val="16"/>
              <w:szCs w:val="16"/>
            </w:rPr>
          </w:pPr>
        </w:p>
      </w:tc>
      <w:tc>
        <w:tcPr>
          <w:tcW w:w="1114" w:type="dxa"/>
          <w:vAlign w:val="center"/>
        </w:tcPr>
        <w:p w14:paraId="50FE1F91" w14:textId="77777777" w:rsidR="000D3F83" w:rsidRPr="00FA3A35" w:rsidRDefault="000D3F83" w:rsidP="00474259">
          <w:pPr>
            <w:pStyle w:val="Fuzeile"/>
            <w:ind w:right="-83"/>
            <w:rPr>
              <w:rFonts w:cs="Arial"/>
              <w:sz w:val="16"/>
              <w:szCs w:val="16"/>
            </w:rPr>
          </w:pPr>
        </w:p>
      </w:tc>
      <w:tc>
        <w:tcPr>
          <w:tcW w:w="1114" w:type="dxa"/>
          <w:vAlign w:val="center"/>
        </w:tcPr>
        <w:p w14:paraId="400DE141" w14:textId="77777777" w:rsidR="000D3F83" w:rsidRPr="00FA3A35" w:rsidRDefault="000D3F83" w:rsidP="00474259">
          <w:pPr>
            <w:pStyle w:val="Fuzeile"/>
            <w:ind w:right="-83"/>
            <w:rPr>
              <w:rFonts w:cs="Arial"/>
              <w:sz w:val="16"/>
              <w:szCs w:val="16"/>
            </w:rPr>
          </w:pPr>
          <w:r w:rsidRPr="00FA3A35">
            <w:rPr>
              <w:rFonts w:cs="Arial"/>
              <w:sz w:val="16"/>
              <w:szCs w:val="16"/>
            </w:rPr>
            <w:t>Seite:</w:t>
          </w:r>
        </w:p>
      </w:tc>
      <w:tc>
        <w:tcPr>
          <w:tcW w:w="1114" w:type="dxa"/>
          <w:vAlign w:val="center"/>
        </w:tcPr>
        <w:p w14:paraId="6F8763CF" w14:textId="77777777" w:rsidR="000D3F83" w:rsidRPr="00FA3A35" w:rsidRDefault="000D3F83" w:rsidP="00474259">
          <w:pPr>
            <w:pStyle w:val="Fuzeile"/>
            <w:ind w:right="-83"/>
            <w:rPr>
              <w:rFonts w:cs="Arial"/>
              <w:sz w:val="16"/>
              <w:szCs w:val="16"/>
            </w:rPr>
          </w:pPr>
          <w:r w:rsidRPr="00FA3A35">
            <w:rPr>
              <w:rFonts w:cs="Arial"/>
              <w:sz w:val="16"/>
              <w:szCs w:val="16"/>
            </w:rPr>
            <w:fldChar w:fldCharType="begin"/>
          </w:r>
          <w:r w:rsidRPr="00FA3A35">
            <w:rPr>
              <w:rFonts w:cs="Arial"/>
              <w:sz w:val="16"/>
              <w:szCs w:val="16"/>
            </w:rPr>
            <w:instrText xml:space="preserve"> </w:instrText>
          </w:r>
          <w:r w:rsidR="00974928" w:rsidRPr="00FA3A35">
            <w:rPr>
              <w:rFonts w:cs="Arial"/>
              <w:sz w:val="16"/>
              <w:szCs w:val="16"/>
            </w:rPr>
            <w:instrText>PAGE</w:instrText>
          </w:r>
          <w:r w:rsidRPr="00FA3A35">
            <w:rPr>
              <w:rFonts w:cs="Arial"/>
              <w:sz w:val="16"/>
              <w:szCs w:val="16"/>
            </w:rPr>
            <w:instrText xml:space="preserve">  \* Arabic  \* MERGEFORMAT </w:instrText>
          </w:r>
          <w:r w:rsidRPr="00FA3A35">
            <w:rPr>
              <w:rFonts w:cs="Arial"/>
              <w:sz w:val="16"/>
              <w:szCs w:val="16"/>
            </w:rPr>
            <w:fldChar w:fldCharType="separate"/>
          </w:r>
          <w:r w:rsidR="00434A4B">
            <w:rPr>
              <w:rFonts w:cs="Arial"/>
              <w:noProof/>
              <w:sz w:val="16"/>
              <w:szCs w:val="16"/>
            </w:rPr>
            <w:t>1</w:t>
          </w:r>
          <w:r w:rsidRPr="00FA3A35">
            <w:rPr>
              <w:rFonts w:cs="Arial"/>
              <w:sz w:val="16"/>
              <w:szCs w:val="16"/>
            </w:rPr>
            <w:fldChar w:fldCharType="end"/>
          </w:r>
          <w:r w:rsidRPr="00FA3A35">
            <w:rPr>
              <w:rFonts w:cs="Arial"/>
              <w:sz w:val="16"/>
              <w:szCs w:val="16"/>
            </w:rPr>
            <w:t xml:space="preserve"> von </w:t>
          </w:r>
          <w:r w:rsidRPr="00FA3A35">
            <w:rPr>
              <w:rFonts w:cs="Arial"/>
              <w:sz w:val="16"/>
              <w:szCs w:val="16"/>
            </w:rPr>
            <w:fldChar w:fldCharType="begin"/>
          </w:r>
          <w:r w:rsidRPr="00FA3A35">
            <w:rPr>
              <w:rFonts w:cs="Arial"/>
              <w:sz w:val="16"/>
              <w:szCs w:val="16"/>
            </w:rPr>
            <w:instrText xml:space="preserve"> </w:instrText>
          </w:r>
          <w:r w:rsidR="00974928" w:rsidRPr="00FA3A35">
            <w:rPr>
              <w:rFonts w:cs="Arial"/>
              <w:sz w:val="16"/>
              <w:szCs w:val="16"/>
            </w:rPr>
            <w:instrText>NUMPAGES</w:instrText>
          </w:r>
          <w:r w:rsidRPr="00FA3A35">
            <w:rPr>
              <w:rFonts w:cs="Arial"/>
              <w:sz w:val="16"/>
              <w:szCs w:val="16"/>
            </w:rPr>
            <w:instrText xml:space="preserve">  \* Arabic  \* MERGEFORMAT </w:instrText>
          </w:r>
          <w:r w:rsidRPr="00FA3A35">
            <w:rPr>
              <w:rFonts w:cs="Arial"/>
              <w:sz w:val="16"/>
              <w:szCs w:val="16"/>
            </w:rPr>
            <w:fldChar w:fldCharType="separate"/>
          </w:r>
          <w:r w:rsidR="00434A4B">
            <w:rPr>
              <w:rFonts w:cs="Arial"/>
              <w:noProof/>
              <w:sz w:val="16"/>
              <w:szCs w:val="16"/>
            </w:rPr>
            <w:t>1</w:t>
          </w:r>
          <w:r w:rsidRPr="00FA3A35">
            <w:rPr>
              <w:rFonts w:cs="Arial"/>
              <w:sz w:val="16"/>
              <w:szCs w:val="16"/>
            </w:rPr>
            <w:fldChar w:fldCharType="end"/>
          </w:r>
        </w:p>
      </w:tc>
    </w:tr>
    <w:tr w:rsidR="000D3F83" w:rsidRPr="00FA3A35" w14:paraId="5456E345" w14:textId="77777777" w:rsidTr="006618CF">
      <w:tc>
        <w:tcPr>
          <w:tcW w:w="1811" w:type="dxa"/>
          <w:vAlign w:val="center"/>
        </w:tcPr>
        <w:p w14:paraId="655E4B9C" w14:textId="77777777" w:rsidR="000D3F83" w:rsidRPr="00FA3A35" w:rsidRDefault="000D3F83" w:rsidP="00474259">
          <w:pPr>
            <w:pStyle w:val="Fuzeile"/>
            <w:ind w:right="-83"/>
            <w:rPr>
              <w:rFonts w:cs="Arial"/>
              <w:sz w:val="16"/>
              <w:szCs w:val="16"/>
            </w:rPr>
          </w:pPr>
          <w:r w:rsidRPr="00FA3A35">
            <w:rPr>
              <w:rFonts w:cs="Arial"/>
              <w:sz w:val="16"/>
              <w:szCs w:val="16"/>
            </w:rPr>
            <w:t>Datum:</w:t>
          </w:r>
        </w:p>
      </w:tc>
      <w:tc>
        <w:tcPr>
          <w:tcW w:w="1113" w:type="dxa"/>
          <w:vAlign w:val="center"/>
        </w:tcPr>
        <w:p w14:paraId="6D879B4D" w14:textId="004F9EBC" w:rsidR="000D3F83" w:rsidRPr="00FA3A35" w:rsidRDefault="00DB4F32" w:rsidP="00474259">
          <w:pPr>
            <w:pStyle w:val="Fuzeile"/>
            <w:ind w:right="-83"/>
            <w:rPr>
              <w:rFonts w:cs="Arial"/>
              <w:sz w:val="16"/>
              <w:szCs w:val="16"/>
            </w:rPr>
          </w:pPr>
          <w:r>
            <w:rPr>
              <w:rFonts w:cs="Arial"/>
              <w:sz w:val="16"/>
              <w:szCs w:val="16"/>
            </w:rPr>
            <w:t>0</w:t>
          </w:r>
          <w:r w:rsidR="006058CE">
            <w:rPr>
              <w:rFonts w:cs="Arial"/>
              <w:sz w:val="16"/>
              <w:szCs w:val="16"/>
            </w:rPr>
            <w:t>6</w:t>
          </w:r>
          <w:r w:rsidR="00AB24B8">
            <w:rPr>
              <w:rFonts w:cs="Arial"/>
              <w:sz w:val="16"/>
              <w:szCs w:val="16"/>
            </w:rPr>
            <w:t>.201</w:t>
          </w:r>
          <w:r>
            <w:rPr>
              <w:rFonts w:cs="Arial"/>
              <w:sz w:val="16"/>
              <w:szCs w:val="16"/>
            </w:rPr>
            <w:t>9</w:t>
          </w:r>
        </w:p>
      </w:tc>
      <w:tc>
        <w:tcPr>
          <w:tcW w:w="1114" w:type="dxa"/>
          <w:vAlign w:val="center"/>
        </w:tcPr>
        <w:p w14:paraId="065DCDF1" w14:textId="2C5F87E8" w:rsidR="000D3F83" w:rsidRPr="00FA3A35" w:rsidRDefault="00107196" w:rsidP="00474259">
          <w:pPr>
            <w:pStyle w:val="Fuzeile"/>
            <w:ind w:right="-83"/>
            <w:rPr>
              <w:rFonts w:cs="Arial"/>
              <w:sz w:val="16"/>
              <w:szCs w:val="16"/>
            </w:rPr>
          </w:pPr>
          <w:r>
            <w:rPr>
              <w:rFonts w:cs="Arial"/>
              <w:sz w:val="16"/>
              <w:szCs w:val="16"/>
            </w:rPr>
            <w:t>09.2019</w:t>
          </w:r>
        </w:p>
      </w:tc>
      <w:tc>
        <w:tcPr>
          <w:tcW w:w="1114" w:type="dxa"/>
          <w:vAlign w:val="center"/>
        </w:tcPr>
        <w:p w14:paraId="57B2387E" w14:textId="77777777" w:rsidR="000D3F83" w:rsidRPr="00FA3A35" w:rsidRDefault="000D3F83" w:rsidP="00474259">
          <w:pPr>
            <w:pStyle w:val="Fuzeile"/>
            <w:ind w:right="-83"/>
            <w:rPr>
              <w:rFonts w:cs="Arial"/>
              <w:sz w:val="16"/>
              <w:szCs w:val="16"/>
            </w:rPr>
          </w:pPr>
        </w:p>
      </w:tc>
      <w:tc>
        <w:tcPr>
          <w:tcW w:w="1114" w:type="dxa"/>
          <w:vAlign w:val="center"/>
        </w:tcPr>
        <w:p w14:paraId="6B2E1E7A" w14:textId="77777777" w:rsidR="000D3F83" w:rsidRPr="00FA3A35" w:rsidRDefault="000D3F83" w:rsidP="00474259">
          <w:pPr>
            <w:pStyle w:val="Fuzeile"/>
            <w:ind w:right="-83"/>
            <w:rPr>
              <w:rFonts w:cs="Arial"/>
              <w:sz w:val="16"/>
              <w:szCs w:val="16"/>
            </w:rPr>
          </w:pPr>
        </w:p>
      </w:tc>
      <w:tc>
        <w:tcPr>
          <w:tcW w:w="1114" w:type="dxa"/>
          <w:vAlign w:val="center"/>
        </w:tcPr>
        <w:p w14:paraId="63540CF4" w14:textId="77777777" w:rsidR="000D3F83" w:rsidRPr="00FA3A35" w:rsidRDefault="000D3F83" w:rsidP="00474259">
          <w:pPr>
            <w:pStyle w:val="Fuzeile"/>
            <w:ind w:right="-83"/>
            <w:rPr>
              <w:rFonts w:cs="Arial"/>
              <w:sz w:val="16"/>
              <w:szCs w:val="16"/>
            </w:rPr>
          </w:pPr>
        </w:p>
      </w:tc>
      <w:tc>
        <w:tcPr>
          <w:tcW w:w="1114" w:type="dxa"/>
          <w:vAlign w:val="center"/>
        </w:tcPr>
        <w:p w14:paraId="2A81D65E" w14:textId="77777777" w:rsidR="000D3F83" w:rsidRPr="00FA3A35" w:rsidRDefault="000D3F83" w:rsidP="00474259">
          <w:pPr>
            <w:pStyle w:val="Fuzeile"/>
            <w:ind w:right="-83"/>
            <w:rPr>
              <w:rFonts w:cs="Arial"/>
              <w:sz w:val="16"/>
              <w:szCs w:val="16"/>
            </w:rPr>
          </w:pPr>
          <w:r w:rsidRPr="00FA3A35">
            <w:rPr>
              <w:rFonts w:cs="Arial"/>
              <w:sz w:val="16"/>
              <w:szCs w:val="16"/>
            </w:rPr>
            <w:t>Gültig ab:</w:t>
          </w:r>
        </w:p>
      </w:tc>
      <w:tc>
        <w:tcPr>
          <w:tcW w:w="1114" w:type="dxa"/>
          <w:vAlign w:val="center"/>
        </w:tcPr>
        <w:p w14:paraId="520992F0" w14:textId="77777777" w:rsidR="000D3F83" w:rsidRPr="00FA3A35" w:rsidRDefault="000D3F83" w:rsidP="00474259">
          <w:pPr>
            <w:pStyle w:val="Fuzeile"/>
            <w:ind w:right="-83"/>
            <w:rPr>
              <w:rFonts w:cs="Arial"/>
              <w:sz w:val="16"/>
              <w:szCs w:val="16"/>
            </w:rPr>
          </w:pPr>
        </w:p>
      </w:tc>
    </w:tr>
    <w:tr w:rsidR="00107196" w:rsidRPr="00FA3A35" w14:paraId="02D8B56F" w14:textId="77777777" w:rsidTr="006618CF">
      <w:tc>
        <w:tcPr>
          <w:tcW w:w="1811" w:type="dxa"/>
          <w:vAlign w:val="center"/>
        </w:tcPr>
        <w:p w14:paraId="24599EFE" w14:textId="77777777" w:rsidR="00107196" w:rsidRPr="00FA3A35" w:rsidRDefault="00107196" w:rsidP="00107196">
          <w:pPr>
            <w:pStyle w:val="Fuzeile"/>
            <w:ind w:right="-83"/>
            <w:rPr>
              <w:rFonts w:cs="Arial"/>
              <w:sz w:val="16"/>
              <w:szCs w:val="16"/>
            </w:rPr>
          </w:pPr>
          <w:r w:rsidRPr="00FA3A35">
            <w:rPr>
              <w:rFonts w:cs="Arial"/>
              <w:sz w:val="16"/>
              <w:szCs w:val="16"/>
            </w:rPr>
            <w:t>Erstellt/geändert:</w:t>
          </w:r>
        </w:p>
      </w:tc>
      <w:tc>
        <w:tcPr>
          <w:tcW w:w="1113" w:type="dxa"/>
          <w:vAlign w:val="center"/>
        </w:tcPr>
        <w:p w14:paraId="1D353058" w14:textId="67ED9EA1" w:rsidR="00107196" w:rsidRPr="00FA3A35" w:rsidRDefault="00107196" w:rsidP="00107196">
          <w:pPr>
            <w:pStyle w:val="Fuzeile"/>
            <w:ind w:right="-83"/>
            <w:rPr>
              <w:rFonts w:cs="Arial"/>
              <w:sz w:val="15"/>
              <w:szCs w:val="16"/>
            </w:rPr>
          </w:pPr>
          <w:r w:rsidRPr="00FA3A35">
            <w:rPr>
              <w:rFonts w:cs="Arial"/>
              <w:sz w:val="15"/>
              <w:szCs w:val="16"/>
            </w:rPr>
            <w:t>R.O.E.GmbH</w:t>
          </w:r>
        </w:p>
      </w:tc>
      <w:tc>
        <w:tcPr>
          <w:tcW w:w="1114" w:type="dxa"/>
          <w:vAlign w:val="center"/>
        </w:tcPr>
        <w:p w14:paraId="1C8C710B" w14:textId="37F968B1" w:rsidR="00107196" w:rsidRPr="00FA3A35" w:rsidRDefault="00107196" w:rsidP="00107196">
          <w:pPr>
            <w:pStyle w:val="Fuzeile"/>
            <w:ind w:right="-83"/>
            <w:rPr>
              <w:rFonts w:cs="Arial"/>
              <w:sz w:val="16"/>
              <w:szCs w:val="16"/>
            </w:rPr>
          </w:pPr>
          <w:r w:rsidRPr="00FA3A35">
            <w:rPr>
              <w:rFonts w:cs="Arial"/>
              <w:sz w:val="15"/>
              <w:szCs w:val="16"/>
            </w:rPr>
            <w:t>R.O.E.GmbH</w:t>
          </w:r>
        </w:p>
      </w:tc>
      <w:tc>
        <w:tcPr>
          <w:tcW w:w="1114" w:type="dxa"/>
          <w:vAlign w:val="center"/>
        </w:tcPr>
        <w:p w14:paraId="52D97B00" w14:textId="77777777" w:rsidR="00107196" w:rsidRPr="00FA3A35" w:rsidRDefault="00107196" w:rsidP="00107196">
          <w:pPr>
            <w:pStyle w:val="Fuzeile"/>
            <w:ind w:right="-83"/>
            <w:rPr>
              <w:rFonts w:cs="Arial"/>
              <w:sz w:val="16"/>
              <w:szCs w:val="16"/>
            </w:rPr>
          </w:pPr>
        </w:p>
      </w:tc>
      <w:tc>
        <w:tcPr>
          <w:tcW w:w="1114" w:type="dxa"/>
          <w:vAlign w:val="center"/>
        </w:tcPr>
        <w:p w14:paraId="7C509E31" w14:textId="77777777" w:rsidR="00107196" w:rsidRPr="00FA3A35" w:rsidRDefault="00107196" w:rsidP="00107196">
          <w:pPr>
            <w:pStyle w:val="Fuzeile"/>
            <w:ind w:right="-83"/>
            <w:rPr>
              <w:rFonts w:cs="Arial"/>
              <w:sz w:val="16"/>
              <w:szCs w:val="16"/>
            </w:rPr>
          </w:pPr>
        </w:p>
      </w:tc>
      <w:tc>
        <w:tcPr>
          <w:tcW w:w="1114" w:type="dxa"/>
          <w:vAlign w:val="center"/>
        </w:tcPr>
        <w:p w14:paraId="3BD1ACEC" w14:textId="77777777" w:rsidR="00107196" w:rsidRPr="00FA3A35" w:rsidRDefault="00107196" w:rsidP="00107196">
          <w:pPr>
            <w:pStyle w:val="Fuzeile"/>
            <w:ind w:right="-83"/>
            <w:rPr>
              <w:rFonts w:cs="Arial"/>
              <w:sz w:val="16"/>
              <w:szCs w:val="16"/>
            </w:rPr>
          </w:pPr>
        </w:p>
      </w:tc>
      <w:tc>
        <w:tcPr>
          <w:tcW w:w="1114" w:type="dxa"/>
          <w:shd w:val="clear" w:color="auto" w:fill="auto"/>
          <w:vAlign w:val="center"/>
        </w:tcPr>
        <w:p w14:paraId="75E39B98" w14:textId="77777777" w:rsidR="00107196" w:rsidRPr="00FA3A35" w:rsidRDefault="00107196" w:rsidP="00107196">
          <w:pPr>
            <w:pStyle w:val="Fuzeile"/>
            <w:ind w:right="-83"/>
            <w:rPr>
              <w:rFonts w:cs="Arial"/>
              <w:sz w:val="16"/>
              <w:szCs w:val="16"/>
            </w:rPr>
          </w:pPr>
        </w:p>
      </w:tc>
      <w:tc>
        <w:tcPr>
          <w:tcW w:w="1114" w:type="dxa"/>
          <w:vAlign w:val="center"/>
        </w:tcPr>
        <w:p w14:paraId="37D50976" w14:textId="77777777" w:rsidR="00107196" w:rsidRPr="00FA3A35" w:rsidRDefault="00107196" w:rsidP="00107196">
          <w:pPr>
            <w:pStyle w:val="Fuzeile"/>
            <w:ind w:right="-83"/>
            <w:rPr>
              <w:rFonts w:cs="Arial"/>
              <w:sz w:val="16"/>
              <w:szCs w:val="16"/>
            </w:rPr>
          </w:pPr>
        </w:p>
      </w:tc>
    </w:tr>
    <w:tr w:rsidR="00107196" w:rsidRPr="00FA3A35" w14:paraId="6F58E370" w14:textId="77777777" w:rsidTr="006618CF">
      <w:tc>
        <w:tcPr>
          <w:tcW w:w="1811" w:type="dxa"/>
          <w:vAlign w:val="center"/>
        </w:tcPr>
        <w:p w14:paraId="4EB51454" w14:textId="77777777" w:rsidR="00107196" w:rsidRPr="00FA3A35" w:rsidRDefault="00107196" w:rsidP="00107196">
          <w:pPr>
            <w:pStyle w:val="Fuzeile"/>
            <w:ind w:right="-83"/>
            <w:rPr>
              <w:rFonts w:cs="Arial"/>
              <w:sz w:val="16"/>
              <w:szCs w:val="16"/>
            </w:rPr>
          </w:pPr>
          <w:r w:rsidRPr="00FA3A35">
            <w:rPr>
              <w:rFonts w:cs="Arial"/>
              <w:sz w:val="16"/>
              <w:szCs w:val="16"/>
            </w:rPr>
            <w:t>Genehmigt:</w:t>
          </w:r>
        </w:p>
      </w:tc>
      <w:tc>
        <w:tcPr>
          <w:tcW w:w="1113" w:type="dxa"/>
          <w:vAlign w:val="center"/>
        </w:tcPr>
        <w:p w14:paraId="13D9AC6B" w14:textId="77777777" w:rsidR="00107196" w:rsidRPr="00FA3A35" w:rsidRDefault="00107196" w:rsidP="00107196">
          <w:pPr>
            <w:pStyle w:val="Fuzeile"/>
            <w:ind w:right="-83"/>
            <w:rPr>
              <w:rFonts w:cs="Arial"/>
              <w:sz w:val="16"/>
              <w:szCs w:val="16"/>
            </w:rPr>
          </w:pPr>
        </w:p>
      </w:tc>
      <w:tc>
        <w:tcPr>
          <w:tcW w:w="1114" w:type="dxa"/>
          <w:vAlign w:val="center"/>
        </w:tcPr>
        <w:p w14:paraId="20B83D72" w14:textId="77777777" w:rsidR="00107196" w:rsidRPr="00FA3A35" w:rsidRDefault="00107196" w:rsidP="00107196">
          <w:pPr>
            <w:pStyle w:val="Fuzeile"/>
            <w:ind w:right="-83"/>
            <w:rPr>
              <w:rFonts w:cs="Arial"/>
              <w:sz w:val="16"/>
              <w:szCs w:val="16"/>
            </w:rPr>
          </w:pPr>
        </w:p>
      </w:tc>
      <w:tc>
        <w:tcPr>
          <w:tcW w:w="1114" w:type="dxa"/>
          <w:vAlign w:val="center"/>
        </w:tcPr>
        <w:p w14:paraId="5719F735" w14:textId="77777777" w:rsidR="00107196" w:rsidRPr="00FA3A35" w:rsidRDefault="00107196" w:rsidP="00107196">
          <w:pPr>
            <w:pStyle w:val="Fuzeile"/>
            <w:ind w:right="-83"/>
            <w:rPr>
              <w:rFonts w:cs="Arial"/>
              <w:sz w:val="16"/>
              <w:szCs w:val="16"/>
            </w:rPr>
          </w:pPr>
        </w:p>
      </w:tc>
      <w:tc>
        <w:tcPr>
          <w:tcW w:w="1114" w:type="dxa"/>
          <w:vAlign w:val="center"/>
        </w:tcPr>
        <w:p w14:paraId="1A2DA052" w14:textId="77777777" w:rsidR="00107196" w:rsidRPr="00FA3A35" w:rsidRDefault="00107196" w:rsidP="00107196">
          <w:pPr>
            <w:pStyle w:val="Fuzeile"/>
            <w:ind w:right="-83"/>
            <w:rPr>
              <w:rFonts w:cs="Arial"/>
              <w:sz w:val="16"/>
              <w:szCs w:val="16"/>
            </w:rPr>
          </w:pPr>
        </w:p>
      </w:tc>
      <w:tc>
        <w:tcPr>
          <w:tcW w:w="1114" w:type="dxa"/>
          <w:vAlign w:val="center"/>
        </w:tcPr>
        <w:p w14:paraId="636C2B20" w14:textId="77777777" w:rsidR="00107196" w:rsidRPr="00FA3A35" w:rsidRDefault="00107196" w:rsidP="00107196">
          <w:pPr>
            <w:pStyle w:val="Fuzeile"/>
            <w:ind w:right="-83"/>
            <w:rPr>
              <w:rFonts w:cs="Arial"/>
              <w:sz w:val="16"/>
              <w:szCs w:val="16"/>
            </w:rPr>
          </w:pPr>
        </w:p>
      </w:tc>
      <w:tc>
        <w:tcPr>
          <w:tcW w:w="1114" w:type="dxa"/>
          <w:shd w:val="clear" w:color="auto" w:fill="auto"/>
          <w:vAlign w:val="center"/>
        </w:tcPr>
        <w:p w14:paraId="47BF5373" w14:textId="77777777" w:rsidR="00107196" w:rsidRPr="00FA3A35" w:rsidRDefault="00107196" w:rsidP="00107196">
          <w:pPr>
            <w:pStyle w:val="Fuzeile"/>
            <w:ind w:right="-83"/>
            <w:rPr>
              <w:rFonts w:cs="Arial"/>
              <w:sz w:val="16"/>
              <w:szCs w:val="16"/>
            </w:rPr>
          </w:pPr>
        </w:p>
      </w:tc>
      <w:tc>
        <w:tcPr>
          <w:tcW w:w="1114" w:type="dxa"/>
          <w:vAlign w:val="center"/>
        </w:tcPr>
        <w:p w14:paraId="11F1410A" w14:textId="77777777" w:rsidR="00107196" w:rsidRPr="00FA3A35" w:rsidRDefault="00107196" w:rsidP="00107196">
          <w:pPr>
            <w:pStyle w:val="Fuzeile"/>
            <w:ind w:right="-83"/>
            <w:rPr>
              <w:rFonts w:cs="Arial"/>
              <w:sz w:val="16"/>
              <w:szCs w:val="16"/>
            </w:rPr>
          </w:pPr>
        </w:p>
      </w:tc>
    </w:tr>
  </w:tbl>
  <w:p w14:paraId="225F203C" w14:textId="477AA927" w:rsidR="008000E0" w:rsidRPr="006528B9" w:rsidRDefault="000D3F83" w:rsidP="006528B9">
    <w:pPr>
      <w:spacing w:before="60"/>
      <w:rPr>
        <w:rFonts w:cs="Arial"/>
      </w:rPr>
    </w:pPr>
    <w:r w:rsidRPr="00FA3A35">
      <w:rPr>
        <w:rFonts w:cs="Arial"/>
        <w:b/>
        <w:sz w:val="16"/>
      </w:rPr>
      <w:t xml:space="preserve">© Copyright </w:t>
    </w:r>
    <w:r w:rsidR="00C97BCF" w:rsidRPr="00FA3A35">
      <w:rPr>
        <w:rFonts w:cs="Arial"/>
        <w:b/>
        <w:sz w:val="16"/>
      </w:rPr>
      <w:t>R.O.E. Online GmbH</w:t>
    </w:r>
    <w:r w:rsidRPr="00FA3A35">
      <w:rPr>
        <w:rFonts w:cs="Arial"/>
        <w:b/>
        <w:sz w:val="16"/>
      </w:rPr>
      <w:t>, keine unerlaubte Vervielfältigung, auch nicht auszugsweise!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E86C3" w14:textId="77777777" w:rsidR="0094407D" w:rsidRDefault="0094407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13EE7D" w14:textId="77777777" w:rsidR="0053483C" w:rsidRDefault="0053483C">
      <w:r>
        <w:separator/>
      </w:r>
    </w:p>
  </w:footnote>
  <w:footnote w:type="continuationSeparator" w:id="0">
    <w:p w14:paraId="4E7EEB99" w14:textId="77777777" w:rsidR="0053483C" w:rsidRDefault="005348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1C6BD" w14:textId="77777777" w:rsidR="0094407D" w:rsidRDefault="0094407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6"/>
      <w:gridCol w:w="5026"/>
      <w:gridCol w:w="2236"/>
    </w:tblGrid>
    <w:tr w:rsidR="000D3F83" w:rsidRPr="00A866DC" w14:paraId="5E7C5E53" w14:textId="77777777" w:rsidTr="006618CF">
      <w:trPr>
        <w:trHeight w:val="841"/>
      </w:trPr>
      <w:tc>
        <w:tcPr>
          <w:tcW w:w="2346" w:type="dxa"/>
          <w:vAlign w:val="center"/>
        </w:tcPr>
        <w:p w14:paraId="41ED86DD" w14:textId="433C6A28" w:rsidR="000D3F83" w:rsidRPr="00A866DC" w:rsidRDefault="0094407D" w:rsidP="00784E2E">
          <w:pPr>
            <w:pStyle w:val="MittleresRaster21"/>
            <w:jc w:val="center"/>
            <w:rPr>
              <w:rFonts w:ascii="Arial" w:hAnsi="Arial" w:cs="Arial"/>
              <w:sz w:val="18"/>
            </w:rPr>
          </w:pPr>
          <w:r>
            <w:rPr>
              <w:rFonts w:ascii="Arial" w:hAnsi="Arial" w:cs="Arial"/>
              <w:noProof/>
              <w:sz w:val="18"/>
            </w:rPr>
            <w:drawing>
              <wp:inline distT="0" distB="0" distL="0" distR="0" wp14:anchorId="7FC146BC" wp14:editId="75413510">
                <wp:extent cx="454025" cy="454025"/>
                <wp:effectExtent l="0" t="0" r="3175" b="3175"/>
                <wp:docPr id="1" name="Grafik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4025" cy="454025"/>
                        </a:xfrm>
                        <a:prstGeom prst="rect">
                          <a:avLst/>
                        </a:prstGeom>
                      </pic:spPr>
                    </pic:pic>
                  </a:graphicData>
                </a:graphic>
              </wp:inline>
            </w:drawing>
          </w:r>
        </w:p>
      </w:tc>
      <w:tc>
        <w:tcPr>
          <w:tcW w:w="5026" w:type="dxa"/>
          <w:vAlign w:val="center"/>
        </w:tcPr>
        <w:p w14:paraId="505BA5E6" w14:textId="77777777" w:rsidR="000D3F83" w:rsidRPr="00A866DC" w:rsidRDefault="000D3F83" w:rsidP="00474259">
          <w:pPr>
            <w:jc w:val="center"/>
            <w:rPr>
              <w:rFonts w:cs="Arial"/>
              <w:b/>
              <w:sz w:val="36"/>
              <w:szCs w:val="36"/>
            </w:rPr>
          </w:pPr>
          <w:r w:rsidRPr="00A866DC">
            <w:rPr>
              <w:rFonts w:cs="Arial"/>
              <w:b/>
              <w:sz w:val="36"/>
              <w:szCs w:val="36"/>
            </w:rPr>
            <w:t>Kurzunterweisung</w:t>
          </w:r>
        </w:p>
      </w:tc>
      <w:tc>
        <w:tcPr>
          <w:tcW w:w="2236" w:type="dxa"/>
          <w:vAlign w:val="center"/>
        </w:tcPr>
        <w:p w14:paraId="66F84BAF" w14:textId="77777777" w:rsidR="000D3F83" w:rsidRPr="00A866DC" w:rsidRDefault="00C97BCF" w:rsidP="00C97BCF">
          <w:pPr>
            <w:jc w:val="center"/>
            <w:rPr>
              <w:rFonts w:cs="Arial"/>
            </w:rPr>
          </w:pPr>
          <w:r w:rsidRPr="0099744C">
            <w:rPr>
              <w:rFonts w:cs="Arial"/>
              <w:noProof/>
              <w:sz w:val="22"/>
            </w:rPr>
            <w:t>Firmenlogo</w:t>
          </w:r>
        </w:p>
      </w:tc>
    </w:tr>
    <w:tr w:rsidR="000D3F83" w:rsidRPr="00BC2EF4" w14:paraId="592200E8" w14:textId="77777777" w:rsidTr="006618CF">
      <w:trPr>
        <w:trHeight w:val="832"/>
      </w:trPr>
      <w:tc>
        <w:tcPr>
          <w:tcW w:w="2346" w:type="dxa"/>
          <w:vAlign w:val="center"/>
        </w:tcPr>
        <w:p w14:paraId="643B899D" w14:textId="3115B738" w:rsidR="000D3F83" w:rsidRPr="0099744C" w:rsidRDefault="000D3F83" w:rsidP="00474259">
          <w:pPr>
            <w:jc w:val="center"/>
            <w:rPr>
              <w:rFonts w:cs="Arial"/>
              <w:sz w:val="22"/>
            </w:rPr>
          </w:pPr>
          <w:r w:rsidRPr="0099744C">
            <w:rPr>
              <w:rFonts w:cs="Arial"/>
              <w:b/>
              <w:sz w:val="22"/>
            </w:rPr>
            <w:t>UW_KU_</w:t>
          </w:r>
          <w:r w:rsidR="002058F1" w:rsidRPr="0099744C">
            <w:rPr>
              <w:rFonts w:cs="Arial"/>
              <w:b/>
              <w:sz w:val="22"/>
            </w:rPr>
            <w:t>1</w:t>
          </w:r>
          <w:r w:rsidR="00594590">
            <w:rPr>
              <w:rFonts w:cs="Arial"/>
              <w:b/>
              <w:sz w:val="22"/>
            </w:rPr>
            <w:t>6</w:t>
          </w:r>
        </w:p>
      </w:tc>
      <w:tc>
        <w:tcPr>
          <w:tcW w:w="5026" w:type="dxa"/>
          <w:vAlign w:val="center"/>
        </w:tcPr>
        <w:p w14:paraId="5B1B48B7" w14:textId="71565135" w:rsidR="000D3F83" w:rsidRPr="00BC2EF4" w:rsidRDefault="00594590" w:rsidP="00713E4A">
          <w:pPr>
            <w:jc w:val="center"/>
            <w:rPr>
              <w:rFonts w:cs="Arial"/>
              <w:sz w:val="28"/>
              <w:szCs w:val="28"/>
            </w:rPr>
          </w:pPr>
          <w:r w:rsidRPr="00594590">
            <w:rPr>
              <w:rFonts w:cs="Arial"/>
              <w:sz w:val="28"/>
              <w:szCs w:val="28"/>
            </w:rPr>
            <w:t>Einsatz von elektrischen Anlagen auf Baustellen gemäß DIN VDE 0100-704</w:t>
          </w:r>
        </w:p>
      </w:tc>
      <w:tc>
        <w:tcPr>
          <w:tcW w:w="2236" w:type="dxa"/>
          <w:vAlign w:val="center"/>
        </w:tcPr>
        <w:p w14:paraId="40C177E9" w14:textId="77777777" w:rsidR="000D3F83" w:rsidRPr="00BC2EF4" w:rsidRDefault="000D3F83" w:rsidP="00474259">
          <w:pPr>
            <w:jc w:val="center"/>
            <w:rPr>
              <w:rFonts w:cs="Arial"/>
            </w:rPr>
          </w:pPr>
        </w:p>
      </w:tc>
    </w:tr>
  </w:tbl>
  <w:p w14:paraId="7AECEA50" w14:textId="77777777" w:rsidR="008000E0" w:rsidRDefault="008000E0" w:rsidP="00E653D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713AC" w14:textId="77777777" w:rsidR="0094407D" w:rsidRDefault="0094407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13AA1"/>
    <w:multiLevelType w:val="hybridMultilevel"/>
    <w:tmpl w:val="5754CC8E"/>
    <w:lvl w:ilvl="0" w:tplc="D320FFDC">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AF1014"/>
    <w:multiLevelType w:val="hybridMultilevel"/>
    <w:tmpl w:val="FEDE4E18"/>
    <w:lvl w:ilvl="0" w:tplc="7B3C3C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FE2EDD"/>
    <w:multiLevelType w:val="hybridMultilevel"/>
    <w:tmpl w:val="333E4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0E4F2E"/>
    <w:multiLevelType w:val="hybridMultilevel"/>
    <w:tmpl w:val="165AC218"/>
    <w:lvl w:ilvl="0" w:tplc="04070001">
      <w:start w:val="1"/>
      <w:numFmt w:val="bullet"/>
      <w:lvlText w:val=""/>
      <w:lvlJc w:val="left"/>
      <w:pPr>
        <w:ind w:left="1584" w:hanging="360"/>
      </w:pPr>
      <w:rPr>
        <w:rFonts w:ascii="Symbol" w:hAnsi="Symbol" w:hint="default"/>
      </w:rPr>
    </w:lvl>
    <w:lvl w:ilvl="1" w:tplc="04070003">
      <w:start w:val="1"/>
      <w:numFmt w:val="bullet"/>
      <w:lvlText w:val="o"/>
      <w:lvlJc w:val="left"/>
      <w:pPr>
        <w:ind w:left="2304" w:hanging="360"/>
      </w:pPr>
      <w:rPr>
        <w:rFonts w:ascii="Courier New" w:hAnsi="Courier New" w:cs="Courier New" w:hint="default"/>
      </w:rPr>
    </w:lvl>
    <w:lvl w:ilvl="2" w:tplc="04070005">
      <w:start w:val="1"/>
      <w:numFmt w:val="bullet"/>
      <w:lvlText w:val=""/>
      <w:lvlJc w:val="left"/>
      <w:pPr>
        <w:ind w:left="3024" w:hanging="360"/>
      </w:pPr>
      <w:rPr>
        <w:rFonts w:ascii="Wingdings" w:hAnsi="Wingdings" w:hint="default"/>
      </w:rPr>
    </w:lvl>
    <w:lvl w:ilvl="3" w:tplc="04070001" w:tentative="1">
      <w:start w:val="1"/>
      <w:numFmt w:val="bullet"/>
      <w:lvlText w:val=""/>
      <w:lvlJc w:val="left"/>
      <w:pPr>
        <w:ind w:left="3744" w:hanging="360"/>
      </w:pPr>
      <w:rPr>
        <w:rFonts w:ascii="Symbol" w:hAnsi="Symbol" w:hint="default"/>
      </w:rPr>
    </w:lvl>
    <w:lvl w:ilvl="4" w:tplc="04070003" w:tentative="1">
      <w:start w:val="1"/>
      <w:numFmt w:val="bullet"/>
      <w:lvlText w:val="o"/>
      <w:lvlJc w:val="left"/>
      <w:pPr>
        <w:ind w:left="4464" w:hanging="360"/>
      </w:pPr>
      <w:rPr>
        <w:rFonts w:ascii="Courier New" w:hAnsi="Courier New" w:cs="Courier New" w:hint="default"/>
      </w:rPr>
    </w:lvl>
    <w:lvl w:ilvl="5" w:tplc="04070005" w:tentative="1">
      <w:start w:val="1"/>
      <w:numFmt w:val="bullet"/>
      <w:lvlText w:val=""/>
      <w:lvlJc w:val="left"/>
      <w:pPr>
        <w:ind w:left="5184" w:hanging="360"/>
      </w:pPr>
      <w:rPr>
        <w:rFonts w:ascii="Wingdings" w:hAnsi="Wingdings" w:hint="default"/>
      </w:rPr>
    </w:lvl>
    <w:lvl w:ilvl="6" w:tplc="04070001" w:tentative="1">
      <w:start w:val="1"/>
      <w:numFmt w:val="bullet"/>
      <w:lvlText w:val=""/>
      <w:lvlJc w:val="left"/>
      <w:pPr>
        <w:ind w:left="5904" w:hanging="360"/>
      </w:pPr>
      <w:rPr>
        <w:rFonts w:ascii="Symbol" w:hAnsi="Symbol" w:hint="default"/>
      </w:rPr>
    </w:lvl>
    <w:lvl w:ilvl="7" w:tplc="04070003" w:tentative="1">
      <w:start w:val="1"/>
      <w:numFmt w:val="bullet"/>
      <w:lvlText w:val="o"/>
      <w:lvlJc w:val="left"/>
      <w:pPr>
        <w:ind w:left="6624" w:hanging="360"/>
      </w:pPr>
      <w:rPr>
        <w:rFonts w:ascii="Courier New" w:hAnsi="Courier New" w:cs="Courier New" w:hint="default"/>
      </w:rPr>
    </w:lvl>
    <w:lvl w:ilvl="8" w:tplc="04070005" w:tentative="1">
      <w:start w:val="1"/>
      <w:numFmt w:val="bullet"/>
      <w:lvlText w:val=""/>
      <w:lvlJc w:val="left"/>
      <w:pPr>
        <w:ind w:left="7344" w:hanging="360"/>
      </w:pPr>
      <w:rPr>
        <w:rFonts w:ascii="Wingdings" w:hAnsi="Wingdings" w:hint="default"/>
      </w:rPr>
    </w:lvl>
  </w:abstractNum>
  <w:abstractNum w:abstractNumId="4" w15:restartNumberingAfterBreak="0">
    <w:nsid w:val="109549ED"/>
    <w:multiLevelType w:val="hybridMultilevel"/>
    <w:tmpl w:val="B17A377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25A01D0F"/>
    <w:multiLevelType w:val="hybridMultilevel"/>
    <w:tmpl w:val="0B70461C"/>
    <w:lvl w:ilvl="0" w:tplc="04070017">
      <w:start w:val="1"/>
      <w:numFmt w:val="lowerLetter"/>
      <w:lvlText w:val="%1)"/>
      <w:lvlJc w:val="left"/>
      <w:pPr>
        <w:ind w:left="360" w:hanging="360"/>
      </w:pPr>
    </w:lvl>
    <w:lvl w:ilvl="1" w:tplc="04070019" w:tentative="1">
      <w:start w:val="1"/>
      <w:numFmt w:val="lowerLetter"/>
      <w:lvlText w:val="%2."/>
      <w:lvlJc w:val="left"/>
      <w:pPr>
        <w:ind w:left="2226" w:hanging="360"/>
      </w:pPr>
    </w:lvl>
    <w:lvl w:ilvl="2" w:tplc="0407001B" w:tentative="1">
      <w:start w:val="1"/>
      <w:numFmt w:val="lowerRoman"/>
      <w:lvlText w:val="%3."/>
      <w:lvlJc w:val="right"/>
      <w:pPr>
        <w:ind w:left="2946" w:hanging="180"/>
      </w:pPr>
    </w:lvl>
    <w:lvl w:ilvl="3" w:tplc="0407000F" w:tentative="1">
      <w:start w:val="1"/>
      <w:numFmt w:val="decimal"/>
      <w:lvlText w:val="%4."/>
      <w:lvlJc w:val="left"/>
      <w:pPr>
        <w:ind w:left="3666" w:hanging="360"/>
      </w:pPr>
    </w:lvl>
    <w:lvl w:ilvl="4" w:tplc="04070019" w:tentative="1">
      <w:start w:val="1"/>
      <w:numFmt w:val="lowerLetter"/>
      <w:lvlText w:val="%5."/>
      <w:lvlJc w:val="left"/>
      <w:pPr>
        <w:ind w:left="4386" w:hanging="360"/>
      </w:pPr>
    </w:lvl>
    <w:lvl w:ilvl="5" w:tplc="0407001B" w:tentative="1">
      <w:start w:val="1"/>
      <w:numFmt w:val="lowerRoman"/>
      <w:lvlText w:val="%6."/>
      <w:lvlJc w:val="right"/>
      <w:pPr>
        <w:ind w:left="5106" w:hanging="180"/>
      </w:pPr>
    </w:lvl>
    <w:lvl w:ilvl="6" w:tplc="0407000F" w:tentative="1">
      <w:start w:val="1"/>
      <w:numFmt w:val="decimal"/>
      <w:lvlText w:val="%7."/>
      <w:lvlJc w:val="left"/>
      <w:pPr>
        <w:ind w:left="5826" w:hanging="360"/>
      </w:pPr>
    </w:lvl>
    <w:lvl w:ilvl="7" w:tplc="04070019" w:tentative="1">
      <w:start w:val="1"/>
      <w:numFmt w:val="lowerLetter"/>
      <w:lvlText w:val="%8."/>
      <w:lvlJc w:val="left"/>
      <w:pPr>
        <w:ind w:left="6546" w:hanging="360"/>
      </w:pPr>
    </w:lvl>
    <w:lvl w:ilvl="8" w:tplc="0407001B" w:tentative="1">
      <w:start w:val="1"/>
      <w:numFmt w:val="lowerRoman"/>
      <w:lvlText w:val="%9."/>
      <w:lvlJc w:val="right"/>
      <w:pPr>
        <w:ind w:left="7266" w:hanging="180"/>
      </w:pPr>
    </w:lvl>
  </w:abstractNum>
  <w:abstractNum w:abstractNumId="6" w15:restartNumberingAfterBreak="0">
    <w:nsid w:val="374B695A"/>
    <w:multiLevelType w:val="hybridMultilevel"/>
    <w:tmpl w:val="D7DE1D8E"/>
    <w:lvl w:ilvl="0" w:tplc="04070001">
      <w:start w:val="1"/>
      <w:numFmt w:val="bullet"/>
      <w:lvlText w:val=""/>
      <w:lvlJc w:val="left"/>
      <w:pPr>
        <w:ind w:left="1584" w:hanging="360"/>
      </w:pPr>
      <w:rPr>
        <w:rFonts w:ascii="Symbol" w:hAnsi="Symbol" w:hint="default"/>
      </w:rPr>
    </w:lvl>
    <w:lvl w:ilvl="1" w:tplc="04070003">
      <w:start w:val="1"/>
      <w:numFmt w:val="bullet"/>
      <w:lvlText w:val="o"/>
      <w:lvlJc w:val="left"/>
      <w:pPr>
        <w:ind w:left="2304" w:hanging="360"/>
      </w:pPr>
      <w:rPr>
        <w:rFonts w:ascii="Courier New" w:hAnsi="Courier New" w:cs="Courier New" w:hint="default"/>
      </w:rPr>
    </w:lvl>
    <w:lvl w:ilvl="2" w:tplc="04070005" w:tentative="1">
      <w:start w:val="1"/>
      <w:numFmt w:val="bullet"/>
      <w:lvlText w:val=""/>
      <w:lvlJc w:val="left"/>
      <w:pPr>
        <w:ind w:left="3024" w:hanging="360"/>
      </w:pPr>
      <w:rPr>
        <w:rFonts w:ascii="Wingdings" w:hAnsi="Wingdings" w:hint="default"/>
      </w:rPr>
    </w:lvl>
    <w:lvl w:ilvl="3" w:tplc="04070001" w:tentative="1">
      <w:start w:val="1"/>
      <w:numFmt w:val="bullet"/>
      <w:lvlText w:val=""/>
      <w:lvlJc w:val="left"/>
      <w:pPr>
        <w:ind w:left="3744" w:hanging="360"/>
      </w:pPr>
      <w:rPr>
        <w:rFonts w:ascii="Symbol" w:hAnsi="Symbol" w:hint="default"/>
      </w:rPr>
    </w:lvl>
    <w:lvl w:ilvl="4" w:tplc="04070003" w:tentative="1">
      <w:start w:val="1"/>
      <w:numFmt w:val="bullet"/>
      <w:lvlText w:val="o"/>
      <w:lvlJc w:val="left"/>
      <w:pPr>
        <w:ind w:left="4464" w:hanging="360"/>
      </w:pPr>
      <w:rPr>
        <w:rFonts w:ascii="Courier New" w:hAnsi="Courier New" w:cs="Courier New" w:hint="default"/>
      </w:rPr>
    </w:lvl>
    <w:lvl w:ilvl="5" w:tplc="04070005" w:tentative="1">
      <w:start w:val="1"/>
      <w:numFmt w:val="bullet"/>
      <w:lvlText w:val=""/>
      <w:lvlJc w:val="left"/>
      <w:pPr>
        <w:ind w:left="5184" w:hanging="360"/>
      </w:pPr>
      <w:rPr>
        <w:rFonts w:ascii="Wingdings" w:hAnsi="Wingdings" w:hint="default"/>
      </w:rPr>
    </w:lvl>
    <w:lvl w:ilvl="6" w:tplc="04070001" w:tentative="1">
      <w:start w:val="1"/>
      <w:numFmt w:val="bullet"/>
      <w:lvlText w:val=""/>
      <w:lvlJc w:val="left"/>
      <w:pPr>
        <w:ind w:left="5904" w:hanging="360"/>
      </w:pPr>
      <w:rPr>
        <w:rFonts w:ascii="Symbol" w:hAnsi="Symbol" w:hint="default"/>
      </w:rPr>
    </w:lvl>
    <w:lvl w:ilvl="7" w:tplc="04070003" w:tentative="1">
      <w:start w:val="1"/>
      <w:numFmt w:val="bullet"/>
      <w:lvlText w:val="o"/>
      <w:lvlJc w:val="left"/>
      <w:pPr>
        <w:ind w:left="6624" w:hanging="360"/>
      </w:pPr>
      <w:rPr>
        <w:rFonts w:ascii="Courier New" w:hAnsi="Courier New" w:cs="Courier New" w:hint="default"/>
      </w:rPr>
    </w:lvl>
    <w:lvl w:ilvl="8" w:tplc="04070005" w:tentative="1">
      <w:start w:val="1"/>
      <w:numFmt w:val="bullet"/>
      <w:lvlText w:val=""/>
      <w:lvlJc w:val="left"/>
      <w:pPr>
        <w:ind w:left="7344" w:hanging="360"/>
      </w:pPr>
      <w:rPr>
        <w:rFonts w:ascii="Wingdings" w:hAnsi="Wingdings" w:hint="default"/>
      </w:rPr>
    </w:lvl>
  </w:abstractNum>
  <w:abstractNum w:abstractNumId="7" w15:restartNumberingAfterBreak="0">
    <w:nsid w:val="38AD7148"/>
    <w:multiLevelType w:val="hybridMultilevel"/>
    <w:tmpl w:val="F482C2F2"/>
    <w:lvl w:ilvl="0" w:tplc="04070001">
      <w:start w:val="1"/>
      <w:numFmt w:val="bullet"/>
      <w:lvlText w:val=""/>
      <w:lvlJc w:val="left"/>
      <w:pPr>
        <w:ind w:left="720" w:hanging="360"/>
      </w:pPr>
      <w:rPr>
        <w:rFonts w:ascii="Symbol" w:hAnsi="Symbol" w:hint="default"/>
        <w:color w:val="00000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E5510A8"/>
    <w:multiLevelType w:val="hybridMultilevel"/>
    <w:tmpl w:val="3CE20A8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A5D1611"/>
    <w:multiLevelType w:val="hybridMultilevel"/>
    <w:tmpl w:val="954611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CD50E6B"/>
    <w:multiLevelType w:val="hybridMultilevel"/>
    <w:tmpl w:val="8966909A"/>
    <w:lvl w:ilvl="0" w:tplc="04070001">
      <w:start w:val="1"/>
      <w:numFmt w:val="bullet"/>
      <w:lvlText w:val=""/>
      <w:lvlJc w:val="left"/>
      <w:pPr>
        <w:ind w:left="720" w:hanging="360"/>
      </w:pPr>
      <w:rPr>
        <w:rFonts w:ascii="Symbol" w:hAnsi="Symbol" w:hint="default"/>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06F28A4"/>
    <w:multiLevelType w:val="hybridMultilevel"/>
    <w:tmpl w:val="94E4752A"/>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2" w15:restartNumberingAfterBreak="0">
    <w:nsid w:val="77263DB0"/>
    <w:multiLevelType w:val="hybridMultilevel"/>
    <w:tmpl w:val="BDFE28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B041321"/>
    <w:multiLevelType w:val="hybridMultilevel"/>
    <w:tmpl w:val="32369360"/>
    <w:lvl w:ilvl="0" w:tplc="04070017">
      <w:start w:val="1"/>
      <w:numFmt w:val="lowerLetter"/>
      <w:lvlText w:val="%1)"/>
      <w:lvlJc w:val="left"/>
      <w:pPr>
        <w:ind w:left="1506" w:hanging="360"/>
      </w:pPr>
    </w:lvl>
    <w:lvl w:ilvl="1" w:tplc="04070019" w:tentative="1">
      <w:start w:val="1"/>
      <w:numFmt w:val="lowerLetter"/>
      <w:lvlText w:val="%2."/>
      <w:lvlJc w:val="left"/>
      <w:pPr>
        <w:ind w:left="2226" w:hanging="360"/>
      </w:pPr>
    </w:lvl>
    <w:lvl w:ilvl="2" w:tplc="0407001B" w:tentative="1">
      <w:start w:val="1"/>
      <w:numFmt w:val="lowerRoman"/>
      <w:lvlText w:val="%3."/>
      <w:lvlJc w:val="right"/>
      <w:pPr>
        <w:ind w:left="2946" w:hanging="180"/>
      </w:pPr>
    </w:lvl>
    <w:lvl w:ilvl="3" w:tplc="0407000F" w:tentative="1">
      <w:start w:val="1"/>
      <w:numFmt w:val="decimal"/>
      <w:lvlText w:val="%4."/>
      <w:lvlJc w:val="left"/>
      <w:pPr>
        <w:ind w:left="3666" w:hanging="360"/>
      </w:pPr>
    </w:lvl>
    <w:lvl w:ilvl="4" w:tplc="04070019" w:tentative="1">
      <w:start w:val="1"/>
      <w:numFmt w:val="lowerLetter"/>
      <w:lvlText w:val="%5."/>
      <w:lvlJc w:val="left"/>
      <w:pPr>
        <w:ind w:left="4386" w:hanging="360"/>
      </w:pPr>
    </w:lvl>
    <w:lvl w:ilvl="5" w:tplc="0407001B" w:tentative="1">
      <w:start w:val="1"/>
      <w:numFmt w:val="lowerRoman"/>
      <w:lvlText w:val="%6."/>
      <w:lvlJc w:val="right"/>
      <w:pPr>
        <w:ind w:left="5106" w:hanging="180"/>
      </w:pPr>
    </w:lvl>
    <w:lvl w:ilvl="6" w:tplc="0407000F" w:tentative="1">
      <w:start w:val="1"/>
      <w:numFmt w:val="decimal"/>
      <w:lvlText w:val="%7."/>
      <w:lvlJc w:val="left"/>
      <w:pPr>
        <w:ind w:left="5826" w:hanging="360"/>
      </w:pPr>
    </w:lvl>
    <w:lvl w:ilvl="7" w:tplc="04070019" w:tentative="1">
      <w:start w:val="1"/>
      <w:numFmt w:val="lowerLetter"/>
      <w:lvlText w:val="%8."/>
      <w:lvlJc w:val="left"/>
      <w:pPr>
        <w:ind w:left="6546" w:hanging="360"/>
      </w:pPr>
    </w:lvl>
    <w:lvl w:ilvl="8" w:tplc="0407001B" w:tentative="1">
      <w:start w:val="1"/>
      <w:numFmt w:val="lowerRoman"/>
      <w:lvlText w:val="%9."/>
      <w:lvlJc w:val="right"/>
      <w:pPr>
        <w:ind w:left="7266" w:hanging="180"/>
      </w:pPr>
    </w:lvl>
  </w:abstractNum>
  <w:abstractNum w:abstractNumId="14" w15:restartNumberingAfterBreak="0">
    <w:nsid w:val="7B651937"/>
    <w:multiLevelType w:val="multilevel"/>
    <w:tmpl w:val="2D08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0A4EC8"/>
    <w:multiLevelType w:val="hybridMultilevel"/>
    <w:tmpl w:val="0AAEF3BE"/>
    <w:lvl w:ilvl="0" w:tplc="04070001">
      <w:start w:val="1"/>
      <w:numFmt w:val="bullet"/>
      <w:lvlText w:val=""/>
      <w:lvlJc w:val="left"/>
      <w:pPr>
        <w:ind w:left="280" w:hanging="360"/>
      </w:pPr>
      <w:rPr>
        <w:rFonts w:ascii="Symbol" w:hAnsi="Symbol" w:hint="default"/>
      </w:rPr>
    </w:lvl>
    <w:lvl w:ilvl="1" w:tplc="04070003" w:tentative="1">
      <w:start w:val="1"/>
      <w:numFmt w:val="bullet"/>
      <w:lvlText w:val="o"/>
      <w:lvlJc w:val="left"/>
      <w:pPr>
        <w:ind w:left="1000" w:hanging="360"/>
      </w:pPr>
      <w:rPr>
        <w:rFonts w:ascii="Courier New" w:hAnsi="Courier New" w:cs="Courier New" w:hint="default"/>
      </w:rPr>
    </w:lvl>
    <w:lvl w:ilvl="2" w:tplc="04070005" w:tentative="1">
      <w:start w:val="1"/>
      <w:numFmt w:val="bullet"/>
      <w:lvlText w:val=""/>
      <w:lvlJc w:val="left"/>
      <w:pPr>
        <w:ind w:left="1720" w:hanging="360"/>
      </w:pPr>
      <w:rPr>
        <w:rFonts w:ascii="Wingdings" w:hAnsi="Wingdings" w:hint="default"/>
      </w:rPr>
    </w:lvl>
    <w:lvl w:ilvl="3" w:tplc="04070001" w:tentative="1">
      <w:start w:val="1"/>
      <w:numFmt w:val="bullet"/>
      <w:lvlText w:val=""/>
      <w:lvlJc w:val="left"/>
      <w:pPr>
        <w:ind w:left="2440" w:hanging="360"/>
      </w:pPr>
      <w:rPr>
        <w:rFonts w:ascii="Symbol" w:hAnsi="Symbol" w:hint="default"/>
      </w:rPr>
    </w:lvl>
    <w:lvl w:ilvl="4" w:tplc="04070003" w:tentative="1">
      <w:start w:val="1"/>
      <w:numFmt w:val="bullet"/>
      <w:lvlText w:val="o"/>
      <w:lvlJc w:val="left"/>
      <w:pPr>
        <w:ind w:left="3160" w:hanging="360"/>
      </w:pPr>
      <w:rPr>
        <w:rFonts w:ascii="Courier New" w:hAnsi="Courier New" w:cs="Courier New" w:hint="default"/>
      </w:rPr>
    </w:lvl>
    <w:lvl w:ilvl="5" w:tplc="04070005" w:tentative="1">
      <w:start w:val="1"/>
      <w:numFmt w:val="bullet"/>
      <w:lvlText w:val=""/>
      <w:lvlJc w:val="left"/>
      <w:pPr>
        <w:ind w:left="3880" w:hanging="360"/>
      </w:pPr>
      <w:rPr>
        <w:rFonts w:ascii="Wingdings" w:hAnsi="Wingdings" w:hint="default"/>
      </w:rPr>
    </w:lvl>
    <w:lvl w:ilvl="6" w:tplc="04070001" w:tentative="1">
      <w:start w:val="1"/>
      <w:numFmt w:val="bullet"/>
      <w:lvlText w:val=""/>
      <w:lvlJc w:val="left"/>
      <w:pPr>
        <w:ind w:left="4600" w:hanging="360"/>
      </w:pPr>
      <w:rPr>
        <w:rFonts w:ascii="Symbol" w:hAnsi="Symbol" w:hint="default"/>
      </w:rPr>
    </w:lvl>
    <w:lvl w:ilvl="7" w:tplc="04070003" w:tentative="1">
      <w:start w:val="1"/>
      <w:numFmt w:val="bullet"/>
      <w:lvlText w:val="o"/>
      <w:lvlJc w:val="left"/>
      <w:pPr>
        <w:ind w:left="5320" w:hanging="360"/>
      </w:pPr>
      <w:rPr>
        <w:rFonts w:ascii="Courier New" w:hAnsi="Courier New" w:cs="Courier New" w:hint="default"/>
      </w:rPr>
    </w:lvl>
    <w:lvl w:ilvl="8" w:tplc="04070005" w:tentative="1">
      <w:start w:val="1"/>
      <w:numFmt w:val="bullet"/>
      <w:lvlText w:val=""/>
      <w:lvlJc w:val="left"/>
      <w:pPr>
        <w:ind w:left="6040" w:hanging="360"/>
      </w:pPr>
      <w:rPr>
        <w:rFonts w:ascii="Wingdings" w:hAnsi="Wingdings" w:hint="default"/>
      </w:rPr>
    </w:lvl>
  </w:abstractNum>
  <w:num w:numId="1">
    <w:abstractNumId w:val="13"/>
  </w:num>
  <w:num w:numId="2">
    <w:abstractNumId w:val="15"/>
  </w:num>
  <w:num w:numId="3">
    <w:abstractNumId w:val="5"/>
  </w:num>
  <w:num w:numId="4">
    <w:abstractNumId w:val="0"/>
  </w:num>
  <w:num w:numId="5">
    <w:abstractNumId w:val="2"/>
  </w:num>
  <w:num w:numId="6">
    <w:abstractNumId w:val="12"/>
  </w:num>
  <w:num w:numId="7">
    <w:abstractNumId w:val="1"/>
  </w:num>
  <w:num w:numId="8">
    <w:abstractNumId w:val="11"/>
  </w:num>
  <w:num w:numId="9">
    <w:abstractNumId w:val="6"/>
  </w:num>
  <w:num w:numId="10">
    <w:abstractNumId w:val="9"/>
  </w:num>
  <w:num w:numId="11">
    <w:abstractNumId w:val="4"/>
  </w:num>
  <w:num w:numId="12">
    <w:abstractNumId w:val="3"/>
  </w:num>
  <w:num w:numId="13">
    <w:abstractNumId w:val="7"/>
  </w:num>
  <w:num w:numId="14">
    <w:abstractNumId w:val="10"/>
  </w:num>
  <w:num w:numId="15">
    <w:abstractNumId w:val="8"/>
  </w:num>
  <w:num w:numId="16">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485"/>
    <w:rsid w:val="0000677D"/>
    <w:rsid w:val="00007E03"/>
    <w:rsid w:val="00014CCE"/>
    <w:rsid w:val="00027F84"/>
    <w:rsid w:val="00032FDB"/>
    <w:rsid w:val="00033E2A"/>
    <w:rsid w:val="000353F4"/>
    <w:rsid w:val="00040E3F"/>
    <w:rsid w:val="00042C6C"/>
    <w:rsid w:val="00042CD4"/>
    <w:rsid w:val="00043813"/>
    <w:rsid w:val="00045D73"/>
    <w:rsid w:val="00047E60"/>
    <w:rsid w:val="00050B5F"/>
    <w:rsid w:val="00054DE8"/>
    <w:rsid w:val="00060250"/>
    <w:rsid w:val="000630CC"/>
    <w:rsid w:val="0006696B"/>
    <w:rsid w:val="00073D58"/>
    <w:rsid w:val="00080802"/>
    <w:rsid w:val="00081AF1"/>
    <w:rsid w:val="000857C9"/>
    <w:rsid w:val="000915AB"/>
    <w:rsid w:val="000931DA"/>
    <w:rsid w:val="00093697"/>
    <w:rsid w:val="000A2574"/>
    <w:rsid w:val="000A29B2"/>
    <w:rsid w:val="000A2BDE"/>
    <w:rsid w:val="000A3364"/>
    <w:rsid w:val="000A4040"/>
    <w:rsid w:val="000B0485"/>
    <w:rsid w:val="000B2871"/>
    <w:rsid w:val="000B5D66"/>
    <w:rsid w:val="000B63C1"/>
    <w:rsid w:val="000B728F"/>
    <w:rsid w:val="000C3F52"/>
    <w:rsid w:val="000D0A32"/>
    <w:rsid w:val="000D3F83"/>
    <w:rsid w:val="000E49B4"/>
    <w:rsid w:val="000E719E"/>
    <w:rsid w:val="000F2384"/>
    <w:rsid w:val="000F66A4"/>
    <w:rsid w:val="00103D8E"/>
    <w:rsid w:val="00107196"/>
    <w:rsid w:val="00107851"/>
    <w:rsid w:val="00107FF1"/>
    <w:rsid w:val="001122B9"/>
    <w:rsid w:val="00116C94"/>
    <w:rsid w:val="00117926"/>
    <w:rsid w:val="00117AA2"/>
    <w:rsid w:val="0012300F"/>
    <w:rsid w:val="00127406"/>
    <w:rsid w:val="00130BD6"/>
    <w:rsid w:val="001319BE"/>
    <w:rsid w:val="00133B78"/>
    <w:rsid w:val="00137228"/>
    <w:rsid w:val="00141349"/>
    <w:rsid w:val="00141F76"/>
    <w:rsid w:val="001441C9"/>
    <w:rsid w:val="0015462A"/>
    <w:rsid w:val="00156BFD"/>
    <w:rsid w:val="00162022"/>
    <w:rsid w:val="00165E85"/>
    <w:rsid w:val="00167B6C"/>
    <w:rsid w:val="00172154"/>
    <w:rsid w:val="001725EE"/>
    <w:rsid w:val="001824CF"/>
    <w:rsid w:val="0018338F"/>
    <w:rsid w:val="00183B14"/>
    <w:rsid w:val="001876DB"/>
    <w:rsid w:val="00192817"/>
    <w:rsid w:val="00195B36"/>
    <w:rsid w:val="00195CB3"/>
    <w:rsid w:val="001A0446"/>
    <w:rsid w:val="001A732A"/>
    <w:rsid w:val="001B09EE"/>
    <w:rsid w:val="001B22A5"/>
    <w:rsid w:val="001B48BE"/>
    <w:rsid w:val="001C2B0E"/>
    <w:rsid w:val="001C3A89"/>
    <w:rsid w:val="001C525F"/>
    <w:rsid w:val="001C6E01"/>
    <w:rsid w:val="001D1C35"/>
    <w:rsid w:val="001D6090"/>
    <w:rsid w:val="001E1FCD"/>
    <w:rsid w:val="001E509A"/>
    <w:rsid w:val="001F3EEB"/>
    <w:rsid w:val="001F4C03"/>
    <w:rsid w:val="002015C7"/>
    <w:rsid w:val="00204E30"/>
    <w:rsid w:val="00205708"/>
    <w:rsid w:val="002058F1"/>
    <w:rsid w:val="00205ED0"/>
    <w:rsid w:val="00217045"/>
    <w:rsid w:val="0023088A"/>
    <w:rsid w:val="0023562E"/>
    <w:rsid w:val="00235D66"/>
    <w:rsid w:val="002406C5"/>
    <w:rsid w:val="002414FA"/>
    <w:rsid w:val="0024427B"/>
    <w:rsid w:val="002503CF"/>
    <w:rsid w:val="0025264C"/>
    <w:rsid w:val="00256AC2"/>
    <w:rsid w:val="0026056C"/>
    <w:rsid w:val="00261D61"/>
    <w:rsid w:val="002663EA"/>
    <w:rsid w:val="002678D9"/>
    <w:rsid w:val="00267971"/>
    <w:rsid w:val="002752FD"/>
    <w:rsid w:val="00283128"/>
    <w:rsid w:val="0028586B"/>
    <w:rsid w:val="00290A38"/>
    <w:rsid w:val="00292EF3"/>
    <w:rsid w:val="002A7BDE"/>
    <w:rsid w:val="002B486C"/>
    <w:rsid w:val="002B5C14"/>
    <w:rsid w:val="002C6960"/>
    <w:rsid w:val="002C7232"/>
    <w:rsid w:val="002D1D3A"/>
    <w:rsid w:val="002D36E6"/>
    <w:rsid w:val="002E0C47"/>
    <w:rsid w:val="002E1457"/>
    <w:rsid w:val="002E1591"/>
    <w:rsid w:val="002E71DE"/>
    <w:rsid w:val="002F04E7"/>
    <w:rsid w:val="002F2217"/>
    <w:rsid w:val="002F5C00"/>
    <w:rsid w:val="0030385F"/>
    <w:rsid w:val="00303C23"/>
    <w:rsid w:val="00303CEF"/>
    <w:rsid w:val="00304654"/>
    <w:rsid w:val="00307FF4"/>
    <w:rsid w:val="00310D11"/>
    <w:rsid w:val="00311044"/>
    <w:rsid w:val="00312BA5"/>
    <w:rsid w:val="00320179"/>
    <w:rsid w:val="00331B49"/>
    <w:rsid w:val="00334624"/>
    <w:rsid w:val="0033562E"/>
    <w:rsid w:val="00337677"/>
    <w:rsid w:val="00337B00"/>
    <w:rsid w:val="0034095C"/>
    <w:rsid w:val="00341B65"/>
    <w:rsid w:val="003560BF"/>
    <w:rsid w:val="0036642C"/>
    <w:rsid w:val="0037026C"/>
    <w:rsid w:val="00371429"/>
    <w:rsid w:val="00381DA4"/>
    <w:rsid w:val="0038435E"/>
    <w:rsid w:val="00387F03"/>
    <w:rsid w:val="00392DF9"/>
    <w:rsid w:val="003A47A4"/>
    <w:rsid w:val="003A5CBA"/>
    <w:rsid w:val="003A766C"/>
    <w:rsid w:val="003B33E3"/>
    <w:rsid w:val="003B39EF"/>
    <w:rsid w:val="003C16CD"/>
    <w:rsid w:val="003C31C2"/>
    <w:rsid w:val="003C370C"/>
    <w:rsid w:val="003C496C"/>
    <w:rsid w:val="003C5641"/>
    <w:rsid w:val="003C7031"/>
    <w:rsid w:val="003D008D"/>
    <w:rsid w:val="003D1BE1"/>
    <w:rsid w:val="003D4C3F"/>
    <w:rsid w:val="003E60A4"/>
    <w:rsid w:val="003E749D"/>
    <w:rsid w:val="003F1134"/>
    <w:rsid w:val="003F147E"/>
    <w:rsid w:val="003F216A"/>
    <w:rsid w:val="004029A6"/>
    <w:rsid w:val="00402EA6"/>
    <w:rsid w:val="00407955"/>
    <w:rsid w:val="00416285"/>
    <w:rsid w:val="00416D6B"/>
    <w:rsid w:val="00423473"/>
    <w:rsid w:val="0042498C"/>
    <w:rsid w:val="00424E9E"/>
    <w:rsid w:val="00427C17"/>
    <w:rsid w:val="004302D1"/>
    <w:rsid w:val="00434A4B"/>
    <w:rsid w:val="00446822"/>
    <w:rsid w:val="004475DA"/>
    <w:rsid w:val="00456569"/>
    <w:rsid w:val="00457F21"/>
    <w:rsid w:val="004628FC"/>
    <w:rsid w:val="004630E8"/>
    <w:rsid w:val="00467344"/>
    <w:rsid w:val="00473B28"/>
    <w:rsid w:val="00474259"/>
    <w:rsid w:val="004875F3"/>
    <w:rsid w:val="00491D35"/>
    <w:rsid w:val="00497325"/>
    <w:rsid w:val="004A0C51"/>
    <w:rsid w:val="004A1D63"/>
    <w:rsid w:val="004A3198"/>
    <w:rsid w:val="004A6B04"/>
    <w:rsid w:val="004B0FB2"/>
    <w:rsid w:val="004B6F6E"/>
    <w:rsid w:val="004C44CA"/>
    <w:rsid w:val="004D5C8D"/>
    <w:rsid w:val="004D7CFA"/>
    <w:rsid w:val="004E00DC"/>
    <w:rsid w:val="004E0A8F"/>
    <w:rsid w:val="004E7494"/>
    <w:rsid w:val="004F1600"/>
    <w:rsid w:val="004F4F0C"/>
    <w:rsid w:val="00500585"/>
    <w:rsid w:val="0050558F"/>
    <w:rsid w:val="0050674D"/>
    <w:rsid w:val="00507717"/>
    <w:rsid w:val="0051077A"/>
    <w:rsid w:val="00521FA9"/>
    <w:rsid w:val="0052250B"/>
    <w:rsid w:val="005245CC"/>
    <w:rsid w:val="00527AAE"/>
    <w:rsid w:val="00530673"/>
    <w:rsid w:val="00531F9F"/>
    <w:rsid w:val="0053483C"/>
    <w:rsid w:val="00537549"/>
    <w:rsid w:val="00537F44"/>
    <w:rsid w:val="005450C3"/>
    <w:rsid w:val="005545FD"/>
    <w:rsid w:val="00567EC3"/>
    <w:rsid w:val="00575529"/>
    <w:rsid w:val="0058031B"/>
    <w:rsid w:val="00592FA3"/>
    <w:rsid w:val="00594590"/>
    <w:rsid w:val="005A3597"/>
    <w:rsid w:val="005B470F"/>
    <w:rsid w:val="005C2CBA"/>
    <w:rsid w:val="005D6A3B"/>
    <w:rsid w:val="005D6FD5"/>
    <w:rsid w:val="005D7A8F"/>
    <w:rsid w:val="005E092B"/>
    <w:rsid w:val="005E0C09"/>
    <w:rsid w:val="005E60FE"/>
    <w:rsid w:val="005F0730"/>
    <w:rsid w:val="005F2262"/>
    <w:rsid w:val="005F47F3"/>
    <w:rsid w:val="005F4D8C"/>
    <w:rsid w:val="005F4E81"/>
    <w:rsid w:val="00600B37"/>
    <w:rsid w:val="00601F09"/>
    <w:rsid w:val="006058CE"/>
    <w:rsid w:val="00615F8A"/>
    <w:rsid w:val="00616683"/>
    <w:rsid w:val="00617FE6"/>
    <w:rsid w:val="006207B4"/>
    <w:rsid w:val="00625C19"/>
    <w:rsid w:val="006262F6"/>
    <w:rsid w:val="0062688B"/>
    <w:rsid w:val="00633E79"/>
    <w:rsid w:val="0063544C"/>
    <w:rsid w:val="00650470"/>
    <w:rsid w:val="0065056D"/>
    <w:rsid w:val="006528B9"/>
    <w:rsid w:val="0065754A"/>
    <w:rsid w:val="006614D5"/>
    <w:rsid w:val="006618CF"/>
    <w:rsid w:val="00675494"/>
    <w:rsid w:val="006775DC"/>
    <w:rsid w:val="00686CBC"/>
    <w:rsid w:val="00690D18"/>
    <w:rsid w:val="00694B02"/>
    <w:rsid w:val="006B7BE6"/>
    <w:rsid w:val="006C31D6"/>
    <w:rsid w:val="006C37F6"/>
    <w:rsid w:val="006D0820"/>
    <w:rsid w:val="006D0B5D"/>
    <w:rsid w:val="006D6C64"/>
    <w:rsid w:val="006E0D57"/>
    <w:rsid w:val="006E12F0"/>
    <w:rsid w:val="006E410E"/>
    <w:rsid w:val="006E468E"/>
    <w:rsid w:val="006F0E69"/>
    <w:rsid w:val="006F2CAA"/>
    <w:rsid w:val="006F7C51"/>
    <w:rsid w:val="00700677"/>
    <w:rsid w:val="00712A05"/>
    <w:rsid w:val="00713E4A"/>
    <w:rsid w:val="00716634"/>
    <w:rsid w:val="00716BB9"/>
    <w:rsid w:val="00717452"/>
    <w:rsid w:val="007221CB"/>
    <w:rsid w:val="00724074"/>
    <w:rsid w:val="00726559"/>
    <w:rsid w:val="00731FDD"/>
    <w:rsid w:val="00743FCC"/>
    <w:rsid w:val="00746D1A"/>
    <w:rsid w:val="00752650"/>
    <w:rsid w:val="00754F27"/>
    <w:rsid w:val="00757336"/>
    <w:rsid w:val="00773149"/>
    <w:rsid w:val="00773E6E"/>
    <w:rsid w:val="00781915"/>
    <w:rsid w:val="00782F69"/>
    <w:rsid w:val="00784E2E"/>
    <w:rsid w:val="00787B06"/>
    <w:rsid w:val="00792272"/>
    <w:rsid w:val="00795256"/>
    <w:rsid w:val="00797AB6"/>
    <w:rsid w:val="00797FEE"/>
    <w:rsid w:val="007A1F0C"/>
    <w:rsid w:val="007A3F0B"/>
    <w:rsid w:val="007A4B38"/>
    <w:rsid w:val="007A74D5"/>
    <w:rsid w:val="007B05BA"/>
    <w:rsid w:val="007B219D"/>
    <w:rsid w:val="007B3CAF"/>
    <w:rsid w:val="007C0CB6"/>
    <w:rsid w:val="007C3AAD"/>
    <w:rsid w:val="007D04FD"/>
    <w:rsid w:val="007D1DBA"/>
    <w:rsid w:val="007D43AB"/>
    <w:rsid w:val="007E348A"/>
    <w:rsid w:val="007E3510"/>
    <w:rsid w:val="007E543B"/>
    <w:rsid w:val="007E6378"/>
    <w:rsid w:val="007F3BF2"/>
    <w:rsid w:val="007F4293"/>
    <w:rsid w:val="007F58E2"/>
    <w:rsid w:val="007F7A63"/>
    <w:rsid w:val="007F7C77"/>
    <w:rsid w:val="008000E0"/>
    <w:rsid w:val="0080323B"/>
    <w:rsid w:val="008066E5"/>
    <w:rsid w:val="008118EF"/>
    <w:rsid w:val="008119DD"/>
    <w:rsid w:val="00811ED0"/>
    <w:rsid w:val="0081285D"/>
    <w:rsid w:val="00812D72"/>
    <w:rsid w:val="00822C58"/>
    <w:rsid w:val="008256FC"/>
    <w:rsid w:val="00827614"/>
    <w:rsid w:val="0083499E"/>
    <w:rsid w:val="00834C22"/>
    <w:rsid w:val="008350F4"/>
    <w:rsid w:val="008352BA"/>
    <w:rsid w:val="008372B7"/>
    <w:rsid w:val="00837BAD"/>
    <w:rsid w:val="00837E37"/>
    <w:rsid w:val="00842447"/>
    <w:rsid w:val="00846D90"/>
    <w:rsid w:val="0085425E"/>
    <w:rsid w:val="00855CA6"/>
    <w:rsid w:val="00855DC9"/>
    <w:rsid w:val="00856444"/>
    <w:rsid w:val="008575D0"/>
    <w:rsid w:val="00861BBB"/>
    <w:rsid w:val="00862CF0"/>
    <w:rsid w:val="00874BE6"/>
    <w:rsid w:val="00874C81"/>
    <w:rsid w:val="008760A6"/>
    <w:rsid w:val="008804B4"/>
    <w:rsid w:val="00882F9F"/>
    <w:rsid w:val="008856C2"/>
    <w:rsid w:val="008862EB"/>
    <w:rsid w:val="0089014B"/>
    <w:rsid w:val="0089137C"/>
    <w:rsid w:val="008931EB"/>
    <w:rsid w:val="008A33CC"/>
    <w:rsid w:val="008A5910"/>
    <w:rsid w:val="008B23A9"/>
    <w:rsid w:val="008B325F"/>
    <w:rsid w:val="008B3859"/>
    <w:rsid w:val="008B4CE3"/>
    <w:rsid w:val="008E2D70"/>
    <w:rsid w:val="008E3078"/>
    <w:rsid w:val="008E50FC"/>
    <w:rsid w:val="008E6A21"/>
    <w:rsid w:val="008E6AEC"/>
    <w:rsid w:val="008F2B7A"/>
    <w:rsid w:val="008F675F"/>
    <w:rsid w:val="008F7FAC"/>
    <w:rsid w:val="00900CD9"/>
    <w:rsid w:val="009079BE"/>
    <w:rsid w:val="00914754"/>
    <w:rsid w:val="009150F8"/>
    <w:rsid w:val="009165C2"/>
    <w:rsid w:val="00916B2F"/>
    <w:rsid w:val="00923E3D"/>
    <w:rsid w:val="00924D11"/>
    <w:rsid w:val="009332A9"/>
    <w:rsid w:val="009341F3"/>
    <w:rsid w:val="0093476C"/>
    <w:rsid w:val="00936359"/>
    <w:rsid w:val="0094407D"/>
    <w:rsid w:val="0094768E"/>
    <w:rsid w:val="00950A9C"/>
    <w:rsid w:val="009513D6"/>
    <w:rsid w:val="0095259F"/>
    <w:rsid w:val="009536A0"/>
    <w:rsid w:val="00954493"/>
    <w:rsid w:val="009606B2"/>
    <w:rsid w:val="00966214"/>
    <w:rsid w:val="009712F5"/>
    <w:rsid w:val="00974928"/>
    <w:rsid w:val="00977F63"/>
    <w:rsid w:val="009809F8"/>
    <w:rsid w:val="0099071E"/>
    <w:rsid w:val="0099151C"/>
    <w:rsid w:val="00994EEC"/>
    <w:rsid w:val="009964C6"/>
    <w:rsid w:val="00996AA4"/>
    <w:rsid w:val="009970F1"/>
    <w:rsid w:val="0099744C"/>
    <w:rsid w:val="009A1EA9"/>
    <w:rsid w:val="009A31F5"/>
    <w:rsid w:val="009A37B2"/>
    <w:rsid w:val="009A3E8D"/>
    <w:rsid w:val="009B14E3"/>
    <w:rsid w:val="009B4674"/>
    <w:rsid w:val="009B5BB1"/>
    <w:rsid w:val="009B64A6"/>
    <w:rsid w:val="009C3C8F"/>
    <w:rsid w:val="009C5B3A"/>
    <w:rsid w:val="009E030A"/>
    <w:rsid w:val="009E0DA2"/>
    <w:rsid w:val="009E503E"/>
    <w:rsid w:val="009F49DF"/>
    <w:rsid w:val="00A03648"/>
    <w:rsid w:val="00A0422A"/>
    <w:rsid w:val="00A16C64"/>
    <w:rsid w:val="00A23AA2"/>
    <w:rsid w:val="00A23B10"/>
    <w:rsid w:val="00A25DB9"/>
    <w:rsid w:val="00A277A3"/>
    <w:rsid w:val="00A30CDA"/>
    <w:rsid w:val="00A318EA"/>
    <w:rsid w:val="00A32764"/>
    <w:rsid w:val="00A361B2"/>
    <w:rsid w:val="00A36FF0"/>
    <w:rsid w:val="00A52431"/>
    <w:rsid w:val="00A613D4"/>
    <w:rsid w:val="00A6785E"/>
    <w:rsid w:val="00A72C0D"/>
    <w:rsid w:val="00A74C06"/>
    <w:rsid w:val="00A7661F"/>
    <w:rsid w:val="00A861B5"/>
    <w:rsid w:val="00A86382"/>
    <w:rsid w:val="00A866DC"/>
    <w:rsid w:val="00A86BFA"/>
    <w:rsid w:val="00A909C9"/>
    <w:rsid w:val="00A9306E"/>
    <w:rsid w:val="00AA33F2"/>
    <w:rsid w:val="00AA67D9"/>
    <w:rsid w:val="00AB21AF"/>
    <w:rsid w:val="00AB24B8"/>
    <w:rsid w:val="00AC3DB8"/>
    <w:rsid w:val="00AD2D69"/>
    <w:rsid w:val="00AD4FA1"/>
    <w:rsid w:val="00AE205E"/>
    <w:rsid w:val="00AE25F5"/>
    <w:rsid w:val="00AE70E3"/>
    <w:rsid w:val="00AF2FBA"/>
    <w:rsid w:val="00AF4DD5"/>
    <w:rsid w:val="00B03014"/>
    <w:rsid w:val="00B1047F"/>
    <w:rsid w:val="00B15B95"/>
    <w:rsid w:val="00B167FC"/>
    <w:rsid w:val="00B178D2"/>
    <w:rsid w:val="00B260AF"/>
    <w:rsid w:val="00B40A66"/>
    <w:rsid w:val="00B41813"/>
    <w:rsid w:val="00B41A77"/>
    <w:rsid w:val="00B458FB"/>
    <w:rsid w:val="00B460AB"/>
    <w:rsid w:val="00B519D3"/>
    <w:rsid w:val="00B5318B"/>
    <w:rsid w:val="00B54173"/>
    <w:rsid w:val="00B541FC"/>
    <w:rsid w:val="00B54223"/>
    <w:rsid w:val="00B55DFA"/>
    <w:rsid w:val="00B63509"/>
    <w:rsid w:val="00B67D13"/>
    <w:rsid w:val="00B75CE1"/>
    <w:rsid w:val="00B764C8"/>
    <w:rsid w:val="00B84AFB"/>
    <w:rsid w:val="00B84C97"/>
    <w:rsid w:val="00B85E03"/>
    <w:rsid w:val="00B957EF"/>
    <w:rsid w:val="00BB250E"/>
    <w:rsid w:val="00BB5B2B"/>
    <w:rsid w:val="00BC2EF4"/>
    <w:rsid w:val="00BC5E35"/>
    <w:rsid w:val="00BD06FE"/>
    <w:rsid w:val="00BE3C39"/>
    <w:rsid w:val="00BF1F48"/>
    <w:rsid w:val="00BF4E9B"/>
    <w:rsid w:val="00BF6448"/>
    <w:rsid w:val="00BF6CAD"/>
    <w:rsid w:val="00C02836"/>
    <w:rsid w:val="00C10E74"/>
    <w:rsid w:val="00C11825"/>
    <w:rsid w:val="00C134F0"/>
    <w:rsid w:val="00C16FD0"/>
    <w:rsid w:val="00C1760D"/>
    <w:rsid w:val="00C176DD"/>
    <w:rsid w:val="00C233F4"/>
    <w:rsid w:val="00C24532"/>
    <w:rsid w:val="00C33C10"/>
    <w:rsid w:val="00C33D72"/>
    <w:rsid w:val="00C34332"/>
    <w:rsid w:val="00C361C7"/>
    <w:rsid w:val="00C36FBA"/>
    <w:rsid w:val="00C40060"/>
    <w:rsid w:val="00C420A2"/>
    <w:rsid w:val="00C424A9"/>
    <w:rsid w:val="00C441F0"/>
    <w:rsid w:val="00C46F17"/>
    <w:rsid w:val="00C51FD5"/>
    <w:rsid w:val="00C55654"/>
    <w:rsid w:val="00C5623E"/>
    <w:rsid w:val="00C5747C"/>
    <w:rsid w:val="00C60762"/>
    <w:rsid w:val="00C664F4"/>
    <w:rsid w:val="00C67109"/>
    <w:rsid w:val="00C71616"/>
    <w:rsid w:val="00C725CB"/>
    <w:rsid w:val="00C740C3"/>
    <w:rsid w:val="00C76F57"/>
    <w:rsid w:val="00C90655"/>
    <w:rsid w:val="00C94250"/>
    <w:rsid w:val="00C97BCF"/>
    <w:rsid w:val="00CA1C65"/>
    <w:rsid w:val="00CA6B5A"/>
    <w:rsid w:val="00CA7579"/>
    <w:rsid w:val="00CB2536"/>
    <w:rsid w:val="00CC0B71"/>
    <w:rsid w:val="00CC743C"/>
    <w:rsid w:val="00CD671E"/>
    <w:rsid w:val="00CD6727"/>
    <w:rsid w:val="00CD67CA"/>
    <w:rsid w:val="00CD7C97"/>
    <w:rsid w:val="00CD7EB4"/>
    <w:rsid w:val="00CE495C"/>
    <w:rsid w:val="00CE628D"/>
    <w:rsid w:val="00CE6485"/>
    <w:rsid w:val="00CE7E6B"/>
    <w:rsid w:val="00CF0AB6"/>
    <w:rsid w:val="00CF2ABD"/>
    <w:rsid w:val="00CF2C00"/>
    <w:rsid w:val="00CF4868"/>
    <w:rsid w:val="00CF57D9"/>
    <w:rsid w:val="00CF6574"/>
    <w:rsid w:val="00D0216B"/>
    <w:rsid w:val="00D03DF4"/>
    <w:rsid w:val="00D04E33"/>
    <w:rsid w:val="00D050DE"/>
    <w:rsid w:val="00D06C67"/>
    <w:rsid w:val="00D14014"/>
    <w:rsid w:val="00D15947"/>
    <w:rsid w:val="00D15DA8"/>
    <w:rsid w:val="00D20D7B"/>
    <w:rsid w:val="00D2120B"/>
    <w:rsid w:val="00D339B8"/>
    <w:rsid w:val="00D350D5"/>
    <w:rsid w:val="00D41DD2"/>
    <w:rsid w:val="00D4317D"/>
    <w:rsid w:val="00D44CE5"/>
    <w:rsid w:val="00D52FF6"/>
    <w:rsid w:val="00D543A8"/>
    <w:rsid w:val="00D55457"/>
    <w:rsid w:val="00D60F5C"/>
    <w:rsid w:val="00D62E1E"/>
    <w:rsid w:val="00D637E9"/>
    <w:rsid w:val="00D705B4"/>
    <w:rsid w:val="00D70AD7"/>
    <w:rsid w:val="00D7240E"/>
    <w:rsid w:val="00D809BC"/>
    <w:rsid w:val="00D81BBB"/>
    <w:rsid w:val="00D833F3"/>
    <w:rsid w:val="00D86C7E"/>
    <w:rsid w:val="00D95850"/>
    <w:rsid w:val="00D967C2"/>
    <w:rsid w:val="00DA4E5E"/>
    <w:rsid w:val="00DA6C96"/>
    <w:rsid w:val="00DB127A"/>
    <w:rsid w:val="00DB16AE"/>
    <w:rsid w:val="00DB4DA2"/>
    <w:rsid w:val="00DB4F32"/>
    <w:rsid w:val="00DC396F"/>
    <w:rsid w:val="00DC6AF3"/>
    <w:rsid w:val="00DD1921"/>
    <w:rsid w:val="00DD2B28"/>
    <w:rsid w:val="00DD5368"/>
    <w:rsid w:val="00DD6181"/>
    <w:rsid w:val="00DD785C"/>
    <w:rsid w:val="00DE18CE"/>
    <w:rsid w:val="00DE58F5"/>
    <w:rsid w:val="00DE62FC"/>
    <w:rsid w:val="00DF0998"/>
    <w:rsid w:val="00E1134E"/>
    <w:rsid w:val="00E174BB"/>
    <w:rsid w:val="00E17EBF"/>
    <w:rsid w:val="00E22259"/>
    <w:rsid w:val="00E23310"/>
    <w:rsid w:val="00E25936"/>
    <w:rsid w:val="00E265F4"/>
    <w:rsid w:val="00E26C5D"/>
    <w:rsid w:val="00E320AE"/>
    <w:rsid w:val="00E35267"/>
    <w:rsid w:val="00E418AB"/>
    <w:rsid w:val="00E420A0"/>
    <w:rsid w:val="00E5198F"/>
    <w:rsid w:val="00E525C7"/>
    <w:rsid w:val="00E53D50"/>
    <w:rsid w:val="00E55DBE"/>
    <w:rsid w:val="00E570D3"/>
    <w:rsid w:val="00E653DB"/>
    <w:rsid w:val="00E65F8E"/>
    <w:rsid w:val="00E747CA"/>
    <w:rsid w:val="00E7666A"/>
    <w:rsid w:val="00E81DDB"/>
    <w:rsid w:val="00E84FD2"/>
    <w:rsid w:val="00E85313"/>
    <w:rsid w:val="00E94B8A"/>
    <w:rsid w:val="00E94BCD"/>
    <w:rsid w:val="00EA078F"/>
    <w:rsid w:val="00EA135F"/>
    <w:rsid w:val="00EA1B36"/>
    <w:rsid w:val="00EA216A"/>
    <w:rsid w:val="00EA6087"/>
    <w:rsid w:val="00EB11A4"/>
    <w:rsid w:val="00EB4592"/>
    <w:rsid w:val="00EC172B"/>
    <w:rsid w:val="00EC7378"/>
    <w:rsid w:val="00ED277A"/>
    <w:rsid w:val="00EF0331"/>
    <w:rsid w:val="00F02DAC"/>
    <w:rsid w:val="00F22519"/>
    <w:rsid w:val="00F31511"/>
    <w:rsid w:val="00F35089"/>
    <w:rsid w:val="00F36887"/>
    <w:rsid w:val="00F4058E"/>
    <w:rsid w:val="00F408B2"/>
    <w:rsid w:val="00F45DB9"/>
    <w:rsid w:val="00F532DA"/>
    <w:rsid w:val="00F57E17"/>
    <w:rsid w:val="00F62D41"/>
    <w:rsid w:val="00F705DB"/>
    <w:rsid w:val="00F72A9D"/>
    <w:rsid w:val="00F74177"/>
    <w:rsid w:val="00F749EB"/>
    <w:rsid w:val="00F7600E"/>
    <w:rsid w:val="00F7726A"/>
    <w:rsid w:val="00F7734E"/>
    <w:rsid w:val="00F827FC"/>
    <w:rsid w:val="00F85185"/>
    <w:rsid w:val="00F859A0"/>
    <w:rsid w:val="00F87883"/>
    <w:rsid w:val="00F909B4"/>
    <w:rsid w:val="00F90D14"/>
    <w:rsid w:val="00F946C9"/>
    <w:rsid w:val="00F95041"/>
    <w:rsid w:val="00F9646A"/>
    <w:rsid w:val="00FA1E6B"/>
    <w:rsid w:val="00FA3A35"/>
    <w:rsid w:val="00FB365C"/>
    <w:rsid w:val="00FB4B47"/>
    <w:rsid w:val="00FB7230"/>
    <w:rsid w:val="00FC099F"/>
    <w:rsid w:val="00FC1AFA"/>
    <w:rsid w:val="00FC623E"/>
    <w:rsid w:val="00FD30A0"/>
    <w:rsid w:val="00FD6667"/>
    <w:rsid w:val="00FE1344"/>
    <w:rsid w:val="00FE1D76"/>
    <w:rsid w:val="00FE68FA"/>
    <w:rsid w:val="00FE6ECC"/>
    <w:rsid w:val="00FE7894"/>
    <w:rsid w:val="00FF0F75"/>
    <w:rsid w:val="00FF25BD"/>
    <w:rsid w:val="00FF2A91"/>
    <w:rsid w:val="00FF4C67"/>
    <w:rsid w:val="00FF7F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88BEE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Standard">
    <w:name w:val="Normal"/>
    <w:qFormat/>
    <w:rsid w:val="005F2262"/>
    <w:rPr>
      <w:rFonts w:ascii="Arial" w:hAnsi="Arial"/>
      <w:sz w:val="24"/>
    </w:rPr>
  </w:style>
  <w:style w:type="paragraph" w:styleId="berschrift1">
    <w:name w:val="heading 1"/>
    <w:basedOn w:val="Standard"/>
    <w:next w:val="Standard"/>
    <w:link w:val="berschrift1Zchn"/>
    <w:qFormat/>
    <w:locked/>
    <w:rsid w:val="00E320AE"/>
    <w:pPr>
      <w:keepNext/>
      <w:spacing w:before="240" w:after="60"/>
      <w:outlineLvl w:val="0"/>
    </w:pPr>
    <w:rPr>
      <w:rFonts w:ascii="Cambria" w:hAnsi="Cambria"/>
      <w:b/>
      <w:bCs/>
      <w:kern w:val="32"/>
      <w:sz w:val="32"/>
      <w:szCs w:val="32"/>
    </w:rPr>
  </w:style>
  <w:style w:type="paragraph" w:styleId="berschrift3">
    <w:name w:val="heading 3"/>
    <w:basedOn w:val="Standard"/>
    <w:next w:val="Standard"/>
    <w:link w:val="berschrift3Zchn"/>
    <w:semiHidden/>
    <w:unhideWhenUsed/>
    <w:qFormat/>
    <w:locked/>
    <w:rsid w:val="0033562E"/>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5F2262"/>
    <w:pPr>
      <w:tabs>
        <w:tab w:val="center" w:pos="4536"/>
        <w:tab w:val="right" w:pos="9072"/>
      </w:tabs>
    </w:pPr>
  </w:style>
  <w:style w:type="character" w:customStyle="1" w:styleId="KopfzeileZchn">
    <w:name w:val="Kopfzeile Zchn"/>
    <w:link w:val="Kopfzeile"/>
    <w:uiPriority w:val="99"/>
    <w:rsid w:val="00881458"/>
    <w:rPr>
      <w:rFonts w:ascii="Arial" w:hAnsi="Arial"/>
      <w:sz w:val="24"/>
      <w:szCs w:val="20"/>
    </w:rPr>
  </w:style>
  <w:style w:type="paragraph" w:styleId="Fuzeile">
    <w:name w:val="footer"/>
    <w:basedOn w:val="Standard"/>
    <w:link w:val="FuzeileZchn"/>
    <w:rsid w:val="005F2262"/>
    <w:pPr>
      <w:tabs>
        <w:tab w:val="center" w:pos="4536"/>
        <w:tab w:val="right" w:pos="9072"/>
      </w:tabs>
    </w:pPr>
  </w:style>
  <w:style w:type="character" w:customStyle="1" w:styleId="FuzeileZchn">
    <w:name w:val="Fußzeile Zchn"/>
    <w:link w:val="Fuzeile"/>
    <w:rsid w:val="00881458"/>
    <w:rPr>
      <w:rFonts w:ascii="Arial" w:hAnsi="Arial"/>
      <w:sz w:val="24"/>
      <w:szCs w:val="20"/>
    </w:rPr>
  </w:style>
  <w:style w:type="table" w:styleId="Tabellenraster">
    <w:name w:val="Table Grid"/>
    <w:basedOn w:val="NormaleTabelle"/>
    <w:rsid w:val="005F22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uiPriority w:val="99"/>
    <w:rsid w:val="00A52431"/>
    <w:rPr>
      <w:rFonts w:cs="Times New Roman"/>
    </w:rPr>
  </w:style>
  <w:style w:type="paragraph" w:styleId="Dokumentstruktur">
    <w:name w:val="Document Map"/>
    <w:basedOn w:val="Standard"/>
    <w:link w:val="DokumentstrukturZchn"/>
    <w:uiPriority w:val="99"/>
    <w:semiHidden/>
    <w:rsid w:val="00855DC9"/>
    <w:pPr>
      <w:shd w:val="clear" w:color="auto" w:fill="000080"/>
    </w:pPr>
    <w:rPr>
      <w:rFonts w:ascii="Tahoma" w:hAnsi="Tahoma" w:cs="Tahoma"/>
      <w:sz w:val="20"/>
    </w:rPr>
  </w:style>
  <w:style w:type="character" w:customStyle="1" w:styleId="DokumentstrukturZchn">
    <w:name w:val="Dokumentstruktur Zchn"/>
    <w:link w:val="Dokumentstruktur"/>
    <w:uiPriority w:val="99"/>
    <w:semiHidden/>
    <w:rsid w:val="00881458"/>
    <w:rPr>
      <w:sz w:val="0"/>
      <w:szCs w:val="0"/>
    </w:rPr>
  </w:style>
  <w:style w:type="paragraph" w:customStyle="1" w:styleId="FarbigeSchattierung-Akzent11">
    <w:name w:val="Farbige Schattierung - Akzent 11"/>
    <w:hidden/>
    <w:uiPriority w:val="99"/>
    <w:semiHidden/>
    <w:rsid w:val="008804B4"/>
    <w:rPr>
      <w:rFonts w:ascii="Arial" w:hAnsi="Arial"/>
      <w:sz w:val="24"/>
    </w:rPr>
  </w:style>
  <w:style w:type="paragraph" w:styleId="Sprechblasentext">
    <w:name w:val="Balloon Text"/>
    <w:basedOn w:val="Standard"/>
    <w:link w:val="SprechblasentextZchn"/>
    <w:uiPriority w:val="99"/>
    <w:rsid w:val="008804B4"/>
    <w:rPr>
      <w:rFonts w:ascii="Tahoma" w:hAnsi="Tahoma" w:cs="Tahoma"/>
      <w:sz w:val="16"/>
      <w:szCs w:val="16"/>
    </w:rPr>
  </w:style>
  <w:style w:type="character" w:customStyle="1" w:styleId="SprechblasentextZchn">
    <w:name w:val="Sprechblasentext Zchn"/>
    <w:link w:val="Sprechblasentext"/>
    <w:uiPriority w:val="99"/>
    <w:locked/>
    <w:rsid w:val="008804B4"/>
    <w:rPr>
      <w:rFonts w:ascii="Tahoma" w:hAnsi="Tahoma" w:cs="Tahoma"/>
      <w:sz w:val="16"/>
      <w:szCs w:val="16"/>
    </w:rPr>
  </w:style>
  <w:style w:type="paragraph" w:customStyle="1" w:styleId="FarbigeListe-Akzent11">
    <w:name w:val="Farbige Liste - Akzent 11"/>
    <w:basedOn w:val="Standard"/>
    <w:uiPriority w:val="99"/>
    <w:qFormat/>
    <w:rsid w:val="00B167FC"/>
    <w:pPr>
      <w:ind w:left="708"/>
    </w:pPr>
  </w:style>
  <w:style w:type="character" w:styleId="Hervorhebung">
    <w:name w:val="Emphasis"/>
    <w:uiPriority w:val="99"/>
    <w:qFormat/>
    <w:rsid w:val="00042C6C"/>
    <w:rPr>
      <w:rFonts w:cs="Times New Roman"/>
      <w:i/>
      <w:iCs/>
    </w:rPr>
  </w:style>
  <w:style w:type="paragraph" w:customStyle="1" w:styleId="MittleresRaster21">
    <w:name w:val="Mittleres Raster 21"/>
    <w:uiPriority w:val="1"/>
    <w:qFormat/>
    <w:rsid w:val="00712A05"/>
    <w:rPr>
      <w:rFonts w:ascii="Calibri" w:eastAsia="Calibri" w:hAnsi="Calibri"/>
      <w:sz w:val="22"/>
      <w:szCs w:val="22"/>
      <w:lang w:eastAsia="en-US"/>
    </w:rPr>
  </w:style>
  <w:style w:type="character" w:customStyle="1" w:styleId="berschrift1Zchn">
    <w:name w:val="Überschrift 1 Zchn"/>
    <w:link w:val="berschrift1"/>
    <w:rsid w:val="00E320AE"/>
    <w:rPr>
      <w:rFonts w:ascii="Cambria" w:hAnsi="Cambria"/>
      <w:b/>
      <w:bCs/>
      <w:kern w:val="32"/>
      <w:sz w:val="32"/>
      <w:szCs w:val="32"/>
    </w:rPr>
  </w:style>
  <w:style w:type="paragraph" w:styleId="StandardWeb">
    <w:name w:val="Normal (Web)"/>
    <w:basedOn w:val="Standard"/>
    <w:uiPriority w:val="99"/>
    <w:unhideWhenUsed/>
    <w:rsid w:val="00E320AE"/>
    <w:pPr>
      <w:spacing w:before="100" w:beforeAutospacing="1" w:after="100" w:afterAutospacing="1"/>
    </w:pPr>
    <w:rPr>
      <w:rFonts w:ascii="Times New Roman" w:hAnsi="Times New Roman"/>
      <w:szCs w:val="24"/>
    </w:rPr>
  </w:style>
  <w:style w:type="character" w:customStyle="1" w:styleId="mw-headline">
    <w:name w:val="mw-headline"/>
    <w:rsid w:val="00E320AE"/>
  </w:style>
  <w:style w:type="character" w:customStyle="1" w:styleId="highlightedsearchterm">
    <w:name w:val="highlightedsearchterm"/>
    <w:rsid w:val="00E320AE"/>
  </w:style>
  <w:style w:type="character" w:customStyle="1" w:styleId="plainlinks-print">
    <w:name w:val="plainlinks-print"/>
    <w:rsid w:val="00E320AE"/>
  </w:style>
  <w:style w:type="paragraph" w:styleId="KeinLeerraum">
    <w:name w:val="No Spacing"/>
    <w:uiPriority w:val="1"/>
    <w:qFormat/>
    <w:rsid w:val="00B03014"/>
    <w:rPr>
      <w:rFonts w:ascii="Calibri" w:eastAsia="Calibri" w:hAnsi="Calibri"/>
      <w:sz w:val="22"/>
      <w:szCs w:val="22"/>
      <w:lang w:eastAsia="en-US"/>
    </w:rPr>
  </w:style>
  <w:style w:type="paragraph" w:styleId="Listenabsatz">
    <w:name w:val="List Paragraph"/>
    <w:basedOn w:val="Standard"/>
    <w:uiPriority w:val="34"/>
    <w:qFormat/>
    <w:rsid w:val="00D44CE5"/>
    <w:pPr>
      <w:ind w:left="720"/>
      <w:contextualSpacing/>
    </w:pPr>
  </w:style>
  <w:style w:type="paragraph" w:styleId="Funotentext">
    <w:name w:val="footnote text"/>
    <w:basedOn w:val="Standard"/>
    <w:link w:val="FunotentextZchn"/>
    <w:uiPriority w:val="99"/>
    <w:semiHidden/>
    <w:unhideWhenUsed/>
    <w:rsid w:val="00F87883"/>
    <w:rPr>
      <w:sz w:val="20"/>
      <w:lang w:val="x-none" w:eastAsia="x-none"/>
    </w:rPr>
  </w:style>
  <w:style w:type="character" w:customStyle="1" w:styleId="FunotentextZchn">
    <w:name w:val="Fußnotentext Zchn"/>
    <w:basedOn w:val="Absatz-Standardschriftart"/>
    <w:link w:val="Funotentext"/>
    <w:uiPriority w:val="99"/>
    <w:semiHidden/>
    <w:rsid w:val="00F87883"/>
    <w:rPr>
      <w:rFonts w:ascii="Arial" w:hAnsi="Arial"/>
      <w:lang w:val="x-none" w:eastAsia="x-none"/>
    </w:rPr>
  </w:style>
  <w:style w:type="character" w:styleId="Funotenzeichen">
    <w:name w:val="footnote reference"/>
    <w:uiPriority w:val="99"/>
    <w:semiHidden/>
    <w:unhideWhenUsed/>
    <w:rsid w:val="00F87883"/>
    <w:rPr>
      <w:vertAlign w:val="superscript"/>
    </w:rPr>
  </w:style>
  <w:style w:type="paragraph" w:customStyle="1" w:styleId="Default">
    <w:name w:val="Default"/>
    <w:rsid w:val="00FA3A35"/>
    <w:pPr>
      <w:autoSpaceDE w:val="0"/>
      <w:autoSpaceDN w:val="0"/>
      <w:adjustRightInd w:val="0"/>
    </w:pPr>
    <w:rPr>
      <w:rFonts w:ascii="Cambria" w:hAnsi="Cambria" w:cs="Cambria"/>
      <w:color w:val="000000"/>
      <w:sz w:val="24"/>
      <w:szCs w:val="24"/>
    </w:rPr>
  </w:style>
  <w:style w:type="paragraph" w:styleId="Beschriftung">
    <w:name w:val="caption"/>
    <w:basedOn w:val="Standard"/>
    <w:next w:val="Standard"/>
    <w:uiPriority w:val="99"/>
    <w:unhideWhenUsed/>
    <w:qFormat/>
    <w:locked/>
    <w:rsid w:val="00FA3A35"/>
    <w:pPr>
      <w:spacing w:after="200"/>
    </w:pPr>
    <w:rPr>
      <w:i/>
      <w:iCs/>
      <w:color w:val="44546A" w:themeColor="text2"/>
      <w:sz w:val="18"/>
      <w:szCs w:val="18"/>
    </w:rPr>
  </w:style>
  <w:style w:type="character" w:styleId="Fett">
    <w:name w:val="Strong"/>
    <w:uiPriority w:val="22"/>
    <w:qFormat/>
    <w:locked/>
    <w:rsid w:val="009712F5"/>
    <w:rPr>
      <w:b/>
      <w:bCs/>
    </w:rPr>
  </w:style>
  <w:style w:type="paragraph" w:customStyle="1" w:styleId="Formatvorlage1">
    <w:name w:val="Formatvorlage1"/>
    <w:basedOn w:val="Titel"/>
    <w:link w:val="Formatvorlage1Zchn"/>
    <w:qFormat/>
    <w:rsid w:val="009712F5"/>
    <w:pPr>
      <w:spacing w:before="240" w:after="60"/>
      <w:contextualSpacing w:val="0"/>
      <w:outlineLvl w:val="0"/>
    </w:pPr>
    <w:rPr>
      <w:rFonts w:ascii="Arial" w:eastAsia="Times New Roman" w:hAnsi="Arial" w:cs="Arial"/>
      <w:b/>
      <w:bCs/>
      <w:spacing w:val="0"/>
      <w:sz w:val="24"/>
      <w:szCs w:val="32"/>
      <w:u w:val="single"/>
    </w:rPr>
  </w:style>
  <w:style w:type="character" w:customStyle="1" w:styleId="Formatvorlage1Zchn">
    <w:name w:val="Formatvorlage1 Zchn"/>
    <w:link w:val="Formatvorlage1"/>
    <w:rsid w:val="009712F5"/>
    <w:rPr>
      <w:rFonts w:ascii="Arial" w:hAnsi="Arial" w:cs="Arial"/>
      <w:b/>
      <w:bCs/>
      <w:kern w:val="28"/>
      <w:sz w:val="24"/>
      <w:szCs w:val="32"/>
      <w:u w:val="single"/>
    </w:rPr>
  </w:style>
  <w:style w:type="paragraph" w:styleId="Titel">
    <w:name w:val="Title"/>
    <w:basedOn w:val="Standard"/>
    <w:next w:val="Standard"/>
    <w:link w:val="TitelZchn"/>
    <w:qFormat/>
    <w:locked/>
    <w:rsid w:val="009712F5"/>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9712F5"/>
    <w:rPr>
      <w:rFonts w:asciiTheme="majorHAnsi" w:eastAsiaTheme="majorEastAsia" w:hAnsiTheme="majorHAnsi" w:cstheme="majorBidi"/>
      <w:spacing w:val="-10"/>
      <w:kern w:val="28"/>
      <w:sz w:val="56"/>
      <w:szCs w:val="56"/>
    </w:rPr>
  </w:style>
  <w:style w:type="character" w:styleId="Hyperlink">
    <w:name w:val="Hyperlink"/>
    <w:uiPriority w:val="99"/>
    <w:unhideWhenUsed/>
    <w:rsid w:val="006618CF"/>
    <w:rPr>
      <w:color w:val="0000FF"/>
      <w:u w:val="single"/>
    </w:rPr>
  </w:style>
  <w:style w:type="character" w:customStyle="1" w:styleId="berschrift3Zchn">
    <w:name w:val="Überschrift 3 Zchn"/>
    <w:basedOn w:val="Absatz-Standardschriftart"/>
    <w:link w:val="berschrift3"/>
    <w:semiHidden/>
    <w:rsid w:val="0033562E"/>
    <w:rPr>
      <w:rFonts w:asciiTheme="majorHAnsi" w:eastAsiaTheme="majorEastAsia" w:hAnsiTheme="majorHAnsi" w:cstheme="majorBidi"/>
      <w:color w:val="1F4D78" w:themeColor="accent1" w:themeShade="7F"/>
      <w:sz w:val="24"/>
      <w:szCs w:val="24"/>
    </w:rPr>
  </w:style>
  <w:style w:type="table" w:customStyle="1" w:styleId="Tabellenraster2">
    <w:name w:val="Tabellenraster2"/>
    <w:basedOn w:val="NormaleTabelle"/>
    <w:next w:val="Tabellenraster"/>
    <w:rsid w:val="00E53D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094138">
      <w:bodyDiv w:val="1"/>
      <w:marLeft w:val="0"/>
      <w:marRight w:val="0"/>
      <w:marTop w:val="0"/>
      <w:marBottom w:val="0"/>
      <w:divBdr>
        <w:top w:val="none" w:sz="0" w:space="0" w:color="auto"/>
        <w:left w:val="none" w:sz="0" w:space="0" w:color="auto"/>
        <w:bottom w:val="none" w:sz="0" w:space="0" w:color="auto"/>
        <w:right w:val="none" w:sz="0" w:space="0" w:color="auto"/>
      </w:divBdr>
    </w:div>
    <w:div w:id="802842903">
      <w:marLeft w:val="0"/>
      <w:marRight w:val="0"/>
      <w:marTop w:val="0"/>
      <w:marBottom w:val="0"/>
      <w:divBdr>
        <w:top w:val="none" w:sz="0" w:space="0" w:color="auto"/>
        <w:left w:val="none" w:sz="0" w:space="0" w:color="auto"/>
        <w:bottom w:val="none" w:sz="0" w:space="0" w:color="auto"/>
        <w:right w:val="none" w:sz="0" w:space="0" w:color="auto"/>
      </w:divBdr>
      <w:divsChild>
        <w:div w:id="802842913">
          <w:marLeft w:val="562"/>
          <w:marRight w:val="0"/>
          <w:marTop w:val="0"/>
          <w:marBottom w:val="0"/>
          <w:divBdr>
            <w:top w:val="none" w:sz="0" w:space="0" w:color="auto"/>
            <w:left w:val="none" w:sz="0" w:space="0" w:color="auto"/>
            <w:bottom w:val="none" w:sz="0" w:space="0" w:color="auto"/>
            <w:right w:val="none" w:sz="0" w:space="0" w:color="auto"/>
          </w:divBdr>
        </w:div>
      </w:divsChild>
    </w:div>
    <w:div w:id="802842904">
      <w:marLeft w:val="0"/>
      <w:marRight w:val="0"/>
      <w:marTop w:val="0"/>
      <w:marBottom w:val="0"/>
      <w:divBdr>
        <w:top w:val="none" w:sz="0" w:space="0" w:color="auto"/>
        <w:left w:val="none" w:sz="0" w:space="0" w:color="auto"/>
        <w:bottom w:val="none" w:sz="0" w:space="0" w:color="auto"/>
        <w:right w:val="none" w:sz="0" w:space="0" w:color="auto"/>
      </w:divBdr>
      <w:divsChild>
        <w:div w:id="802842917">
          <w:marLeft w:val="547"/>
          <w:marRight w:val="0"/>
          <w:marTop w:val="115"/>
          <w:marBottom w:val="0"/>
          <w:divBdr>
            <w:top w:val="none" w:sz="0" w:space="0" w:color="auto"/>
            <w:left w:val="none" w:sz="0" w:space="0" w:color="auto"/>
            <w:bottom w:val="none" w:sz="0" w:space="0" w:color="auto"/>
            <w:right w:val="none" w:sz="0" w:space="0" w:color="auto"/>
          </w:divBdr>
        </w:div>
      </w:divsChild>
    </w:div>
    <w:div w:id="802842906">
      <w:marLeft w:val="0"/>
      <w:marRight w:val="0"/>
      <w:marTop w:val="0"/>
      <w:marBottom w:val="0"/>
      <w:divBdr>
        <w:top w:val="none" w:sz="0" w:space="0" w:color="auto"/>
        <w:left w:val="none" w:sz="0" w:space="0" w:color="auto"/>
        <w:bottom w:val="none" w:sz="0" w:space="0" w:color="auto"/>
        <w:right w:val="none" w:sz="0" w:space="0" w:color="auto"/>
      </w:divBdr>
    </w:div>
    <w:div w:id="802842907">
      <w:marLeft w:val="0"/>
      <w:marRight w:val="0"/>
      <w:marTop w:val="0"/>
      <w:marBottom w:val="0"/>
      <w:divBdr>
        <w:top w:val="none" w:sz="0" w:space="0" w:color="auto"/>
        <w:left w:val="none" w:sz="0" w:space="0" w:color="auto"/>
        <w:bottom w:val="none" w:sz="0" w:space="0" w:color="auto"/>
        <w:right w:val="none" w:sz="0" w:space="0" w:color="auto"/>
      </w:divBdr>
      <w:divsChild>
        <w:div w:id="802842905">
          <w:marLeft w:val="547"/>
          <w:marRight w:val="0"/>
          <w:marTop w:val="86"/>
          <w:marBottom w:val="0"/>
          <w:divBdr>
            <w:top w:val="none" w:sz="0" w:space="0" w:color="auto"/>
            <w:left w:val="none" w:sz="0" w:space="0" w:color="auto"/>
            <w:bottom w:val="none" w:sz="0" w:space="0" w:color="auto"/>
            <w:right w:val="none" w:sz="0" w:space="0" w:color="auto"/>
          </w:divBdr>
        </w:div>
        <w:div w:id="802842911">
          <w:marLeft w:val="547"/>
          <w:marRight w:val="0"/>
          <w:marTop w:val="86"/>
          <w:marBottom w:val="0"/>
          <w:divBdr>
            <w:top w:val="none" w:sz="0" w:space="0" w:color="auto"/>
            <w:left w:val="none" w:sz="0" w:space="0" w:color="auto"/>
            <w:bottom w:val="none" w:sz="0" w:space="0" w:color="auto"/>
            <w:right w:val="none" w:sz="0" w:space="0" w:color="auto"/>
          </w:divBdr>
        </w:div>
      </w:divsChild>
    </w:div>
    <w:div w:id="802842908">
      <w:marLeft w:val="0"/>
      <w:marRight w:val="0"/>
      <w:marTop w:val="0"/>
      <w:marBottom w:val="0"/>
      <w:divBdr>
        <w:top w:val="none" w:sz="0" w:space="0" w:color="auto"/>
        <w:left w:val="none" w:sz="0" w:space="0" w:color="auto"/>
        <w:bottom w:val="none" w:sz="0" w:space="0" w:color="auto"/>
        <w:right w:val="none" w:sz="0" w:space="0" w:color="auto"/>
      </w:divBdr>
      <w:divsChild>
        <w:div w:id="802842912">
          <w:marLeft w:val="547"/>
          <w:marRight w:val="0"/>
          <w:marTop w:val="86"/>
          <w:marBottom w:val="0"/>
          <w:divBdr>
            <w:top w:val="none" w:sz="0" w:space="0" w:color="auto"/>
            <w:left w:val="none" w:sz="0" w:space="0" w:color="auto"/>
            <w:bottom w:val="none" w:sz="0" w:space="0" w:color="auto"/>
            <w:right w:val="none" w:sz="0" w:space="0" w:color="auto"/>
          </w:divBdr>
        </w:div>
      </w:divsChild>
    </w:div>
    <w:div w:id="802842910">
      <w:marLeft w:val="0"/>
      <w:marRight w:val="0"/>
      <w:marTop w:val="0"/>
      <w:marBottom w:val="0"/>
      <w:divBdr>
        <w:top w:val="none" w:sz="0" w:space="0" w:color="auto"/>
        <w:left w:val="none" w:sz="0" w:space="0" w:color="auto"/>
        <w:bottom w:val="none" w:sz="0" w:space="0" w:color="auto"/>
        <w:right w:val="none" w:sz="0" w:space="0" w:color="auto"/>
      </w:divBdr>
    </w:div>
    <w:div w:id="802842914">
      <w:marLeft w:val="0"/>
      <w:marRight w:val="0"/>
      <w:marTop w:val="0"/>
      <w:marBottom w:val="0"/>
      <w:divBdr>
        <w:top w:val="none" w:sz="0" w:space="0" w:color="auto"/>
        <w:left w:val="none" w:sz="0" w:space="0" w:color="auto"/>
        <w:bottom w:val="none" w:sz="0" w:space="0" w:color="auto"/>
        <w:right w:val="none" w:sz="0" w:space="0" w:color="auto"/>
      </w:divBdr>
    </w:div>
    <w:div w:id="802842915">
      <w:marLeft w:val="0"/>
      <w:marRight w:val="0"/>
      <w:marTop w:val="0"/>
      <w:marBottom w:val="0"/>
      <w:divBdr>
        <w:top w:val="none" w:sz="0" w:space="0" w:color="auto"/>
        <w:left w:val="none" w:sz="0" w:space="0" w:color="auto"/>
        <w:bottom w:val="none" w:sz="0" w:space="0" w:color="auto"/>
        <w:right w:val="none" w:sz="0" w:space="0" w:color="auto"/>
      </w:divBdr>
    </w:div>
    <w:div w:id="802842916">
      <w:marLeft w:val="0"/>
      <w:marRight w:val="0"/>
      <w:marTop w:val="0"/>
      <w:marBottom w:val="0"/>
      <w:divBdr>
        <w:top w:val="none" w:sz="0" w:space="0" w:color="auto"/>
        <w:left w:val="none" w:sz="0" w:space="0" w:color="auto"/>
        <w:bottom w:val="none" w:sz="0" w:space="0" w:color="auto"/>
        <w:right w:val="none" w:sz="0" w:space="0" w:color="auto"/>
      </w:divBdr>
      <w:divsChild>
        <w:div w:id="802842909">
          <w:marLeft w:val="547"/>
          <w:marRight w:val="0"/>
          <w:marTop w:val="86"/>
          <w:marBottom w:val="0"/>
          <w:divBdr>
            <w:top w:val="none" w:sz="0" w:space="0" w:color="auto"/>
            <w:left w:val="none" w:sz="0" w:space="0" w:color="auto"/>
            <w:bottom w:val="none" w:sz="0" w:space="0" w:color="auto"/>
            <w:right w:val="none" w:sz="0" w:space="0" w:color="auto"/>
          </w:divBdr>
        </w:div>
      </w:divsChild>
    </w:div>
    <w:div w:id="880364685">
      <w:bodyDiv w:val="1"/>
      <w:marLeft w:val="0"/>
      <w:marRight w:val="0"/>
      <w:marTop w:val="0"/>
      <w:marBottom w:val="0"/>
      <w:divBdr>
        <w:top w:val="none" w:sz="0" w:space="0" w:color="auto"/>
        <w:left w:val="none" w:sz="0" w:space="0" w:color="auto"/>
        <w:bottom w:val="none" w:sz="0" w:space="0" w:color="auto"/>
        <w:right w:val="none" w:sz="0" w:space="0" w:color="auto"/>
      </w:divBdr>
    </w:div>
    <w:div w:id="1476526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1346</Words>
  <Characters>8483</Characters>
  <Application>Microsoft Office Word</Application>
  <DocSecurity>0</DocSecurity>
  <Lines>70</Lines>
  <Paragraphs>19</Paragraphs>
  <ScaleCrop>false</ScaleCrop>
  <HeadingPairs>
    <vt:vector size="4" baseType="variant">
      <vt:variant>
        <vt:lpstr>Titel</vt:lpstr>
      </vt:variant>
      <vt:variant>
        <vt:i4>1</vt:i4>
      </vt:variant>
      <vt:variant>
        <vt:lpstr>Headings</vt:lpstr>
      </vt:variant>
      <vt:variant>
        <vt:i4>5</vt:i4>
      </vt:variant>
    </vt:vector>
  </HeadingPairs>
  <TitlesOfParts>
    <vt:vector size="6" baseType="lpstr">
      <vt:lpstr>Sicherheitsunterweisung 02_2010</vt:lpstr>
      <vt:lpstr>Auswahl von Stromerzeugern </vt:lpstr>
      <vt:lpstr/>
      <vt:lpstr>Bauartnormen</vt:lpstr>
      <vt:lpstr/>
      <vt:lpstr>Die Schutzmaßnahem und Ausführungen gemäß DGUV-Information 203-032</vt:lpstr>
    </vt:vector>
  </TitlesOfParts>
  <Company>Axima GmbH</Company>
  <LinksUpToDate>false</LinksUpToDate>
  <CharactersWithSpaces>9810</CharactersWithSpaces>
  <SharedDoc>false</SharedDoc>
  <HLinks>
    <vt:vector size="18" baseType="variant">
      <vt:variant>
        <vt:i4>6357094</vt:i4>
      </vt:variant>
      <vt:variant>
        <vt:i4>3058</vt:i4>
      </vt:variant>
      <vt:variant>
        <vt:i4>1027</vt:i4>
      </vt:variant>
      <vt:variant>
        <vt:i4>1</vt:i4>
      </vt:variant>
      <vt:variant>
        <vt:lpwstr>Strommarke</vt:lpwstr>
      </vt:variant>
      <vt:variant>
        <vt:lpwstr/>
      </vt:variant>
      <vt:variant>
        <vt:i4>655486</vt:i4>
      </vt:variant>
      <vt:variant>
        <vt:i4>12696</vt:i4>
      </vt:variant>
      <vt:variant>
        <vt:i4>1029</vt:i4>
      </vt:variant>
      <vt:variant>
        <vt:i4>1</vt:i4>
      </vt:variant>
      <vt:variant>
        <vt:lpwstr>SmallLogo</vt:lpwstr>
      </vt:variant>
      <vt:variant>
        <vt:lpwstr/>
      </vt:variant>
      <vt:variant>
        <vt:i4>3866677</vt:i4>
      </vt:variant>
      <vt:variant>
        <vt:i4>-1</vt:i4>
      </vt:variant>
      <vt:variant>
        <vt:i4>1027</vt:i4>
      </vt:variant>
      <vt:variant>
        <vt:i4>1</vt:i4>
      </vt:variant>
      <vt:variant>
        <vt:lpwstr>http://www.feuerwehr-wilster.de/media/feuerwehr/erste_hilfe/rettungskette.gif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Sicherheitsunterweisung 02_2010</dc:title>
  <dc:subject/>
  <dc:creator>Stefan Euler</dc:creator>
  <cp:keywords/>
  <cp:lastModifiedBy>Réne Brünn</cp:lastModifiedBy>
  <cp:revision>5</cp:revision>
  <cp:lastPrinted>2016-03-18T13:13:00Z</cp:lastPrinted>
  <dcterms:created xsi:type="dcterms:W3CDTF">2019-09-05T12:43:00Z</dcterms:created>
  <dcterms:modified xsi:type="dcterms:W3CDTF">2019-09-10T14:19:00Z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TentativeReviewCycleID">
    <vt:i4>611546853</vt:i4>
  </property>
  <property fmtid="{D5CDD505-2E9C-101B-9397-08002B2CF9AE}" pid="4" name="_ReviewCycleID">
    <vt:i4>611546853</vt:i4>
  </property>
  <property fmtid="{D5CDD505-2E9C-101B-9397-08002B2CF9AE}" pid="5" name="_EmailEntryID">
    <vt:lpwstr>00000000FD98DB2319F6474D9B823A195AE9C4AC0700F2B95EEF1C614448BE8D11219884B76F0000004FD3150000F2B95EEF1C614448BE8D11219884B76F0000004FD5F30000</vt:lpwstr>
  </property>
  <property fmtid="{D5CDD505-2E9C-101B-9397-08002B2CF9AE}" pid="6" name="_EmailStoreID0">
    <vt:lpwstr>0000000038A1BB1005E5101AA1BB08002B2A56C20000454D534D44422E444C4C00000000000000001B55FA20AA6611CD9BC800AA002FC45A0C0000005342533031002F6F3D4D454245444F2F6F753D66697273742061646D696E6973747261746976652067726F75702F636E3D526563697069656E74732F636E3D627275656</vt:lpwstr>
  </property>
  <property fmtid="{D5CDD505-2E9C-101B-9397-08002B2CF9AE}" pid="7" name="_EmailStoreID1">
    <vt:lpwstr>E6E00</vt:lpwstr>
  </property>
  <property fmtid="{D5CDD505-2E9C-101B-9397-08002B2CF9AE}" pid="8" name="_ReviewingToolsShownOnce">
    <vt:lpwstr/>
  </property>
</Properties>
</file>