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08CE" w14:textId="77777777" w:rsidR="006618CF" w:rsidRPr="006618CF" w:rsidRDefault="006618CF" w:rsidP="006618CF">
      <w:pPr>
        <w:pStyle w:val="Formatvorlage1"/>
        <w:spacing w:before="0"/>
        <w:jc w:val="both"/>
        <w:rPr>
          <w:rStyle w:val="Fett"/>
          <w:b/>
          <w:color w:val="000000" w:themeColor="text1"/>
          <w:sz w:val="22"/>
          <w:szCs w:val="22"/>
        </w:rPr>
      </w:pPr>
      <w:r w:rsidRPr="006618CF">
        <w:rPr>
          <w:rStyle w:val="Fett"/>
          <w:b/>
          <w:color w:val="000000" w:themeColor="text1"/>
          <w:sz w:val="22"/>
          <w:szCs w:val="22"/>
        </w:rPr>
        <w:t>Gliederung des Brandschutzes</w:t>
      </w:r>
    </w:p>
    <w:p w14:paraId="5E7186E6" w14:textId="2EF8846B"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Grundsätzlich unterscheidet man beim Brandschutz zwischen zwei Kategorien</w:t>
      </w:r>
      <w:r w:rsidR="00127737">
        <w:rPr>
          <w:rFonts w:cs="Arial"/>
          <w:noProof/>
          <w:color w:val="000000" w:themeColor="text1"/>
          <w:sz w:val="22"/>
          <w:szCs w:val="22"/>
        </w:rPr>
        <w:t>:</w:t>
      </w:r>
    </w:p>
    <w:p w14:paraId="44510B02" w14:textId="40A8F298"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Vorbeugender Brandschutz („</w:t>
      </w:r>
      <w:r w:rsidRPr="00ED25F8">
        <w:rPr>
          <w:rFonts w:cs="Arial"/>
          <w:i/>
          <w:noProof/>
          <w:color w:val="000000" w:themeColor="text1"/>
          <w:sz w:val="22"/>
          <w:szCs w:val="22"/>
        </w:rPr>
        <w:t>bauliche, anlagentechnische und organisa</w:t>
      </w:r>
      <w:r w:rsidR="00127737">
        <w:rPr>
          <w:rFonts w:cs="Arial"/>
          <w:i/>
          <w:noProof/>
          <w:color w:val="000000" w:themeColor="text1"/>
          <w:sz w:val="22"/>
          <w:szCs w:val="22"/>
        </w:rPr>
        <w:t>t</w:t>
      </w:r>
      <w:r w:rsidRPr="00ED25F8">
        <w:rPr>
          <w:rFonts w:cs="Arial"/>
          <w:i/>
          <w:noProof/>
          <w:color w:val="000000" w:themeColor="text1"/>
          <w:sz w:val="22"/>
          <w:szCs w:val="22"/>
        </w:rPr>
        <w:t>orische Maßnahmen die der Brandausbreitung entgegen wirken“</w:t>
      </w:r>
      <w:r w:rsidRPr="00ED25F8">
        <w:rPr>
          <w:rFonts w:cs="Arial"/>
          <w:noProof/>
          <w:color w:val="000000" w:themeColor="text1"/>
          <w:sz w:val="22"/>
          <w:szCs w:val="22"/>
        </w:rPr>
        <w:t xml:space="preserve">) und </w:t>
      </w:r>
    </w:p>
    <w:p w14:paraId="74202351"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 xml:space="preserve">Abwehrender Brandschutz („Maßnahmen zur </w:t>
      </w:r>
      <w:r w:rsidRPr="00ED25F8">
        <w:rPr>
          <w:rFonts w:cs="Arial"/>
          <w:i/>
          <w:noProof/>
          <w:color w:val="000000" w:themeColor="text1"/>
          <w:sz w:val="22"/>
          <w:szCs w:val="22"/>
        </w:rPr>
        <w:t>Rettung und Brandbekämpfung“</w:t>
      </w:r>
      <w:r w:rsidRPr="00ED25F8">
        <w:rPr>
          <w:rFonts w:cs="Arial"/>
          <w:noProof/>
          <w:color w:val="000000" w:themeColor="text1"/>
          <w:sz w:val="22"/>
          <w:szCs w:val="22"/>
        </w:rPr>
        <w:t>).</w:t>
      </w:r>
    </w:p>
    <w:p w14:paraId="0FF7C13B" w14:textId="77777777" w:rsidR="006618CF" w:rsidRPr="00ED25F8" w:rsidRDefault="006618CF" w:rsidP="006618CF">
      <w:pPr>
        <w:jc w:val="both"/>
        <w:rPr>
          <w:rFonts w:cs="Arial"/>
          <w:noProof/>
          <w:color w:val="000000" w:themeColor="text1"/>
          <w:sz w:val="22"/>
          <w:szCs w:val="22"/>
          <w:u w:val="single"/>
        </w:rPr>
      </w:pPr>
    </w:p>
    <w:p w14:paraId="2EBCB001" w14:textId="77777777" w:rsidR="006618CF" w:rsidRPr="006618CF" w:rsidRDefault="006618CF" w:rsidP="006618CF">
      <w:pPr>
        <w:pStyle w:val="Formatvorlage1"/>
        <w:spacing w:before="0"/>
        <w:jc w:val="both"/>
        <w:rPr>
          <w:rStyle w:val="Fett"/>
          <w:b/>
          <w:sz w:val="22"/>
          <w:szCs w:val="22"/>
        </w:rPr>
      </w:pPr>
      <w:r w:rsidRPr="006618CF">
        <w:rPr>
          <w:rStyle w:val="Fett"/>
          <w:b/>
          <w:sz w:val="22"/>
          <w:szCs w:val="22"/>
        </w:rPr>
        <w:t>Brandschutzkonzept</w:t>
      </w:r>
    </w:p>
    <w:p w14:paraId="17B8D95A" w14:textId="4390A3FF" w:rsidR="006618CF" w:rsidRPr="00ED25F8" w:rsidRDefault="006618CF" w:rsidP="006618CF">
      <w:pPr>
        <w:jc w:val="both"/>
        <w:rPr>
          <w:rFonts w:cs="Arial"/>
          <w:color w:val="000000" w:themeColor="text1"/>
          <w:sz w:val="22"/>
          <w:szCs w:val="22"/>
        </w:rPr>
      </w:pPr>
      <w:r w:rsidRPr="00ED25F8">
        <w:rPr>
          <w:rFonts w:cs="Arial"/>
          <w:noProof/>
          <w:color w:val="000000" w:themeColor="text1"/>
          <w:sz w:val="22"/>
          <w:szCs w:val="22"/>
        </w:rPr>
        <w:t>Das Brandschutzkonzept ist, sofern erforderlich, Bestandteil der Baugenehmigung. Darin enthalten sind wichtige Informationen für die Installationsarbeiten. Sofern vorhanden</w:t>
      </w:r>
      <w:r w:rsidR="002C311D">
        <w:rPr>
          <w:rFonts w:cs="Arial"/>
          <w:noProof/>
          <w:color w:val="000000" w:themeColor="text1"/>
          <w:sz w:val="22"/>
          <w:szCs w:val="22"/>
        </w:rPr>
        <w:t>,</w:t>
      </w:r>
      <w:r w:rsidRPr="00ED25F8">
        <w:rPr>
          <w:rFonts w:cs="Arial"/>
          <w:noProof/>
          <w:color w:val="000000" w:themeColor="text1"/>
          <w:sz w:val="22"/>
          <w:szCs w:val="22"/>
        </w:rPr>
        <w:t xml:space="preserve"> ist das Brandschutzkonzept bei der Planung und Errichtung der elektrischen Anlage (gilt auch für andere Gewerke) zwingend zu beachten.</w:t>
      </w:r>
      <w:r w:rsidRPr="00ED25F8">
        <w:rPr>
          <w:rFonts w:cs="Arial"/>
          <w:color w:val="000000" w:themeColor="text1"/>
          <w:sz w:val="22"/>
          <w:szCs w:val="22"/>
        </w:rPr>
        <w:t xml:space="preserve"> </w:t>
      </w:r>
    </w:p>
    <w:p w14:paraId="29771402" w14:textId="77777777" w:rsidR="006618CF" w:rsidRPr="00ED25F8" w:rsidRDefault="006618CF" w:rsidP="006618CF">
      <w:pPr>
        <w:jc w:val="both"/>
        <w:rPr>
          <w:rFonts w:cs="Arial"/>
          <w:color w:val="000000" w:themeColor="text1"/>
          <w:sz w:val="22"/>
          <w:szCs w:val="22"/>
        </w:rPr>
      </w:pPr>
    </w:p>
    <w:p w14:paraId="5847610C" w14:textId="77777777"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Ein allgemein gültiges Brandschutzkonzept existiert nicht. Aufgrund der Diversität der Problemstellungen muss für jede bauliche Anlage ein speziell auf die jeweilige Anlage abgestimmtes Brandschutzkonzept entwickelt werden. Die einzelnen Maßnahmen müssen dabei aufeinander abgestimmt sein, so dass ein reibungsloses Ineinandergreifen der Maßnahmen gewährleistet ist.</w:t>
      </w:r>
    </w:p>
    <w:p w14:paraId="4562FEC6" w14:textId="77777777" w:rsidR="006618CF" w:rsidRPr="00ED25F8" w:rsidRDefault="006618CF" w:rsidP="006618CF">
      <w:pPr>
        <w:jc w:val="both"/>
        <w:rPr>
          <w:rFonts w:cs="Arial"/>
          <w:noProof/>
          <w:color w:val="000000" w:themeColor="text1"/>
          <w:sz w:val="22"/>
          <w:szCs w:val="22"/>
          <w:u w:val="single"/>
        </w:rPr>
      </w:pPr>
    </w:p>
    <w:p w14:paraId="01D4BD9D" w14:textId="77777777" w:rsidR="006618CF" w:rsidRPr="006618CF" w:rsidRDefault="006618CF" w:rsidP="006618CF">
      <w:pPr>
        <w:pStyle w:val="Formatvorlage1"/>
        <w:spacing w:before="0"/>
        <w:jc w:val="both"/>
        <w:rPr>
          <w:rStyle w:val="Fett"/>
          <w:b/>
          <w:sz w:val="22"/>
          <w:szCs w:val="22"/>
        </w:rPr>
      </w:pPr>
      <w:r w:rsidRPr="006618CF">
        <w:rPr>
          <w:rStyle w:val="Fett"/>
          <w:b/>
          <w:sz w:val="22"/>
          <w:szCs w:val="22"/>
        </w:rPr>
        <w:t>Brandabschnitt</w:t>
      </w:r>
    </w:p>
    <w:p w14:paraId="597ACEAE" w14:textId="77777777" w:rsidR="006618CF" w:rsidRPr="00ED25F8" w:rsidRDefault="006618CF" w:rsidP="006618CF">
      <w:pPr>
        <w:jc w:val="both"/>
        <w:rPr>
          <w:rFonts w:cs="Arial"/>
          <w:color w:val="000000" w:themeColor="text1"/>
          <w:sz w:val="22"/>
          <w:szCs w:val="22"/>
        </w:rPr>
      </w:pPr>
      <w:r w:rsidRPr="00ED25F8">
        <w:rPr>
          <w:rFonts w:cs="Arial"/>
          <w:noProof/>
          <w:color w:val="000000" w:themeColor="text1"/>
          <w:sz w:val="22"/>
          <w:szCs w:val="22"/>
        </w:rPr>
        <w:t>Eine der ältesten und wirksamsten Maßnahmen zum vorbeugenden Brandschutz ist die Abgrenzung einzelner Brandabschnitte gegenüber anderen Gebäudeteilen oder anderen Gebäuden. Die Brandabschnitte werden mithilfe raumabschließender Bauteile mit Widerstand gegen Feuer und/oder Rauch voneinander getrennt. Dazu gehören unter anderem Wände, Decken, Dächer, Türen, Verglasungen und Abschottungen. Diese Bauteile sollen den Brand während einer definierten Zeit auf den von ihnen gebildeten Brandabschnitt begrenzen.</w:t>
      </w:r>
      <w:r w:rsidRPr="00ED25F8">
        <w:rPr>
          <w:rFonts w:cs="Arial"/>
          <w:color w:val="000000" w:themeColor="text1"/>
          <w:sz w:val="22"/>
          <w:szCs w:val="22"/>
        </w:rPr>
        <w:t xml:space="preserve"> </w:t>
      </w:r>
      <w:r w:rsidRPr="00ED25F8">
        <w:rPr>
          <w:rFonts w:cs="Arial"/>
          <w:noProof/>
          <w:color w:val="000000" w:themeColor="text1"/>
          <w:sz w:val="22"/>
          <w:szCs w:val="22"/>
        </w:rPr>
        <w:t xml:space="preserve">Zur Verhinderung der Brandausbreitung müssen ausgedehnte Gebäude gemäß Musterbauordnung (MBO) durch Brandwände in maximal 40 m lange Gebäudeabschnitte unterteilt werden. Es können größere Abstände gestattet werden, wenn die Nutzung des Gebäudes dies erfordert und wenn keine Bedenken bzgl. des Brandschutzes bestehen. </w:t>
      </w:r>
    </w:p>
    <w:p w14:paraId="5757CE37" w14:textId="77777777" w:rsidR="006618CF" w:rsidRPr="00ED25F8" w:rsidRDefault="006618CF" w:rsidP="006618CF">
      <w:pPr>
        <w:jc w:val="both"/>
        <w:rPr>
          <w:rFonts w:cs="Arial"/>
          <w:b/>
          <w:noProof/>
          <w:color w:val="000000" w:themeColor="text1"/>
          <w:sz w:val="22"/>
          <w:szCs w:val="22"/>
        </w:rPr>
      </w:pPr>
    </w:p>
    <w:p w14:paraId="5E8EFF20" w14:textId="0EFCC4A8" w:rsidR="006618CF" w:rsidRPr="00ED25F8" w:rsidRDefault="006618CF" w:rsidP="006618CF">
      <w:pPr>
        <w:jc w:val="both"/>
        <w:rPr>
          <w:rFonts w:cs="Arial"/>
          <w:noProof/>
          <w:color w:val="000000" w:themeColor="text1"/>
          <w:sz w:val="22"/>
          <w:szCs w:val="22"/>
        </w:rPr>
      </w:pPr>
      <w:r w:rsidRPr="00ED25F8">
        <w:rPr>
          <w:rFonts w:cs="Arial"/>
          <w:b/>
          <w:noProof/>
          <w:color w:val="000000" w:themeColor="text1"/>
          <w:sz w:val="22"/>
          <w:szCs w:val="22"/>
        </w:rPr>
        <w:t>Wichtig:</w:t>
      </w:r>
      <w:r w:rsidRPr="00ED25F8">
        <w:rPr>
          <w:rFonts w:cs="Arial"/>
          <w:noProof/>
          <w:color w:val="000000" w:themeColor="text1"/>
          <w:sz w:val="22"/>
          <w:szCs w:val="22"/>
        </w:rPr>
        <w:t xml:space="preserve"> Nicht die Musterbauordnung (MBO) ist hier „entscheidend“ sondern die jeweilige Landesbauordnung (LBO).</w:t>
      </w:r>
    </w:p>
    <w:p w14:paraId="2EDE6517" w14:textId="77777777" w:rsidR="006618CF" w:rsidRPr="00ED25F8" w:rsidRDefault="006618CF" w:rsidP="006618CF">
      <w:pPr>
        <w:jc w:val="both"/>
        <w:rPr>
          <w:rFonts w:cs="Arial"/>
          <w:noProof/>
          <w:color w:val="000000" w:themeColor="text1"/>
          <w:sz w:val="22"/>
          <w:szCs w:val="22"/>
        </w:rPr>
      </w:pPr>
    </w:p>
    <w:p w14:paraId="24D8DD80"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Baustoffklassen</w:t>
      </w:r>
    </w:p>
    <w:p w14:paraId="2EB64F8B" w14:textId="121114F6" w:rsidR="006618CF" w:rsidRPr="00ED25F8" w:rsidRDefault="006618CF" w:rsidP="006618CF">
      <w:pPr>
        <w:jc w:val="both"/>
        <w:rPr>
          <w:rFonts w:cs="Arial"/>
          <w:color w:val="000000" w:themeColor="text1"/>
          <w:sz w:val="22"/>
          <w:szCs w:val="22"/>
        </w:rPr>
      </w:pPr>
      <w:r w:rsidRPr="00ED25F8">
        <w:rPr>
          <w:rFonts w:cs="Arial"/>
          <w:noProof/>
          <w:color w:val="000000" w:themeColor="text1"/>
          <w:sz w:val="22"/>
          <w:szCs w:val="22"/>
        </w:rPr>
        <w:t>Baustoffe werden hinsichtlich ihrer Brenn- und Entflammbarkeit in verschiedene Baustoffklassen nach DIN 4102 Teil 1 eingeteilt.</w:t>
      </w:r>
      <w:r w:rsidRPr="00ED25F8">
        <w:rPr>
          <w:rFonts w:cs="Arial"/>
          <w:color w:val="000000" w:themeColor="text1"/>
          <w:sz w:val="22"/>
          <w:szCs w:val="22"/>
        </w:rPr>
        <w:t xml:space="preserve"> </w:t>
      </w:r>
    </w:p>
    <w:p w14:paraId="23164B62" w14:textId="77777777" w:rsidR="006618CF" w:rsidRPr="00ED25F8" w:rsidRDefault="006618CF" w:rsidP="006618CF">
      <w:pPr>
        <w:jc w:val="both"/>
        <w:rPr>
          <w:rFonts w:cs="Arial"/>
          <w:color w:val="000000" w:themeColor="text1"/>
          <w:sz w:val="22"/>
          <w:szCs w:val="22"/>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429"/>
      </w:tblGrid>
      <w:tr w:rsidR="006618CF" w:rsidRPr="00ED25F8" w14:paraId="7D3286DE" w14:textId="77777777" w:rsidTr="003349F8">
        <w:tc>
          <w:tcPr>
            <w:tcW w:w="2518" w:type="dxa"/>
            <w:shd w:val="clear" w:color="auto" w:fill="auto"/>
          </w:tcPr>
          <w:p w14:paraId="2956B7CF" w14:textId="77777777" w:rsidR="006618CF" w:rsidRPr="00ED25F8" w:rsidRDefault="006618CF" w:rsidP="003349F8">
            <w:pPr>
              <w:jc w:val="both"/>
              <w:rPr>
                <w:rFonts w:cs="Arial"/>
                <w:b/>
                <w:color w:val="000000" w:themeColor="text1"/>
                <w:sz w:val="22"/>
                <w:szCs w:val="22"/>
              </w:rPr>
            </w:pPr>
            <w:r w:rsidRPr="00ED25F8">
              <w:rPr>
                <w:rFonts w:cs="Arial"/>
                <w:b/>
                <w:color w:val="000000" w:themeColor="text1"/>
                <w:sz w:val="22"/>
                <w:szCs w:val="22"/>
              </w:rPr>
              <w:t>Kurzbezeichnung</w:t>
            </w:r>
          </w:p>
        </w:tc>
        <w:tc>
          <w:tcPr>
            <w:tcW w:w="4429" w:type="dxa"/>
            <w:shd w:val="clear" w:color="auto" w:fill="auto"/>
          </w:tcPr>
          <w:p w14:paraId="7ED6456E" w14:textId="77777777" w:rsidR="006618CF" w:rsidRPr="00ED25F8" w:rsidRDefault="006618CF" w:rsidP="003349F8">
            <w:pPr>
              <w:jc w:val="both"/>
              <w:rPr>
                <w:rFonts w:cs="Arial"/>
                <w:b/>
                <w:color w:val="000000" w:themeColor="text1"/>
                <w:sz w:val="22"/>
                <w:szCs w:val="22"/>
              </w:rPr>
            </w:pPr>
            <w:r w:rsidRPr="00ED25F8">
              <w:rPr>
                <w:rFonts w:cs="Arial"/>
                <w:b/>
                <w:noProof/>
                <w:color w:val="000000" w:themeColor="text1"/>
                <w:sz w:val="22"/>
                <w:szCs w:val="22"/>
              </w:rPr>
              <w:t>bauaufsichtliche Benennung</w:t>
            </w:r>
          </w:p>
        </w:tc>
      </w:tr>
      <w:tr w:rsidR="006618CF" w:rsidRPr="00ED25F8" w14:paraId="714FC626" w14:textId="77777777" w:rsidTr="003349F8">
        <w:tc>
          <w:tcPr>
            <w:tcW w:w="2518" w:type="dxa"/>
            <w:shd w:val="clear" w:color="auto" w:fill="auto"/>
          </w:tcPr>
          <w:p w14:paraId="166CE0DF"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A1</w:t>
            </w:r>
          </w:p>
        </w:tc>
        <w:tc>
          <w:tcPr>
            <w:tcW w:w="4429" w:type="dxa"/>
            <w:shd w:val="clear" w:color="auto" w:fill="auto"/>
          </w:tcPr>
          <w:p w14:paraId="69FB85FA"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nicht brennbar</w:t>
            </w:r>
          </w:p>
        </w:tc>
      </w:tr>
      <w:tr w:rsidR="006618CF" w:rsidRPr="00ED25F8" w14:paraId="3381DE85" w14:textId="77777777" w:rsidTr="003349F8">
        <w:tc>
          <w:tcPr>
            <w:tcW w:w="2518" w:type="dxa"/>
            <w:shd w:val="clear" w:color="auto" w:fill="auto"/>
          </w:tcPr>
          <w:p w14:paraId="1C718316"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A2</w:t>
            </w:r>
          </w:p>
        </w:tc>
        <w:tc>
          <w:tcPr>
            <w:tcW w:w="4429" w:type="dxa"/>
            <w:shd w:val="clear" w:color="auto" w:fill="auto"/>
          </w:tcPr>
          <w:p w14:paraId="49BEB065"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nicht brennbar</w:t>
            </w:r>
          </w:p>
        </w:tc>
      </w:tr>
      <w:tr w:rsidR="006618CF" w:rsidRPr="00ED25F8" w14:paraId="43DA8457" w14:textId="77777777" w:rsidTr="003349F8">
        <w:tc>
          <w:tcPr>
            <w:tcW w:w="2518" w:type="dxa"/>
            <w:shd w:val="clear" w:color="auto" w:fill="auto"/>
          </w:tcPr>
          <w:p w14:paraId="18426744"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B1</w:t>
            </w:r>
          </w:p>
        </w:tc>
        <w:tc>
          <w:tcPr>
            <w:tcW w:w="4429" w:type="dxa"/>
            <w:shd w:val="clear" w:color="auto" w:fill="auto"/>
          </w:tcPr>
          <w:p w14:paraId="4680521A"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schwer entflammbar</w:t>
            </w:r>
          </w:p>
        </w:tc>
      </w:tr>
      <w:tr w:rsidR="006618CF" w:rsidRPr="00ED25F8" w14:paraId="1E3144A5" w14:textId="77777777" w:rsidTr="003349F8">
        <w:tc>
          <w:tcPr>
            <w:tcW w:w="2518" w:type="dxa"/>
            <w:shd w:val="clear" w:color="auto" w:fill="auto"/>
          </w:tcPr>
          <w:p w14:paraId="3113CFBA"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B2</w:t>
            </w:r>
          </w:p>
        </w:tc>
        <w:tc>
          <w:tcPr>
            <w:tcW w:w="4429" w:type="dxa"/>
            <w:shd w:val="clear" w:color="auto" w:fill="auto"/>
          </w:tcPr>
          <w:p w14:paraId="6014EF68"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normal entflammbar</w:t>
            </w:r>
          </w:p>
        </w:tc>
      </w:tr>
      <w:tr w:rsidR="006618CF" w:rsidRPr="00ED25F8" w14:paraId="1F49362F" w14:textId="77777777" w:rsidTr="003349F8">
        <w:tc>
          <w:tcPr>
            <w:tcW w:w="2518" w:type="dxa"/>
            <w:shd w:val="clear" w:color="auto" w:fill="auto"/>
          </w:tcPr>
          <w:p w14:paraId="63233BF1"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B3</w:t>
            </w:r>
          </w:p>
        </w:tc>
        <w:tc>
          <w:tcPr>
            <w:tcW w:w="4429" w:type="dxa"/>
            <w:shd w:val="clear" w:color="auto" w:fill="auto"/>
          </w:tcPr>
          <w:p w14:paraId="59BF69C3"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leicht entflammbar</w:t>
            </w:r>
          </w:p>
        </w:tc>
      </w:tr>
    </w:tbl>
    <w:p w14:paraId="56B06278" w14:textId="77777777" w:rsidR="006618CF" w:rsidRPr="00ED25F8" w:rsidRDefault="006618CF" w:rsidP="006618CF">
      <w:pPr>
        <w:ind w:firstLine="709"/>
        <w:jc w:val="both"/>
        <w:rPr>
          <w:rFonts w:cs="Arial"/>
          <w:noProof/>
          <w:color w:val="000000" w:themeColor="text1"/>
          <w:sz w:val="16"/>
          <w:szCs w:val="16"/>
        </w:rPr>
      </w:pPr>
      <w:r w:rsidRPr="00ED25F8">
        <w:rPr>
          <w:rFonts w:cs="Arial"/>
          <w:noProof/>
          <w:color w:val="000000" w:themeColor="text1"/>
          <w:sz w:val="16"/>
          <w:szCs w:val="16"/>
        </w:rPr>
        <w:t>Tabelle 1: Baustoffklassen</w:t>
      </w:r>
    </w:p>
    <w:p w14:paraId="47BE74AD" w14:textId="77777777" w:rsidR="006618CF" w:rsidRPr="00ED25F8" w:rsidRDefault="006618CF" w:rsidP="006618CF">
      <w:pPr>
        <w:jc w:val="both"/>
        <w:rPr>
          <w:rFonts w:cs="Arial"/>
          <w:noProof/>
          <w:color w:val="000000" w:themeColor="text1"/>
          <w:sz w:val="22"/>
          <w:szCs w:val="22"/>
          <w:u w:val="single"/>
        </w:rPr>
      </w:pPr>
    </w:p>
    <w:p w14:paraId="708EFDF1" w14:textId="77777777" w:rsidR="006618CF" w:rsidRDefault="006618CF" w:rsidP="006618CF">
      <w:pPr>
        <w:pStyle w:val="Formatvorlage1"/>
        <w:jc w:val="both"/>
        <w:rPr>
          <w:noProof/>
          <w:color w:val="000000" w:themeColor="text1"/>
          <w:sz w:val="22"/>
          <w:szCs w:val="22"/>
        </w:rPr>
      </w:pPr>
      <w:r>
        <w:rPr>
          <w:noProof/>
          <w:color w:val="000000" w:themeColor="text1"/>
          <w:sz w:val="22"/>
          <w:szCs w:val="22"/>
        </w:rPr>
        <w:br w:type="page"/>
      </w:r>
    </w:p>
    <w:p w14:paraId="38B0F260" w14:textId="77777777" w:rsidR="006618CF" w:rsidRPr="00ED25F8" w:rsidRDefault="006618CF" w:rsidP="006618CF">
      <w:pPr>
        <w:pStyle w:val="Formatvorlage1"/>
        <w:jc w:val="both"/>
        <w:rPr>
          <w:noProof/>
          <w:color w:val="000000" w:themeColor="text1"/>
          <w:sz w:val="22"/>
          <w:szCs w:val="22"/>
        </w:rPr>
      </w:pPr>
      <w:r w:rsidRPr="00ED25F8">
        <w:rPr>
          <w:noProof/>
          <w:color w:val="000000" w:themeColor="text1"/>
          <w:sz w:val="22"/>
          <w:szCs w:val="22"/>
        </w:rPr>
        <w:lastRenderedPageBreak/>
        <w:t>Feuerwiderstandsklassen</w:t>
      </w:r>
    </w:p>
    <w:p w14:paraId="774F0F09" w14:textId="0E061C4B" w:rsidR="006618CF" w:rsidRPr="00ED25F8" w:rsidRDefault="006618CF" w:rsidP="006618CF">
      <w:pPr>
        <w:jc w:val="both"/>
        <w:rPr>
          <w:rFonts w:cs="Arial"/>
          <w:color w:val="000000" w:themeColor="text1"/>
          <w:sz w:val="22"/>
          <w:szCs w:val="22"/>
        </w:rPr>
      </w:pPr>
      <w:r w:rsidRPr="00ED25F8">
        <w:rPr>
          <w:rFonts w:cs="Arial"/>
          <w:noProof/>
          <w:color w:val="000000" w:themeColor="text1"/>
          <w:sz w:val="22"/>
          <w:szCs w:val="22"/>
        </w:rPr>
        <w:t>Bauteile werden entsprechend ihrer Feuerwiderstandsdauer in verschiedene Feuerwiderstandsklassen nach DIN 4102 Teil 2 eingeteilt.</w:t>
      </w:r>
      <w:r w:rsidRPr="00ED25F8">
        <w:rPr>
          <w:rFonts w:cs="Arial"/>
          <w:color w:val="000000" w:themeColor="text1"/>
          <w:sz w:val="22"/>
          <w:szCs w:val="22"/>
        </w:rPr>
        <w:t xml:space="preserve"> </w:t>
      </w:r>
    </w:p>
    <w:p w14:paraId="2F00B505" w14:textId="77777777" w:rsidR="006618CF" w:rsidRPr="00ED25F8" w:rsidRDefault="006618CF" w:rsidP="006618CF">
      <w:pPr>
        <w:jc w:val="both"/>
        <w:rPr>
          <w:rFonts w:cs="Arial"/>
          <w:noProof/>
          <w:color w:val="000000" w:themeColor="text1"/>
          <w:sz w:val="22"/>
          <w:szCs w:val="22"/>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424"/>
        <w:gridCol w:w="2551"/>
      </w:tblGrid>
      <w:tr w:rsidR="006618CF" w:rsidRPr="00ED25F8" w14:paraId="61D13A77" w14:textId="77777777" w:rsidTr="003349F8">
        <w:tc>
          <w:tcPr>
            <w:tcW w:w="2217" w:type="dxa"/>
            <w:shd w:val="clear" w:color="auto" w:fill="auto"/>
          </w:tcPr>
          <w:p w14:paraId="492D5842" w14:textId="77777777" w:rsidR="006618CF" w:rsidRPr="00ED25F8" w:rsidRDefault="006618CF" w:rsidP="003349F8">
            <w:pPr>
              <w:jc w:val="both"/>
              <w:rPr>
                <w:rFonts w:cs="Arial"/>
                <w:b/>
                <w:noProof/>
                <w:color w:val="000000" w:themeColor="text1"/>
                <w:sz w:val="22"/>
                <w:szCs w:val="22"/>
              </w:rPr>
            </w:pPr>
            <w:r w:rsidRPr="00ED25F8">
              <w:rPr>
                <w:rFonts w:cs="Arial"/>
                <w:b/>
                <w:noProof/>
                <w:color w:val="000000" w:themeColor="text1"/>
                <w:sz w:val="22"/>
                <w:szCs w:val="22"/>
              </w:rPr>
              <w:t>Kurzbezeichnung</w:t>
            </w:r>
          </w:p>
        </w:tc>
        <w:tc>
          <w:tcPr>
            <w:tcW w:w="3424" w:type="dxa"/>
            <w:shd w:val="clear" w:color="auto" w:fill="auto"/>
          </w:tcPr>
          <w:p w14:paraId="6B9FB4D7" w14:textId="77777777" w:rsidR="006618CF" w:rsidRPr="00ED25F8" w:rsidRDefault="006618CF" w:rsidP="003349F8">
            <w:pPr>
              <w:jc w:val="both"/>
              <w:rPr>
                <w:rFonts w:cs="Arial"/>
                <w:b/>
                <w:noProof/>
                <w:color w:val="000000" w:themeColor="text1"/>
                <w:sz w:val="22"/>
                <w:szCs w:val="22"/>
              </w:rPr>
            </w:pPr>
            <w:r w:rsidRPr="00ED25F8">
              <w:rPr>
                <w:rFonts w:cs="Arial"/>
                <w:b/>
                <w:noProof/>
                <w:color w:val="000000" w:themeColor="text1"/>
                <w:sz w:val="22"/>
                <w:szCs w:val="22"/>
              </w:rPr>
              <w:t>bauaufsichtliche Benennung</w:t>
            </w:r>
          </w:p>
        </w:tc>
        <w:tc>
          <w:tcPr>
            <w:tcW w:w="2551" w:type="dxa"/>
            <w:shd w:val="clear" w:color="auto" w:fill="auto"/>
          </w:tcPr>
          <w:p w14:paraId="68E98647" w14:textId="77777777" w:rsidR="006618CF" w:rsidRPr="00ED25F8" w:rsidRDefault="006618CF" w:rsidP="003349F8">
            <w:pPr>
              <w:jc w:val="both"/>
              <w:rPr>
                <w:rFonts w:cs="Arial"/>
                <w:b/>
                <w:noProof/>
                <w:color w:val="000000" w:themeColor="text1"/>
                <w:sz w:val="22"/>
                <w:szCs w:val="22"/>
              </w:rPr>
            </w:pPr>
            <w:r w:rsidRPr="00ED25F8">
              <w:rPr>
                <w:rFonts w:cs="Arial"/>
                <w:b/>
                <w:noProof/>
                <w:color w:val="000000" w:themeColor="text1"/>
                <w:sz w:val="22"/>
                <w:szCs w:val="22"/>
              </w:rPr>
              <w:t>Funktionserhalt über</w:t>
            </w:r>
          </w:p>
        </w:tc>
      </w:tr>
      <w:tr w:rsidR="006618CF" w:rsidRPr="00ED25F8" w14:paraId="3A4DAF04" w14:textId="77777777" w:rsidTr="003349F8">
        <w:tc>
          <w:tcPr>
            <w:tcW w:w="2217" w:type="dxa"/>
            <w:shd w:val="clear" w:color="auto" w:fill="auto"/>
          </w:tcPr>
          <w:p w14:paraId="32BCDDEB"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F30</w:t>
            </w:r>
          </w:p>
        </w:tc>
        <w:tc>
          <w:tcPr>
            <w:tcW w:w="3424" w:type="dxa"/>
            <w:shd w:val="clear" w:color="auto" w:fill="auto"/>
          </w:tcPr>
          <w:p w14:paraId="129A4F6C"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feuerhemmend</w:t>
            </w:r>
          </w:p>
        </w:tc>
        <w:tc>
          <w:tcPr>
            <w:tcW w:w="2551" w:type="dxa"/>
            <w:shd w:val="clear" w:color="auto" w:fill="auto"/>
          </w:tcPr>
          <w:p w14:paraId="44E5ADE9"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30 Minuten</w:t>
            </w:r>
          </w:p>
        </w:tc>
      </w:tr>
      <w:tr w:rsidR="006618CF" w:rsidRPr="00ED25F8" w14:paraId="1093A148" w14:textId="77777777" w:rsidTr="003349F8">
        <w:tc>
          <w:tcPr>
            <w:tcW w:w="2217" w:type="dxa"/>
            <w:shd w:val="clear" w:color="auto" w:fill="auto"/>
          </w:tcPr>
          <w:p w14:paraId="51401175"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F60</w:t>
            </w:r>
          </w:p>
        </w:tc>
        <w:tc>
          <w:tcPr>
            <w:tcW w:w="3424" w:type="dxa"/>
            <w:shd w:val="clear" w:color="auto" w:fill="auto"/>
          </w:tcPr>
          <w:p w14:paraId="21EA89A7"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hochfeuerhemmend</w:t>
            </w:r>
          </w:p>
        </w:tc>
        <w:tc>
          <w:tcPr>
            <w:tcW w:w="2551" w:type="dxa"/>
            <w:shd w:val="clear" w:color="auto" w:fill="auto"/>
          </w:tcPr>
          <w:p w14:paraId="3DAF7E78"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60 Minuten</w:t>
            </w:r>
          </w:p>
        </w:tc>
      </w:tr>
      <w:tr w:rsidR="006618CF" w:rsidRPr="00ED25F8" w14:paraId="1EC17C1A" w14:textId="77777777" w:rsidTr="003349F8">
        <w:tc>
          <w:tcPr>
            <w:tcW w:w="2217" w:type="dxa"/>
            <w:shd w:val="clear" w:color="auto" w:fill="auto"/>
          </w:tcPr>
          <w:p w14:paraId="0A9EF8EA"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F90</w:t>
            </w:r>
          </w:p>
        </w:tc>
        <w:tc>
          <w:tcPr>
            <w:tcW w:w="3424" w:type="dxa"/>
            <w:shd w:val="clear" w:color="auto" w:fill="auto"/>
          </w:tcPr>
          <w:p w14:paraId="0FBFCD80"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feuerbeständig</w:t>
            </w:r>
          </w:p>
        </w:tc>
        <w:tc>
          <w:tcPr>
            <w:tcW w:w="2551" w:type="dxa"/>
            <w:shd w:val="clear" w:color="auto" w:fill="auto"/>
          </w:tcPr>
          <w:p w14:paraId="4C3B6C95"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90 Minuten</w:t>
            </w:r>
          </w:p>
        </w:tc>
      </w:tr>
      <w:tr w:rsidR="006618CF" w:rsidRPr="00ED25F8" w14:paraId="4CED1169" w14:textId="77777777" w:rsidTr="003349F8">
        <w:tc>
          <w:tcPr>
            <w:tcW w:w="2217" w:type="dxa"/>
            <w:shd w:val="clear" w:color="auto" w:fill="auto"/>
          </w:tcPr>
          <w:p w14:paraId="7FC2C177"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F120</w:t>
            </w:r>
          </w:p>
        </w:tc>
        <w:tc>
          <w:tcPr>
            <w:tcW w:w="3424" w:type="dxa"/>
            <w:shd w:val="clear" w:color="auto" w:fill="auto"/>
          </w:tcPr>
          <w:p w14:paraId="6D84F221"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hochfeuerbeständig</w:t>
            </w:r>
          </w:p>
        </w:tc>
        <w:tc>
          <w:tcPr>
            <w:tcW w:w="2551" w:type="dxa"/>
            <w:shd w:val="clear" w:color="auto" w:fill="auto"/>
          </w:tcPr>
          <w:p w14:paraId="2049DE97"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120 Minuten</w:t>
            </w:r>
          </w:p>
        </w:tc>
      </w:tr>
      <w:tr w:rsidR="006618CF" w:rsidRPr="00ED25F8" w14:paraId="2D27FEBF" w14:textId="77777777" w:rsidTr="003349F8">
        <w:trPr>
          <w:trHeight w:val="70"/>
        </w:trPr>
        <w:tc>
          <w:tcPr>
            <w:tcW w:w="2217" w:type="dxa"/>
            <w:shd w:val="clear" w:color="auto" w:fill="auto"/>
          </w:tcPr>
          <w:p w14:paraId="3DC1B8B8"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F180</w:t>
            </w:r>
          </w:p>
        </w:tc>
        <w:tc>
          <w:tcPr>
            <w:tcW w:w="3424" w:type="dxa"/>
            <w:shd w:val="clear" w:color="auto" w:fill="auto"/>
          </w:tcPr>
          <w:p w14:paraId="4BD840F0"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höchstfeuerbeständig</w:t>
            </w:r>
          </w:p>
        </w:tc>
        <w:tc>
          <w:tcPr>
            <w:tcW w:w="2551" w:type="dxa"/>
            <w:shd w:val="clear" w:color="auto" w:fill="auto"/>
          </w:tcPr>
          <w:p w14:paraId="424005B6"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180 Minuten</w:t>
            </w:r>
          </w:p>
        </w:tc>
      </w:tr>
    </w:tbl>
    <w:p w14:paraId="7264A0E1" w14:textId="77777777" w:rsidR="006618CF" w:rsidRPr="00ED25F8" w:rsidRDefault="006618CF" w:rsidP="006618CF">
      <w:pPr>
        <w:ind w:firstLine="709"/>
        <w:jc w:val="both"/>
        <w:rPr>
          <w:rFonts w:cs="Arial"/>
          <w:noProof/>
          <w:color w:val="000000" w:themeColor="text1"/>
          <w:sz w:val="16"/>
          <w:szCs w:val="16"/>
        </w:rPr>
      </w:pPr>
      <w:r w:rsidRPr="00ED25F8">
        <w:rPr>
          <w:rFonts w:cs="Arial"/>
          <w:noProof/>
          <w:color w:val="000000" w:themeColor="text1"/>
          <w:sz w:val="16"/>
          <w:szCs w:val="16"/>
        </w:rPr>
        <w:t>Tabelle 2: Feuerwiderstandsklassen</w:t>
      </w:r>
    </w:p>
    <w:p w14:paraId="197CBA1F" w14:textId="77777777" w:rsidR="006618CF" w:rsidRPr="00ED25F8" w:rsidRDefault="006618CF" w:rsidP="006618CF">
      <w:pPr>
        <w:jc w:val="both"/>
        <w:rPr>
          <w:rFonts w:cs="Arial"/>
          <w:noProof/>
          <w:color w:val="000000" w:themeColor="text1"/>
          <w:sz w:val="22"/>
          <w:szCs w:val="22"/>
        </w:rPr>
      </w:pPr>
    </w:p>
    <w:p w14:paraId="60FCFDC4" w14:textId="77777777" w:rsidR="006618CF" w:rsidRDefault="006618CF" w:rsidP="006618CF">
      <w:pPr>
        <w:jc w:val="both"/>
        <w:rPr>
          <w:rFonts w:cs="Arial"/>
          <w:noProof/>
          <w:color w:val="000000" w:themeColor="text1"/>
          <w:sz w:val="22"/>
          <w:szCs w:val="22"/>
        </w:rPr>
      </w:pPr>
      <w:r w:rsidRPr="00ED25F8">
        <w:rPr>
          <w:rFonts w:cs="Arial"/>
          <w:noProof/>
          <w:color w:val="000000" w:themeColor="text1"/>
          <w:sz w:val="22"/>
          <w:szCs w:val="22"/>
        </w:rPr>
        <w:t>Manche Sonderbauteile haben eigene Kennbuchstaben, welche anstatt des allgemeinen "</w:t>
      </w:r>
      <w:r w:rsidRPr="00ED25F8">
        <w:rPr>
          <w:rFonts w:cs="Arial"/>
          <w:b/>
          <w:noProof/>
          <w:color w:val="000000" w:themeColor="text1"/>
          <w:sz w:val="22"/>
          <w:szCs w:val="22"/>
        </w:rPr>
        <w:t>F</w:t>
      </w:r>
      <w:r w:rsidRPr="00ED25F8">
        <w:rPr>
          <w:rFonts w:cs="Arial"/>
          <w:noProof/>
          <w:color w:val="000000" w:themeColor="text1"/>
          <w:sz w:val="22"/>
          <w:szCs w:val="22"/>
        </w:rPr>
        <w:t>" benutzt werden:</w:t>
      </w:r>
    </w:p>
    <w:p w14:paraId="64A0457B" w14:textId="77777777" w:rsidR="006618CF" w:rsidRPr="00ED25F8" w:rsidRDefault="006618CF" w:rsidP="006618CF">
      <w:pPr>
        <w:jc w:val="both"/>
        <w:rPr>
          <w:rFonts w:cs="Arial"/>
          <w:noProof/>
          <w:color w:val="000000" w:themeColor="text1"/>
          <w:sz w:val="22"/>
          <w:szCs w:val="22"/>
        </w:rPr>
      </w:pPr>
    </w:p>
    <w:p w14:paraId="7396747E"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F: </w:t>
      </w:r>
      <w:r w:rsidRPr="008D3176">
        <w:rPr>
          <w:rFonts w:cs="Arial"/>
          <w:noProof/>
          <w:color w:val="000000" w:themeColor="text1"/>
          <w:sz w:val="22"/>
          <w:szCs w:val="22"/>
        </w:rPr>
        <w:tab/>
        <w:t>Wände, Decken, Gebäudestützen und -unterzüge, Treppen</w:t>
      </w:r>
    </w:p>
    <w:p w14:paraId="6E000CCB"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F: </w:t>
      </w:r>
      <w:r w:rsidRPr="008D3176">
        <w:rPr>
          <w:rFonts w:cs="Arial"/>
          <w:noProof/>
          <w:color w:val="000000" w:themeColor="text1"/>
          <w:sz w:val="22"/>
          <w:szCs w:val="22"/>
        </w:rPr>
        <w:tab/>
        <w:t xml:space="preserve">Brandschutzverglasung. Schutz vor Hitzestrahlung auf der brandabgewandten </w:t>
      </w:r>
    </w:p>
    <w:p w14:paraId="12F7ADE0" w14:textId="77777777" w:rsidR="006618CF" w:rsidRPr="008D3176" w:rsidRDefault="006618CF" w:rsidP="006618CF">
      <w:pPr>
        <w:ind w:left="360"/>
        <w:jc w:val="both"/>
        <w:rPr>
          <w:rFonts w:cs="Arial"/>
          <w:noProof/>
          <w:color w:val="000000" w:themeColor="text1"/>
          <w:sz w:val="22"/>
          <w:szCs w:val="22"/>
        </w:rPr>
      </w:pPr>
      <w:r w:rsidRPr="008D3176">
        <w:rPr>
          <w:rFonts w:cs="Arial"/>
          <w:noProof/>
          <w:color w:val="000000" w:themeColor="text1"/>
          <w:sz w:val="22"/>
          <w:szCs w:val="22"/>
        </w:rPr>
        <w:tab/>
        <w:t>Seite.</w:t>
      </w:r>
    </w:p>
    <w:p w14:paraId="42D63408"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T: </w:t>
      </w:r>
      <w:r w:rsidRPr="008D3176">
        <w:rPr>
          <w:rFonts w:cs="Arial"/>
          <w:noProof/>
          <w:color w:val="000000" w:themeColor="text1"/>
          <w:sz w:val="22"/>
          <w:szCs w:val="22"/>
        </w:rPr>
        <w:tab/>
        <w:t>Feuerschutzabschlüsse (Türen, Tore und Klappen)</w:t>
      </w:r>
    </w:p>
    <w:p w14:paraId="2E96DF97"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G: </w:t>
      </w:r>
      <w:r w:rsidRPr="008D3176">
        <w:rPr>
          <w:rFonts w:cs="Arial"/>
          <w:noProof/>
          <w:color w:val="000000" w:themeColor="text1"/>
          <w:sz w:val="22"/>
          <w:szCs w:val="22"/>
        </w:rPr>
        <w:tab/>
        <w:t xml:space="preserve">Brandschutzverglasung oder Fensterelement. Jedoch kein Hitzestrahlungsschutz </w:t>
      </w:r>
    </w:p>
    <w:p w14:paraId="6D0C5EAC" w14:textId="77777777" w:rsidR="006618CF" w:rsidRPr="008D3176" w:rsidRDefault="006618CF" w:rsidP="006618CF">
      <w:pPr>
        <w:ind w:left="360"/>
        <w:jc w:val="both"/>
        <w:rPr>
          <w:rFonts w:cs="Arial"/>
          <w:noProof/>
          <w:color w:val="000000" w:themeColor="text1"/>
          <w:sz w:val="22"/>
          <w:szCs w:val="22"/>
        </w:rPr>
      </w:pPr>
      <w:r w:rsidRPr="008D3176">
        <w:rPr>
          <w:rFonts w:cs="Arial"/>
          <w:noProof/>
          <w:color w:val="000000" w:themeColor="text1"/>
          <w:sz w:val="22"/>
          <w:szCs w:val="22"/>
        </w:rPr>
        <w:tab/>
        <w:t xml:space="preserve">auf der brandabgewandten Seite. Ein Wattebausch (siehe DIN 4102) wird </w:t>
      </w:r>
    </w:p>
    <w:p w14:paraId="0E98DCE1" w14:textId="77777777" w:rsidR="006618CF" w:rsidRPr="008D3176" w:rsidRDefault="006618CF" w:rsidP="006618CF">
      <w:pPr>
        <w:ind w:left="360"/>
        <w:jc w:val="both"/>
        <w:rPr>
          <w:rFonts w:cs="Arial"/>
          <w:noProof/>
          <w:color w:val="000000" w:themeColor="text1"/>
          <w:sz w:val="22"/>
          <w:szCs w:val="22"/>
        </w:rPr>
      </w:pPr>
      <w:r w:rsidRPr="008D3176">
        <w:rPr>
          <w:rFonts w:cs="Arial"/>
          <w:noProof/>
          <w:color w:val="000000" w:themeColor="text1"/>
          <w:sz w:val="22"/>
          <w:szCs w:val="22"/>
        </w:rPr>
        <w:tab/>
        <w:t xml:space="preserve">entzündet. Ergänzung: "Sicherung von Sichtöffnungen sind G-Verglasungen, die </w:t>
      </w:r>
    </w:p>
    <w:p w14:paraId="195E68E6" w14:textId="77777777" w:rsidR="006618CF" w:rsidRPr="008D3176" w:rsidRDefault="006618CF" w:rsidP="006618CF">
      <w:pPr>
        <w:ind w:left="360"/>
        <w:jc w:val="both"/>
        <w:rPr>
          <w:rFonts w:cs="Arial"/>
          <w:noProof/>
          <w:color w:val="000000" w:themeColor="text1"/>
          <w:sz w:val="22"/>
          <w:szCs w:val="22"/>
        </w:rPr>
      </w:pPr>
      <w:r w:rsidRPr="008D3176">
        <w:rPr>
          <w:rFonts w:cs="Arial"/>
          <w:noProof/>
          <w:color w:val="000000" w:themeColor="text1"/>
          <w:sz w:val="22"/>
          <w:szCs w:val="22"/>
        </w:rPr>
        <w:tab/>
        <w:t>einen Raumabschluss ohne Wärmedämmung darstellen, d. h. Strahlungshitze</w:t>
      </w:r>
    </w:p>
    <w:p w14:paraId="55EB0C21" w14:textId="77777777" w:rsidR="006618CF" w:rsidRPr="008D3176" w:rsidRDefault="006618CF" w:rsidP="006618CF">
      <w:pPr>
        <w:ind w:left="709"/>
        <w:jc w:val="both"/>
        <w:rPr>
          <w:rFonts w:cs="Arial"/>
          <w:noProof/>
          <w:color w:val="000000" w:themeColor="text1"/>
          <w:sz w:val="22"/>
          <w:szCs w:val="22"/>
        </w:rPr>
      </w:pPr>
      <w:r w:rsidRPr="008D3176">
        <w:rPr>
          <w:rFonts w:cs="Arial"/>
          <w:noProof/>
          <w:color w:val="000000" w:themeColor="text1"/>
          <w:sz w:val="22"/>
          <w:szCs w:val="22"/>
        </w:rPr>
        <w:t>kann mehr oder weniger ungehindert durchdringen (abhängig von der Bauart der Verglasung)"</w:t>
      </w:r>
    </w:p>
    <w:p w14:paraId="353D4041"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L: </w:t>
      </w:r>
      <w:r w:rsidRPr="008D3176">
        <w:rPr>
          <w:rFonts w:cs="Arial"/>
          <w:noProof/>
          <w:color w:val="000000" w:themeColor="text1"/>
          <w:sz w:val="22"/>
          <w:szCs w:val="22"/>
        </w:rPr>
        <w:tab/>
        <w:t>Lüftungskanal und -leitungen</w:t>
      </w:r>
    </w:p>
    <w:p w14:paraId="09D6D788"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E: </w:t>
      </w:r>
      <w:r w:rsidRPr="008D3176">
        <w:rPr>
          <w:rFonts w:cs="Arial"/>
          <w:noProof/>
          <w:color w:val="000000" w:themeColor="text1"/>
          <w:sz w:val="22"/>
          <w:szCs w:val="22"/>
        </w:rPr>
        <w:tab/>
        <w:t xml:space="preserve">Elektroinstallationskanal oder Installationsleitungen mit zugelassenem </w:t>
      </w:r>
    </w:p>
    <w:p w14:paraId="12172EB0" w14:textId="77777777" w:rsidR="006618CF" w:rsidRPr="008D3176" w:rsidRDefault="006618CF" w:rsidP="006618CF">
      <w:pPr>
        <w:ind w:left="705"/>
        <w:jc w:val="both"/>
        <w:rPr>
          <w:rFonts w:cs="Arial"/>
          <w:noProof/>
          <w:color w:val="000000" w:themeColor="text1"/>
          <w:sz w:val="22"/>
          <w:szCs w:val="22"/>
        </w:rPr>
      </w:pPr>
      <w:r w:rsidRPr="008D3176">
        <w:rPr>
          <w:rFonts w:cs="Arial"/>
          <w:noProof/>
          <w:color w:val="000000" w:themeColor="text1"/>
          <w:sz w:val="22"/>
          <w:szCs w:val="22"/>
        </w:rPr>
        <w:t xml:space="preserve">Normtragsystem z. B. Elektroleitung auf Kabelpritsche (Brandbeanspruchung </w:t>
      </w:r>
    </w:p>
    <w:p w14:paraId="1E66C4D8" w14:textId="77777777" w:rsidR="006618CF" w:rsidRPr="008D3176" w:rsidRDefault="006618CF" w:rsidP="006618CF">
      <w:pPr>
        <w:ind w:left="705"/>
        <w:jc w:val="both"/>
        <w:rPr>
          <w:rFonts w:cs="Arial"/>
          <w:noProof/>
          <w:color w:val="000000" w:themeColor="text1"/>
          <w:sz w:val="22"/>
          <w:szCs w:val="22"/>
        </w:rPr>
      </w:pPr>
      <w:r w:rsidRPr="008D3176">
        <w:rPr>
          <w:rFonts w:cs="Arial"/>
          <w:noProof/>
          <w:color w:val="000000" w:themeColor="text1"/>
          <w:sz w:val="22"/>
          <w:szCs w:val="22"/>
        </w:rPr>
        <w:t>von außen nach innen, mit zwingendem Funktionserhalt)</w:t>
      </w:r>
    </w:p>
    <w:p w14:paraId="679A6111"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I: </w:t>
      </w:r>
      <w:r w:rsidRPr="008D3176">
        <w:rPr>
          <w:rFonts w:cs="Arial"/>
          <w:noProof/>
          <w:color w:val="000000" w:themeColor="text1"/>
          <w:sz w:val="22"/>
          <w:szCs w:val="22"/>
        </w:rPr>
        <w:tab/>
        <w:t xml:space="preserve">Elektroinstallationskanal für Installationsleitungen (Brandbeanspruchung </w:t>
      </w:r>
    </w:p>
    <w:p w14:paraId="288AB7C6" w14:textId="77777777" w:rsidR="006618CF" w:rsidRPr="008D3176" w:rsidRDefault="006618CF" w:rsidP="006618CF">
      <w:pPr>
        <w:ind w:firstLine="709"/>
        <w:jc w:val="both"/>
        <w:rPr>
          <w:rFonts w:cs="Arial"/>
          <w:noProof/>
          <w:color w:val="000000" w:themeColor="text1"/>
          <w:sz w:val="22"/>
          <w:szCs w:val="22"/>
        </w:rPr>
      </w:pPr>
      <w:r w:rsidRPr="008D3176">
        <w:rPr>
          <w:rFonts w:cs="Arial"/>
          <w:noProof/>
          <w:color w:val="000000" w:themeColor="text1"/>
          <w:sz w:val="22"/>
          <w:szCs w:val="22"/>
        </w:rPr>
        <w:t>von innen nach außen, kein zwingender Funktionserhalt)</w:t>
      </w:r>
    </w:p>
    <w:p w14:paraId="6CB8DE4D"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K: </w:t>
      </w:r>
      <w:r w:rsidRPr="008D3176">
        <w:rPr>
          <w:rFonts w:cs="Arial"/>
          <w:noProof/>
          <w:color w:val="000000" w:themeColor="text1"/>
          <w:sz w:val="22"/>
          <w:szCs w:val="22"/>
        </w:rPr>
        <w:tab/>
        <w:t>Absperrvorrichtungen in Lüftungsleitungen</w:t>
      </w:r>
    </w:p>
    <w:p w14:paraId="0B3512BB"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R: </w:t>
      </w:r>
      <w:r w:rsidRPr="008D3176">
        <w:rPr>
          <w:rFonts w:cs="Arial"/>
          <w:noProof/>
          <w:color w:val="000000" w:themeColor="text1"/>
          <w:sz w:val="22"/>
          <w:szCs w:val="22"/>
        </w:rPr>
        <w:tab/>
        <w:t>Rohrabschottung, Rohrdurchführungen</w:t>
      </w:r>
    </w:p>
    <w:p w14:paraId="0E1C52FF"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S: </w:t>
      </w:r>
      <w:r w:rsidRPr="008D3176">
        <w:rPr>
          <w:rFonts w:cs="Arial"/>
          <w:noProof/>
          <w:color w:val="000000" w:themeColor="text1"/>
          <w:sz w:val="22"/>
          <w:szCs w:val="22"/>
        </w:rPr>
        <w:tab/>
        <w:t>Schott, Kabelbrandschott</w:t>
      </w:r>
    </w:p>
    <w:p w14:paraId="6FA8C9EA"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W: </w:t>
      </w:r>
      <w:r w:rsidRPr="008D3176">
        <w:rPr>
          <w:rFonts w:cs="Arial"/>
          <w:noProof/>
          <w:color w:val="000000" w:themeColor="text1"/>
          <w:sz w:val="22"/>
          <w:szCs w:val="22"/>
        </w:rPr>
        <w:tab/>
        <w:t>Nichttragende Außenwände</w:t>
      </w:r>
    </w:p>
    <w:p w14:paraId="39570893" w14:textId="77777777" w:rsidR="006618CF" w:rsidRPr="008D3176" w:rsidRDefault="006618CF" w:rsidP="006618CF">
      <w:pPr>
        <w:jc w:val="both"/>
        <w:rPr>
          <w:rFonts w:cs="Arial"/>
          <w:noProof/>
          <w:color w:val="000000" w:themeColor="text1"/>
          <w:sz w:val="22"/>
          <w:szCs w:val="22"/>
        </w:rPr>
      </w:pPr>
    </w:p>
    <w:p w14:paraId="5AF0BEE6" w14:textId="77777777" w:rsidR="006618CF" w:rsidRDefault="006618CF" w:rsidP="006618CF">
      <w:pPr>
        <w:pStyle w:val="Formatvorlage1"/>
        <w:spacing w:before="0"/>
        <w:jc w:val="both"/>
        <w:rPr>
          <w:color w:val="000000" w:themeColor="text1"/>
          <w:sz w:val="22"/>
          <w:szCs w:val="22"/>
        </w:rPr>
      </w:pPr>
      <w:r w:rsidRPr="00ED25F8">
        <w:rPr>
          <w:color w:val="000000" w:themeColor="text1"/>
          <w:sz w:val="22"/>
          <w:szCs w:val="22"/>
        </w:rPr>
        <w:t>Raumabschließende Bauteile</w:t>
      </w:r>
    </w:p>
    <w:p w14:paraId="60D8730A" w14:textId="77777777" w:rsidR="006618CF" w:rsidRPr="00ED25F8"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t xml:space="preserve">Raumabschließende Bauteile können tragend oder nichttragend ausgeführt werden (z. B. Wände, Decken, Dächer, Türen, Verglasungen, Abschottungen). Meistens werden sie bei einem Brand nur einseitig beansprucht. Die Anforderungen an raumabschließende Bauteile orientieren sich an der </w:t>
      </w:r>
      <w:hyperlink r:id="rId10" w:history="1">
        <w:r w:rsidRPr="00ED25F8">
          <w:rPr>
            <w:rStyle w:val="Hyperlink"/>
            <w:b w:val="0"/>
            <w:color w:val="000000" w:themeColor="text1"/>
            <w:sz w:val="22"/>
            <w:szCs w:val="22"/>
            <w:u w:val="none"/>
          </w:rPr>
          <w:t>Gebäudeklasse</w:t>
        </w:r>
      </w:hyperlink>
      <w:r w:rsidRPr="00ED25F8">
        <w:rPr>
          <w:b w:val="0"/>
          <w:color w:val="000000" w:themeColor="text1"/>
          <w:sz w:val="22"/>
          <w:szCs w:val="22"/>
          <w:u w:val="none"/>
        </w:rPr>
        <w:t xml:space="preserve"> und an der Bedeutung des Raumabschlusses für das Gebäude.</w:t>
      </w:r>
    </w:p>
    <w:p w14:paraId="6AC23FA4" w14:textId="77777777" w:rsidR="006618CF" w:rsidRDefault="006618CF" w:rsidP="006618CF">
      <w:pPr>
        <w:pStyle w:val="Formatvorlage1"/>
        <w:spacing w:before="0"/>
        <w:jc w:val="both"/>
        <w:rPr>
          <w:b w:val="0"/>
          <w:color w:val="000000" w:themeColor="text1"/>
          <w:sz w:val="22"/>
          <w:szCs w:val="22"/>
          <w:u w:val="none"/>
        </w:rPr>
      </w:pPr>
    </w:p>
    <w:p w14:paraId="39105DD4" w14:textId="77777777" w:rsidR="006618CF" w:rsidRPr="00ED25F8"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t xml:space="preserve">Brandwände und </w:t>
      </w:r>
      <w:hyperlink r:id="rId11" w:history="1">
        <w:r w:rsidRPr="00ED25F8">
          <w:rPr>
            <w:rStyle w:val="Hyperlink"/>
            <w:b w:val="0"/>
            <w:color w:val="000000" w:themeColor="text1"/>
            <w:sz w:val="22"/>
            <w:szCs w:val="22"/>
            <w:u w:val="none"/>
          </w:rPr>
          <w:t>Komplextrennwände</w:t>
        </w:r>
      </w:hyperlink>
      <w:r w:rsidRPr="00ED25F8">
        <w:rPr>
          <w:b w:val="0"/>
          <w:color w:val="000000" w:themeColor="text1"/>
          <w:sz w:val="22"/>
          <w:szCs w:val="22"/>
          <w:u w:val="none"/>
        </w:rPr>
        <w:t xml:space="preserve"> sind raumabschließende Bauteile, an die erhöhte Anforderungen hinsichtlich der Standsicherheit bei herabstürzenden Bauteilen oder Verhinderung eines Brandüberschlages gestellt werden. Als Gebäudeabschlusswände schützen sie die Nachbargebäude; als innere Brandwände verhindern sie die unkontrollierte Brandausbreitung innerhalb eines Gebäudes.</w:t>
      </w:r>
    </w:p>
    <w:p w14:paraId="43EC7365" w14:textId="77777777" w:rsidR="006618CF" w:rsidRPr="00ED25F8"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lastRenderedPageBreak/>
        <w:t>An nicht tragende Außenwände oder Außenwandteile (z. B. Brüstungen, Schürzen) werden Brandschutzanforderungen gestellt, wenn sie aus brennbaren Baustoffen bestehen. Meist müssen diese dann feuerhemmend errichtet sein.</w:t>
      </w:r>
    </w:p>
    <w:p w14:paraId="6113BA50" w14:textId="77777777" w:rsidR="006618CF" w:rsidRPr="00ED25F8" w:rsidRDefault="006618CF" w:rsidP="006618CF">
      <w:pPr>
        <w:pStyle w:val="Formatvorlage1"/>
        <w:spacing w:before="0"/>
        <w:jc w:val="both"/>
        <w:rPr>
          <w:b w:val="0"/>
          <w:color w:val="000000" w:themeColor="text1"/>
          <w:sz w:val="22"/>
          <w:szCs w:val="22"/>
          <w:u w:val="none"/>
        </w:rPr>
      </w:pPr>
    </w:p>
    <w:p w14:paraId="4CDF79FC" w14:textId="77777777" w:rsidR="006618CF" w:rsidRPr="00ED25F8"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t>Zwischen Nutzungseinheiten (z. B. Wohnungen) oder Nutzungseinheiten und anders genutzten Räumen sind üblicherweise Trennwände als raumabschließende Bauteile erforderlich. Sie müssen innerhalb von Geschossen ausreichend lang widerstandsfähig gegen eine Brandausbreitung sein.</w:t>
      </w:r>
    </w:p>
    <w:p w14:paraId="34579A1B" w14:textId="77777777" w:rsidR="006618CF" w:rsidRDefault="006618CF" w:rsidP="006618CF">
      <w:pPr>
        <w:pStyle w:val="Formatvorlage1"/>
        <w:spacing w:before="0"/>
        <w:jc w:val="both"/>
        <w:rPr>
          <w:b w:val="0"/>
          <w:color w:val="000000" w:themeColor="text1"/>
          <w:sz w:val="22"/>
          <w:szCs w:val="22"/>
          <w:u w:val="none"/>
        </w:rPr>
      </w:pPr>
    </w:p>
    <w:p w14:paraId="1FBFC452" w14:textId="77777777" w:rsidR="006618CF" w:rsidRPr="00ED25F8" w:rsidRDefault="006618CF" w:rsidP="006618CF">
      <w:pPr>
        <w:pStyle w:val="Formatvorlage1"/>
        <w:spacing w:before="0"/>
        <w:jc w:val="both"/>
        <w:rPr>
          <w:b w:val="0"/>
          <w:bCs w:val="0"/>
          <w:color w:val="000000" w:themeColor="text1"/>
          <w:sz w:val="22"/>
          <w:szCs w:val="22"/>
          <w:u w:val="none"/>
        </w:rPr>
      </w:pPr>
      <w:r w:rsidRPr="00ED25F8">
        <w:rPr>
          <w:b w:val="0"/>
          <w:color w:val="000000" w:themeColor="text1"/>
          <w:sz w:val="22"/>
          <w:szCs w:val="22"/>
          <w:u w:val="none"/>
        </w:rPr>
        <w:t xml:space="preserve">Decken als raumabschließende Bauteile müssen eine Brandausbreitung zwischen den Stockwerken verhindern. Öffnungen für Leitungen müssen nach der Installation durch geeignete Maßnahmen (z. B. </w:t>
      </w:r>
      <w:proofErr w:type="spellStart"/>
      <w:r w:rsidRPr="00ED25F8">
        <w:rPr>
          <w:b w:val="0"/>
          <w:color w:val="000000" w:themeColor="text1"/>
          <w:sz w:val="22"/>
          <w:szCs w:val="22"/>
          <w:u w:val="none"/>
        </w:rPr>
        <w:t>Schottungen</w:t>
      </w:r>
      <w:proofErr w:type="spellEnd"/>
      <w:r w:rsidRPr="00ED25F8">
        <w:rPr>
          <w:b w:val="0"/>
          <w:color w:val="000000" w:themeColor="text1"/>
          <w:sz w:val="22"/>
          <w:szCs w:val="22"/>
          <w:u w:val="none"/>
        </w:rPr>
        <w:t>) verschlossen werden.</w:t>
      </w:r>
    </w:p>
    <w:p w14:paraId="1ADB2E58" w14:textId="77777777" w:rsidR="006618CF" w:rsidRDefault="006618CF" w:rsidP="006618CF">
      <w:pPr>
        <w:pStyle w:val="Formatvorlage1"/>
        <w:spacing w:before="0"/>
        <w:jc w:val="both"/>
        <w:rPr>
          <w:b w:val="0"/>
          <w:color w:val="000000" w:themeColor="text1"/>
          <w:sz w:val="22"/>
          <w:szCs w:val="22"/>
          <w:u w:val="none"/>
        </w:rPr>
      </w:pPr>
    </w:p>
    <w:p w14:paraId="658DB46B" w14:textId="77777777" w:rsidR="006618CF"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t>Bedachungen (obere Dachschicht) müssen als raumabschließende Bauteile gegen eine Brandbeanspruchung von außen durch Flugfeuer und strahlende Wärme ausreichend lang widerstandsfähig sein (sogenannte „harte Bedachung“).</w:t>
      </w:r>
    </w:p>
    <w:p w14:paraId="084F4D88" w14:textId="77777777" w:rsidR="006618CF" w:rsidRPr="00ED25F8" w:rsidRDefault="006618CF" w:rsidP="006618CF">
      <w:pPr>
        <w:pStyle w:val="Formatvorlage1"/>
        <w:spacing w:before="0"/>
        <w:jc w:val="both"/>
        <w:rPr>
          <w:b w:val="0"/>
          <w:color w:val="000000" w:themeColor="text1"/>
          <w:sz w:val="22"/>
          <w:szCs w:val="22"/>
          <w:u w:val="none"/>
        </w:rPr>
      </w:pPr>
    </w:p>
    <w:p w14:paraId="655E1A05"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Leitungsanlagen in Rettungswegen</w:t>
      </w:r>
    </w:p>
    <w:p w14:paraId="661913D2" w14:textId="77777777" w:rsidR="006618CF" w:rsidRPr="00ED25F8" w:rsidRDefault="006618CF" w:rsidP="006618CF">
      <w:pPr>
        <w:pStyle w:val="Formatvorlage1"/>
        <w:spacing w:before="0"/>
        <w:jc w:val="both"/>
        <w:rPr>
          <w:noProof/>
          <w:color w:val="000000" w:themeColor="text1"/>
          <w:sz w:val="22"/>
          <w:szCs w:val="22"/>
        </w:rPr>
      </w:pPr>
      <w:r w:rsidRPr="00ED25F8">
        <w:rPr>
          <w:b w:val="0"/>
          <w:noProof/>
          <w:color w:val="000000" w:themeColor="text1"/>
          <w:sz w:val="22"/>
          <w:szCs w:val="22"/>
          <w:u w:val="none"/>
        </w:rPr>
        <w:t>Grundsätzlich müssen elektrische Leitungen komplett eingeputzt werden. Alle Leitungen innerhalb von massiven Wänden müssen in Schlitzen mit einer min. 1,5 cm dicken Überdeckung aus nicht brennbarem mineralischem Putz (z. B. Zementmörtel) eingeschlossen werden. Als Alternative können auch min. 1,5 cm dicke Platten aus mineralischen Baustoffen (z. B. Gipsfaserplatten) zur Überdeckung genutzt werden.</w:t>
      </w:r>
      <w:r w:rsidRPr="00ED25F8">
        <w:rPr>
          <w:noProof/>
          <w:color w:val="000000" w:themeColor="text1"/>
          <w:sz w:val="22"/>
          <w:szCs w:val="22"/>
        </w:rPr>
        <w:t xml:space="preserve"> </w:t>
      </w:r>
    </w:p>
    <w:p w14:paraId="6B1A4F9B" w14:textId="77777777" w:rsidR="006618CF" w:rsidRPr="00ED25F8" w:rsidRDefault="006618CF" w:rsidP="006618CF">
      <w:pPr>
        <w:jc w:val="both"/>
        <w:rPr>
          <w:rFonts w:cs="Arial"/>
          <w:noProof/>
          <w:color w:val="000000" w:themeColor="text1"/>
          <w:sz w:val="22"/>
          <w:szCs w:val="22"/>
        </w:rPr>
      </w:pPr>
    </w:p>
    <w:p w14:paraId="6B6CD1DC" w14:textId="1B78135C"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Leitungen dürfen auch in feuerhemmenden Wänden in Leichtbauweise, in Installationsschächten bzw. -kanälen, oberhalb von Unterdecken, in Hohlraumestrichen und in Doppelböden verlegt werden. Bei der Verlegung von Leitungen in Installationsschächten, -kanälen und oberhalb von Unterdecken</w:t>
      </w:r>
      <w:r w:rsidR="00483536">
        <w:rPr>
          <w:rFonts w:cs="Arial"/>
          <w:noProof/>
          <w:color w:val="000000" w:themeColor="text1"/>
          <w:sz w:val="22"/>
          <w:szCs w:val="22"/>
        </w:rPr>
        <w:t>,</w:t>
      </w:r>
      <w:r w:rsidRPr="00ED25F8">
        <w:rPr>
          <w:rFonts w:cs="Arial"/>
          <w:noProof/>
          <w:color w:val="000000" w:themeColor="text1"/>
          <w:sz w:val="22"/>
          <w:szCs w:val="22"/>
        </w:rPr>
        <w:t xml:space="preserve"> muss die Feuerwiderstandsdauer dieser Bauteile mindestens der Feuerwiderstandsdauer der Decken entsprechen. Handelt es sich jedoch ausschließlich um Installationsschächte, -</w:t>
      </w:r>
      <w:r w:rsidR="002C311D">
        <w:rPr>
          <w:rFonts w:cs="Arial"/>
          <w:noProof/>
          <w:color w:val="000000" w:themeColor="text1"/>
          <w:sz w:val="22"/>
          <w:szCs w:val="22"/>
        </w:rPr>
        <w:t>K</w:t>
      </w:r>
      <w:r w:rsidRPr="00ED25F8">
        <w:rPr>
          <w:rFonts w:cs="Arial"/>
          <w:noProof/>
          <w:color w:val="000000" w:themeColor="text1"/>
          <w:sz w:val="22"/>
          <w:szCs w:val="22"/>
        </w:rPr>
        <w:t xml:space="preserve">anäle und Unterdecken, die nur innerhalb eines notwendigen Flurs verlegt sind (also keine Geschossdecke überbrücken), so reicht in der Regel eine Feuerwiderstandsdauer von mindestens 30 Minuten aus. </w:t>
      </w:r>
      <w:r w:rsidRPr="00ED25F8">
        <w:rPr>
          <w:rFonts w:cs="Arial"/>
          <w:color w:val="000000" w:themeColor="text1"/>
          <w:sz w:val="22"/>
          <w:szCs w:val="22"/>
        </w:rPr>
        <w:t>Die genauen Anforderungen sind der jeweiligen Landesbauordnung (LBO) zu entnehmen.</w:t>
      </w:r>
    </w:p>
    <w:p w14:paraId="48BBDC22" w14:textId="77777777" w:rsidR="006618CF" w:rsidRPr="00ED25F8" w:rsidRDefault="006618CF" w:rsidP="006618CF">
      <w:pPr>
        <w:jc w:val="both"/>
        <w:rPr>
          <w:rFonts w:cs="Arial"/>
          <w:noProof/>
          <w:color w:val="000000" w:themeColor="text1"/>
          <w:sz w:val="22"/>
          <w:szCs w:val="22"/>
        </w:rPr>
      </w:pPr>
    </w:p>
    <w:p w14:paraId="69F8DDE3" w14:textId="77777777"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Bei allen Unterdecken ist die Feuerwiderstandsdauer sowohl von oben als auch von unten sicherzustellen. Die Unterdecke muss sowohl einem Brand innerhalb der Zwischendecke (</w:t>
      </w:r>
      <w:r w:rsidRPr="00ED25F8">
        <w:rPr>
          <w:rFonts w:cs="Arial"/>
          <w:i/>
          <w:noProof/>
          <w:color w:val="000000" w:themeColor="text1"/>
          <w:sz w:val="22"/>
          <w:szCs w:val="22"/>
        </w:rPr>
        <w:t>Schutz des Flucht- und Rettungswegs</w:t>
      </w:r>
      <w:r w:rsidRPr="00ED25F8">
        <w:rPr>
          <w:rFonts w:cs="Arial"/>
          <w:noProof/>
          <w:color w:val="000000" w:themeColor="text1"/>
          <w:sz w:val="22"/>
          <w:szCs w:val="22"/>
        </w:rPr>
        <w:t>) als auch einem Brand im Flucht- und Rettungsweg (</w:t>
      </w:r>
      <w:r w:rsidRPr="00ED25F8">
        <w:rPr>
          <w:rFonts w:cs="Arial"/>
          <w:i/>
          <w:noProof/>
          <w:color w:val="000000" w:themeColor="text1"/>
          <w:sz w:val="22"/>
          <w:szCs w:val="22"/>
        </w:rPr>
        <w:t>Schutz der Zwischendecke</w:t>
      </w:r>
      <w:r w:rsidRPr="00ED25F8">
        <w:rPr>
          <w:rFonts w:cs="Arial"/>
          <w:noProof/>
          <w:color w:val="000000" w:themeColor="text1"/>
          <w:sz w:val="22"/>
          <w:szCs w:val="22"/>
        </w:rPr>
        <w:t>) widerstehen können. Darüber hinaus sind die Leitungen innerhalb der Zwischendecke (Bereich zwischen Geschoss- und Unterdecke) brandsicher zu verlegen. Als brandsicher wird hierbei eine Verlegeart bezeichnet, bei der die Leitungen bei einem Brand in der Zwischendecke nicht herabfallen und dadurch die Unterdecke mechanisch schädigen bzw. destabilisieren.</w:t>
      </w:r>
    </w:p>
    <w:p w14:paraId="0B654FFE" w14:textId="77777777" w:rsidR="006618CF" w:rsidRPr="00ED25F8" w:rsidRDefault="006618CF" w:rsidP="006618CF">
      <w:pPr>
        <w:jc w:val="both"/>
        <w:rPr>
          <w:rFonts w:cs="Arial"/>
          <w:noProof/>
          <w:color w:val="000000" w:themeColor="text1"/>
          <w:sz w:val="22"/>
          <w:szCs w:val="22"/>
        </w:rPr>
      </w:pPr>
    </w:p>
    <w:p w14:paraId="48BA86C9" w14:textId="77777777"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 xml:space="preserve">Grundsätzlich sind Verteilungen und Messeinrichtungen von elektrischen Anlagen gegenüber notwendigen Treppenräumen sowie gegenüber Räumen zwischen notwendigen Treppenräumen und den Ausgängen ins Freie brandschutztechnisch so abzutrennen, dass die Feuerwiderstandsdauer von innen nach außen mindestens 30 Minuten beträgt. </w:t>
      </w:r>
    </w:p>
    <w:p w14:paraId="36D199BF" w14:textId="77777777" w:rsidR="006618CF" w:rsidRPr="00ED25F8" w:rsidRDefault="006618CF" w:rsidP="006618CF">
      <w:pPr>
        <w:jc w:val="both"/>
        <w:rPr>
          <w:rFonts w:cs="Arial"/>
          <w:noProof/>
          <w:color w:val="000000" w:themeColor="text1"/>
          <w:sz w:val="22"/>
          <w:szCs w:val="22"/>
        </w:rPr>
      </w:pPr>
    </w:p>
    <w:p w14:paraId="22040E3A" w14:textId="77777777" w:rsidR="006618CF" w:rsidRDefault="006618CF" w:rsidP="006618CF">
      <w:pPr>
        <w:jc w:val="both"/>
        <w:rPr>
          <w:rFonts w:cs="Arial"/>
          <w:noProof/>
          <w:color w:val="000000" w:themeColor="text1"/>
          <w:sz w:val="22"/>
          <w:szCs w:val="22"/>
        </w:rPr>
      </w:pPr>
      <w:r w:rsidRPr="00ED25F8">
        <w:rPr>
          <w:rFonts w:cs="Arial"/>
          <w:noProof/>
          <w:color w:val="000000" w:themeColor="text1"/>
          <w:sz w:val="22"/>
          <w:szCs w:val="22"/>
        </w:rPr>
        <w:lastRenderedPageBreak/>
        <w:t>Es gibt zulässige Ausnahmen für die Verlegung von elektrischen Leitungen in Rettungswegen. Leitungen dürfen in Flucht- und Rettungswegen offen verlegt werden, wenn sie eine der folgenden Voraussetzungen erfüllen:</w:t>
      </w:r>
    </w:p>
    <w:p w14:paraId="10A298BF" w14:textId="77777777" w:rsidR="006618CF" w:rsidRPr="00ED25F8" w:rsidRDefault="006618CF" w:rsidP="006618CF">
      <w:pPr>
        <w:jc w:val="both"/>
        <w:rPr>
          <w:rFonts w:cs="Arial"/>
          <w:noProof/>
          <w:color w:val="000000" w:themeColor="text1"/>
          <w:sz w:val="22"/>
          <w:szCs w:val="22"/>
        </w:rPr>
      </w:pPr>
    </w:p>
    <w:p w14:paraId="48CA8A6A"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Nicht brennbare Leitungen, also sogenannte mineralisolierte Kabel und Leitungen (Schmelzpunkt der Kabel- und Leitungsisolierung ist höher als der des Kupfers).</w:t>
      </w:r>
    </w:p>
    <w:p w14:paraId="1D2CD2BC"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Leitungen dienen ausschließlich der Versorgung der Flucht- und Rettungswege, in denen sie verlegt werden.</w:t>
      </w:r>
    </w:p>
    <w:p w14:paraId="5B9D420C"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In notwendigen Fluren geringer Nutzung und in offenen Gängen dürfen Leitungen mit verbessertem Brandverhalten offen verlegt werden</w:t>
      </w:r>
      <w:r w:rsidRPr="008D3176">
        <w:rPr>
          <w:rFonts w:cs="Arial"/>
          <w:noProof/>
          <w:color w:val="000000" w:themeColor="text1"/>
          <w:sz w:val="22"/>
          <w:szCs w:val="22"/>
        </w:rPr>
        <w:t xml:space="preserve"> (sogenannte halogenfreie Leitungen).</w:t>
      </w:r>
    </w:p>
    <w:p w14:paraId="3AFBB8B3"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Es handelt sich um einzelne kurze Stichleitungen innerhalb notwendiger Flure, deren Befestigung nicht brennbar sein muss.</w:t>
      </w:r>
    </w:p>
    <w:p w14:paraId="65E98BE8" w14:textId="77777777" w:rsidR="006618CF" w:rsidRDefault="006618CF" w:rsidP="006618CF">
      <w:pPr>
        <w:pStyle w:val="Formatvorlage1"/>
        <w:spacing w:before="0"/>
        <w:jc w:val="both"/>
        <w:rPr>
          <w:noProof/>
          <w:color w:val="000000" w:themeColor="text1"/>
          <w:sz w:val="22"/>
          <w:szCs w:val="22"/>
          <w:u w:val="none"/>
        </w:rPr>
      </w:pPr>
    </w:p>
    <w:p w14:paraId="4BA93E2A" w14:textId="77777777" w:rsidR="006618CF" w:rsidRDefault="006618CF" w:rsidP="006618CF">
      <w:pPr>
        <w:pStyle w:val="Formatvorlage1"/>
        <w:spacing w:before="0"/>
        <w:jc w:val="both"/>
        <w:rPr>
          <w:b w:val="0"/>
          <w:noProof/>
          <w:color w:val="000000" w:themeColor="text1"/>
          <w:sz w:val="22"/>
          <w:szCs w:val="22"/>
          <w:u w:val="none"/>
        </w:rPr>
      </w:pPr>
      <w:r w:rsidRPr="00ED25F8">
        <w:rPr>
          <w:noProof/>
          <w:color w:val="000000" w:themeColor="text1"/>
          <w:sz w:val="22"/>
          <w:szCs w:val="22"/>
          <w:u w:val="none"/>
        </w:rPr>
        <w:t>Wichtig:</w:t>
      </w:r>
      <w:r w:rsidRPr="00ED25F8">
        <w:rPr>
          <w:b w:val="0"/>
          <w:noProof/>
          <w:color w:val="000000" w:themeColor="text1"/>
          <w:sz w:val="22"/>
          <w:szCs w:val="22"/>
          <w:u w:val="none"/>
        </w:rPr>
        <w:t xml:space="preserve"> Je nach Bundesland sind hier die Leitungsanlagenrichtlinie (LAR) oder die Musterleitungsanlagenrichtlinie (MLAR) zu beachten und haben in Ihrer Gültigkeit stets Vorrang zu den nachfolgenden Erläuterungen.</w:t>
      </w:r>
    </w:p>
    <w:p w14:paraId="36C2A6E7" w14:textId="77777777" w:rsidR="006618CF" w:rsidRPr="00ED25F8" w:rsidRDefault="006618CF" w:rsidP="006618CF">
      <w:pPr>
        <w:pStyle w:val="Formatvorlage1"/>
        <w:spacing w:before="0"/>
        <w:jc w:val="both"/>
        <w:rPr>
          <w:noProof/>
          <w:color w:val="000000" w:themeColor="text1"/>
          <w:sz w:val="22"/>
          <w:szCs w:val="22"/>
        </w:rPr>
      </w:pPr>
    </w:p>
    <w:p w14:paraId="6489B6FF"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Leitungsführung durch raumabschließende Bauteile</w:t>
      </w:r>
    </w:p>
    <w:p w14:paraId="768F8FBB" w14:textId="508C9434"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 xml:space="preserve">Leitungen dürfen durch raumabschließende Bauteile, für die eine Feuerwiderstandsfähigkeit vorgeschrieben ist, nur hindurchgeführt werden, wenn eine Brandausbreitung ausreichend lang nicht zu befürchten ist oder Vorkehrungen hiergegen getroffen sind. </w:t>
      </w:r>
      <w:r>
        <w:rPr>
          <w:rFonts w:cs="Arial"/>
          <w:noProof/>
          <w:color w:val="000000" w:themeColor="text1"/>
          <w:sz w:val="22"/>
          <w:szCs w:val="22"/>
        </w:rPr>
        <w:t>Die Leitungen müssen</w:t>
      </w:r>
    </w:p>
    <w:p w14:paraId="7C89F071" w14:textId="77777777" w:rsidR="006618CF" w:rsidRPr="00ED25F8" w:rsidRDefault="006618CF" w:rsidP="006618CF">
      <w:pPr>
        <w:numPr>
          <w:ilvl w:val="0"/>
          <w:numId w:val="46"/>
        </w:numPr>
        <w:jc w:val="both"/>
        <w:rPr>
          <w:rFonts w:cs="Arial"/>
          <w:noProof/>
          <w:color w:val="000000" w:themeColor="text1"/>
          <w:sz w:val="22"/>
          <w:szCs w:val="22"/>
        </w:rPr>
      </w:pPr>
      <w:r w:rsidRPr="00ED25F8">
        <w:rPr>
          <w:rFonts w:cs="Arial"/>
          <w:noProof/>
          <w:color w:val="000000" w:themeColor="text1"/>
          <w:sz w:val="22"/>
          <w:szCs w:val="22"/>
        </w:rPr>
        <w:t>durch Abschottungen geführt werden, die mindestens die gleiche Feuerwiderstandsfähigkeit aufweisen wie die raumabschließenden Bauteile oder</w:t>
      </w:r>
    </w:p>
    <w:p w14:paraId="52DA1476" w14:textId="77777777" w:rsidR="006618CF" w:rsidRPr="00ED25F8" w:rsidRDefault="006618CF" w:rsidP="006618CF">
      <w:pPr>
        <w:numPr>
          <w:ilvl w:val="0"/>
          <w:numId w:val="46"/>
        </w:numPr>
        <w:jc w:val="both"/>
        <w:rPr>
          <w:rFonts w:cs="Arial"/>
          <w:noProof/>
          <w:color w:val="000000" w:themeColor="text1"/>
          <w:sz w:val="22"/>
          <w:szCs w:val="22"/>
        </w:rPr>
      </w:pPr>
      <w:r w:rsidRPr="00ED25F8">
        <w:rPr>
          <w:rFonts w:cs="Arial"/>
          <w:noProof/>
          <w:color w:val="000000" w:themeColor="text1"/>
          <w:sz w:val="22"/>
          <w:szCs w:val="22"/>
        </w:rPr>
        <w:t>innerhalb von Installationsschächten oder -kanälen geführt werden, die, einschließlich der Abschlüsse von Öffnungen, mindestens die gleiche Feuerwiderstandsfähigkeit aufweisen wie die durchdrungenen raumabschließenden Bauteile und aus nichtbrennbaren Baustoffen bestehen.</w:t>
      </w:r>
    </w:p>
    <w:p w14:paraId="134FE4FC" w14:textId="77777777" w:rsidR="006618CF" w:rsidRPr="00ED25F8" w:rsidRDefault="006618CF" w:rsidP="006618CF">
      <w:pPr>
        <w:jc w:val="both"/>
        <w:rPr>
          <w:rFonts w:cs="Arial"/>
          <w:noProof/>
          <w:color w:val="000000" w:themeColor="text1"/>
          <w:sz w:val="22"/>
          <w:szCs w:val="22"/>
        </w:rPr>
      </w:pPr>
    </w:p>
    <w:p w14:paraId="7B106385" w14:textId="46FCFACB"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Der Mindestabstand zwischen Abschottungen, Installationsschächten oder -kanälen sowie der erforderliche Abstand zu anderen Durchführungen (z. B. Lüftungsleitungen) oder anderen Öffnungsverschlüssen (z. B. Feuerschutztüren) ergibt sich aus den Bestimmungen der jeweiligen Verwendbarkeits- oder Anwendbarkeitsnachweise</w:t>
      </w:r>
      <w:r w:rsidR="00483536">
        <w:rPr>
          <w:rFonts w:cs="Arial"/>
          <w:noProof/>
          <w:color w:val="000000" w:themeColor="text1"/>
          <w:sz w:val="22"/>
          <w:szCs w:val="22"/>
        </w:rPr>
        <w:t>:</w:t>
      </w:r>
      <w:r w:rsidRPr="00ED25F8">
        <w:rPr>
          <w:rFonts w:cs="Arial"/>
          <w:noProof/>
          <w:color w:val="000000" w:themeColor="text1"/>
          <w:sz w:val="22"/>
          <w:szCs w:val="22"/>
        </w:rPr>
        <w:t xml:space="preserve"> </w:t>
      </w:r>
      <w:r w:rsidR="00483536">
        <w:rPr>
          <w:rFonts w:cs="Arial"/>
          <w:noProof/>
          <w:color w:val="000000" w:themeColor="text1"/>
          <w:sz w:val="22"/>
          <w:szCs w:val="22"/>
        </w:rPr>
        <w:t>F</w:t>
      </w:r>
      <w:r w:rsidRPr="00ED25F8">
        <w:rPr>
          <w:rFonts w:cs="Arial"/>
          <w:noProof/>
          <w:color w:val="000000" w:themeColor="text1"/>
          <w:sz w:val="22"/>
          <w:szCs w:val="22"/>
        </w:rPr>
        <w:t>ehlen entsprechende Festlegungen, ist ein Abstand von mindestens 50 mm erforderlich.</w:t>
      </w:r>
    </w:p>
    <w:p w14:paraId="3EC6EC90" w14:textId="77777777" w:rsidR="006618CF" w:rsidRPr="00ED25F8" w:rsidRDefault="006618CF" w:rsidP="006618CF">
      <w:pPr>
        <w:jc w:val="both"/>
        <w:rPr>
          <w:rFonts w:cs="Arial"/>
          <w:noProof/>
          <w:color w:val="000000" w:themeColor="text1"/>
          <w:sz w:val="22"/>
          <w:szCs w:val="22"/>
        </w:rPr>
      </w:pPr>
    </w:p>
    <w:p w14:paraId="706E24E7"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Funktionserhalt</w:t>
      </w:r>
    </w:p>
    <w:p w14:paraId="004A7C27" w14:textId="3C1E789E"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Die Funktionsfähigkeit für eine bestimmte, definierte Zeitdauer bei Brandeinwirkung wird als Funktionserhalt bezeichnet. Elektrische Leitungsanlagen für bauordnungsrechtlich vorgeschriebene Sicherheitseinrichtungen (z. B. Pumpen der Löschwasserversorgung) müssen so beschaffen oder durch geeignete Bauteile so umhüllt sein, dass sie bei äußerer Brandeinwirkung funktionsfähig bleiben. Funktionserhalt kann auf zwei Arten realisiert werden:</w:t>
      </w:r>
    </w:p>
    <w:p w14:paraId="4489982B" w14:textId="77777777" w:rsidR="006618CF" w:rsidRPr="00ED25F8" w:rsidRDefault="006618CF" w:rsidP="006618CF">
      <w:pPr>
        <w:numPr>
          <w:ilvl w:val="0"/>
          <w:numId w:val="47"/>
        </w:numPr>
        <w:jc w:val="both"/>
        <w:rPr>
          <w:rFonts w:cs="Arial"/>
          <w:noProof/>
          <w:color w:val="000000" w:themeColor="text1"/>
          <w:sz w:val="22"/>
          <w:szCs w:val="22"/>
          <w:u w:val="single"/>
        </w:rPr>
      </w:pPr>
      <w:r w:rsidRPr="00ED25F8">
        <w:rPr>
          <w:rFonts w:cs="Arial"/>
          <w:noProof/>
          <w:color w:val="000000" w:themeColor="text1"/>
          <w:sz w:val="22"/>
          <w:szCs w:val="22"/>
          <w:u w:val="single"/>
        </w:rPr>
        <w:t>integrierter Funktionserhalt</w:t>
      </w:r>
    </w:p>
    <w:p w14:paraId="6D9F85B5" w14:textId="77777777" w:rsidR="006618CF" w:rsidRPr="00ED25F8" w:rsidRDefault="006618CF" w:rsidP="006618CF">
      <w:pPr>
        <w:ind w:left="360"/>
        <w:jc w:val="both"/>
        <w:rPr>
          <w:rFonts w:cs="Arial"/>
          <w:noProof/>
          <w:color w:val="000000" w:themeColor="text1"/>
          <w:sz w:val="22"/>
          <w:szCs w:val="22"/>
        </w:rPr>
      </w:pPr>
      <w:r w:rsidRPr="00ED25F8">
        <w:rPr>
          <w:rFonts w:cs="Arial"/>
          <w:noProof/>
          <w:color w:val="000000" w:themeColor="text1"/>
          <w:sz w:val="22"/>
          <w:szCs w:val="22"/>
        </w:rPr>
        <w:t xml:space="preserve">Bauart des Betriebsmittels. Bereits ab Werk gelangen für das Betriebsmittel nur geeignete Werkstoffe zum Einsatz, die eine Feuerwiderstandsdauer aufweisen. </w:t>
      </w:r>
    </w:p>
    <w:p w14:paraId="1BD9620C" w14:textId="77777777" w:rsidR="006618CF" w:rsidRPr="00ED25F8" w:rsidRDefault="006618CF" w:rsidP="006618CF">
      <w:pPr>
        <w:numPr>
          <w:ilvl w:val="0"/>
          <w:numId w:val="47"/>
        </w:numPr>
        <w:jc w:val="both"/>
        <w:rPr>
          <w:rFonts w:cs="Arial"/>
          <w:noProof/>
          <w:color w:val="000000" w:themeColor="text1"/>
          <w:sz w:val="22"/>
          <w:szCs w:val="22"/>
        </w:rPr>
      </w:pPr>
      <w:r w:rsidRPr="00ED25F8">
        <w:rPr>
          <w:rFonts w:cs="Arial"/>
          <w:noProof/>
          <w:color w:val="000000" w:themeColor="text1"/>
          <w:sz w:val="22"/>
          <w:szCs w:val="22"/>
          <w:u w:val="single"/>
        </w:rPr>
        <w:t>zusätzlicher Funktionserhalt</w:t>
      </w:r>
    </w:p>
    <w:p w14:paraId="7D933268" w14:textId="77777777" w:rsidR="006618CF" w:rsidRPr="00ED25F8" w:rsidRDefault="006618CF" w:rsidP="006618CF">
      <w:pPr>
        <w:ind w:left="360"/>
        <w:jc w:val="both"/>
        <w:rPr>
          <w:rFonts w:cs="Arial"/>
          <w:noProof/>
          <w:color w:val="000000" w:themeColor="text1"/>
          <w:sz w:val="22"/>
          <w:szCs w:val="22"/>
        </w:rPr>
      </w:pPr>
      <w:r w:rsidRPr="00ED25F8">
        <w:rPr>
          <w:rFonts w:cs="Arial"/>
          <w:noProof/>
          <w:color w:val="000000" w:themeColor="text1"/>
          <w:sz w:val="22"/>
          <w:szCs w:val="22"/>
        </w:rPr>
        <w:t>Nachträgliche Errichtung des Funktionserhalts (z. B. durch eine zusätzliche Umhüllung bzw. Umkleidung). Hierbei schafft die Umhüllung die geforderte Feuerwiderstandsdauer und schützt somit das Betriebsmittel.</w:t>
      </w:r>
    </w:p>
    <w:p w14:paraId="1301CE00" w14:textId="77777777" w:rsidR="006618CF" w:rsidRDefault="006618CF" w:rsidP="006618CF">
      <w:pPr>
        <w:jc w:val="both"/>
        <w:rPr>
          <w:rFonts w:cs="Arial"/>
          <w:noProof/>
          <w:color w:val="000000" w:themeColor="text1"/>
          <w:sz w:val="22"/>
          <w:szCs w:val="22"/>
        </w:rPr>
      </w:pPr>
      <w:r w:rsidRPr="00ED25F8">
        <w:rPr>
          <w:rFonts w:cs="Arial"/>
          <w:noProof/>
          <w:color w:val="000000" w:themeColor="text1"/>
          <w:sz w:val="22"/>
          <w:szCs w:val="22"/>
        </w:rPr>
        <w:lastRenderedPageBreak/>
        <w:t>Durch den Errichter/Installateur ist nach der Installation des Bauprodukts eine Bescheinigung über die Einhaltung der Bedingungen der Montage des Verwendbarkeitsnachweises auszustellen.</w:t>
      </w:r>
      <w:r>
        <w:rPr>
          <w:rFonts w:cs="Arial"/>
          <w:noProof/>
          <w:color w:val="000000" w:themeColor="text1"/>
          <w:sz w:val="22"/>
          <w:szCs w:val="22"/>
        </w:rPr>
        <w:t xml:space="preserve"> </w:t>
      </w:r>
      <w:r w:rsidRPr="008D3176">
        <w:rPr>
          <w:rFonts w:cs="Arial"/>
          <w:noProof/>
          <w:color w:val="000000" w:themeColor="text1"/>
          <w:sz w:val="22"/>
          <w:szCs w:val="22"/>
        </w:rPr>
        <w:t>Diese Bescheinigung wird Übereinstimmungserklärung genannt. Der Errichter bescheinigt darin, dass er die Bedingungen und Details des Prüfzeugnisses bzw. der Zulassung beachtet und eingehalten hat. Diese Erklärung benötigt der Betreiber.</w:t>
      </w:r>
    </w:p>
    <w:p w14:paraId="4748802F" w14:textId="77777777" w:rsidR="006618CF" w:rsidRDefault="006618CF" w:rsidP="006618CF">
      <w:pPr>
        <w:jc w:val="both"/>
        <w:rPr>
          <w:rFonts w:cs="Arial"/>
          <w:noProof/>
          <w:color w:val="000000" w:themeColor="text1"/>
          <w:sz w:val="22"/>
          <w:szCs w:val="22"/>
        </w:rPr>
      </w:pPr>
    </w:p>
    <w:p w14:paraId="436A6F07" w14:textId="77777777" w:rsidR="006618CF" w:rsidRPr="008D3176" w:rsidRDefault="006618CF" w:rsidP="006618CF">
      <w:pPr>
        <w:pStyle w:val="Formatvorlage1"/>
        <w:spacing w:before="0"/>
        <w:jc w:val="both"/>
        <w:rPr>
          <w:noProof/>
          <w:color w:val="000000" w:themeColor="text1"/>
          <w:sz w:val="22"/>
          <w:szCs w:val="22"/>
        </w:rPr>
      </w:pPr>
      <w:r w:rsidRPr="008D3176">
        <w:rPr>
          <w:noProof/>
          <w:color w:val="000000" w:themeColor="text1"/>
          <w:sz w:val="22"/>
          <w:szCs w:val="22"/>
        </w:rPr>
        <w:t>Kabelabschottungen</w:t>
      </w:r>
    </w:p>
    <w:p w14:paraId="65324538" w14:textId="7009079B" w:rsidR="006618CF" w:rsidRDefault="006618CF" w:rsidP="006618CF">
      <w:pPr>
        <w:jc w:val="both"/>
        <w:rPr>
          <w:rFonts w:cs="Arial"/>
          <w:color w:val="000000" w:themeColor="text1"/>
          <w:sz w:val="22"/>
          <w:szCs w:val="22"/>
        </w:rPr>
      </w:pPr>
      <w:r w:rsidRPr="00ED25F8">
        <w:rPr>
          <w:rFonts w:cs="Arial"/>
          <w:noProof/>
          <w:color w:val="000000" w:themeColor="text1"/>
          <w:sz w:val="22"/>
          <w:szCs w:val="22"/>
        </w:rPr>
        <w:t>Sogenannte Kabelabschottungen oder Kabelschotts kommen beim Brandschutz in der Elektroinstallation zum Einsatz</w:t>
      </w:r>
      <w:r w:rsidR="00483536">
        <w:rPr>
          <w:rFonts w:cs="Arial"/>
          <w:noProof/>
          <w:color w:val="000000" w:themeColor="text1"/>
          <w:sz w:val="22"/>
          <w:szCs w:val="22"/>
        </w:rPr>
        <w:t xml:space="preserve"> und</w:t>
      </w:r>
      <w:r w:rsidRPr="00ED25F8">
        <w:rPr>
          <w:rFonts w:cs="Arial"/>
          <w:noProof/>
          <w:color w:val="000000" w:themeColor="text1"/>
          <w:sz w:val="22"/>
          <w:szCs w:val="22"/>
        </w:rPr>
        <w:t xml:space="preserve"> diese müssen geprüft </w:t>
      </w:r>
      <w:r w:rsidR="00483536">
        <w:rPr>
          <w:rFonts w:cs="Arial"/>
          <w:noProof/>
          <w:color w:val="000000" w:themeColor="text1"/>
          <w:sz w:val="22"/>
          <w:szCs w:val="22"/>
        </w:rPr>
        <w:t>sowie</w:t>
      </w:r>
      <w:r w:rsidR="00483536" w:rsidRPr="00ED25F8">
        <w:rPr>
          <w:rFonts w:cs="Arial"/>
          <w:noProof/>
          <w:color w:val="000000" w:themeColor="text1"/>
          <w:sz w:val="22"/>
          <w:szCs w:val="22"/>
        </w:rPr>
        <w:t xml:space="preserve"> </w:t>
      </w:r>
      <w:r w:rsidRPr="00ED25F8">
        <w:rPr>
          <w:rFonts w:cs="Arial"/>
          <w:noProof/>
          <w:color w:val="000000" w:themeColor="text1"/>
          <w:sz w:val="22"/>
          <w:szCs w:val="22"/>
        </w:rPr>
        <w:t xml:space="preserve">zugelassen sein. Bei fachgerechter Montage dieser Systeme (entsprechend ihren Zulassungen) verhindern sie die Brandausbreitung und die Weiterleitung von Rauch mindestens für die angegebene Feuerwiderstandsdauer. Für die Auswahl der korrekten Abschottung sind </w:t>
      </w:r>
      <w:r w:rsidRPr="00ED25F8">
        <w:rPr>
          <w:rFonts w:cs="Arial"/>
          <w:color w:val="000000" w:themeColor="text1"/>
          <w:sz w:val="22"/>
          <w:szCs w:val="22"/>
        </w:rPr>
        <w:t>der Feuerwiderstand und die Bauart der Wand bzw. Decke sowie deren Dicke entscheidende Kriterien.</w:t>
      </w:r>
      <w:r>
        <w:rPr>
          <w:rFonts w:cs="Arial"/>
          <w:color w:val="000000" w:themeColor="text1"/>
          <w:sz w:val="22"/>
          <w:szCs w:val="22"/>
        </w:rPr>
        <w:t xml:space="preserve"> </w:t>
      </w:r>
    </w:p>
    <w:p w14:paraId="549661D7" w14:textId="77777777" w:rsidR="006618CF" w:rsidRDefault="006618CF" w:rsidP="006618CF">
      <w:pPr>
        <w:jc w:val="both"/>
        <w:rPr>
          <w:rFonts w:cs="Arial"/>
          <w:color w:val="000000" w:themeColor="text1"/>
          <w:sz w:val="22"/>
          <w:szCs w:val="22"/>
        </w:rPr>
      </w:pPr>
    </w:p>
    <w:p w14:paraId="28344F8C" w14:textId="77777777" w:rsidR="006618CF" w:rsidRPr="00ED25F8" w:rsidRDefault="006618CF" w:rsidP="006618CF">
      <w:pPr>
        <w:jc w:val="both"/>
        <w:rPr>
          <w:rFonts w:cs="Arial"/>
          <w:noProof/>
          <w:color w:val="000000" w:themeColor="text1"/>
          <w:sz w:val="22"/>
          <w:szCs w:val="22"/>
        </w:rPr>
      </w:pPr>
      <w:r w:rsidRPr="00ED25F8">
        <w:rPr>
          <w:rFonts w:cs="Arial"/>
          <w:b/>
          <w:color w:val="000000" w:themeColor="text1"/>
          <w:sz w:val="22"/>
          <w:szCs w:val="22"/>
        </w:rPr>
        <w:t>Wichtig:</w:t>
      </w:r>
      <w:r w:rsidRPr="00ED25F8">
        <w:rPr>
          <w:rFonts w:cs="Arial"/>
          <w:color w:val="000000" w:themeColor="text1"/>
          <w:sz w:val="22"/>
          <w:szCs w:val="22"/>
        </w:rPr>
        <w:t xml:space="preserve"> Schottsysteme dürfen nicht miteinander gemischt werden. Das heißt pro Schott darf nur ein System (ein Hersteller bzw. eine Art) verwendet werden.</w:t>
      </w:r>
    </w:p>
    <w:p w14:paraId="79DC6A8C" w14:textId="77777777" w:rsidR="006618CF" w:rsidRPr="00ED25F8" w:rsidRDefault="006618CF" w:rsidP="006618CF">
      <w:pPr>
        <w:jc w:val="both"/>
        <w:rPr>
          <w:rFonts w:cs="Arial"/>
          <w:noProof/>
          <w:color w:val="000000" w:themeColor="text1"/>
          <w:sz w:val="22"/>
          <w:szCs w:val="22"/>
        </w:rPr>
      </w:pPr>
    </w:p>
    <w:p w14:paraId="17F08202" w14:textId="77777777" w:rsidR="006618CF" w:rsidRDefault="006618CF" w:rsidP="006618CF">
      <w:pPr>
        <w:jc w:val="both"/>
        <w:rPr>
          <w:rFonts w:cs="Arial"/>
          <w:noProof/>
          <w:color w:val="000000" w:themeColor="text1"/>
          <w:sz w:val="22"/>
          <w:szCs w:val="22"/>
        </w:rPr>
      </w:pPr>
      <w:r w:rsidRPr="00ED25F8">
        <w:rPr>
          <w:rFonts w:cs="Arial"/>
          <w:noProof/>
          <w:color w:val="000000" w:themeColor="text1"/>
          <w:sz w:val="22"/>
          <w:szCs w:val="22"/>
        </w:rPr>
        <w:t>Kabelabschottungen sind unmittelbar am Bauteil in räumlicher Nähe dauerhaft mit einem Schild zu kennzeichnen. Folgende Informationen müssen durch das Kennzeichnungsschild am Schott verbindlich dokumentiert werden:</w:t>
      </w:r>
    </w:p>
    <w:p w14:paraId="7E715B84" w14:textId="77777777" w:rsidR="005B7892" w:rsidRPr="00ED25F8" w:rsidRDefault="005B7892" w:rsidP="006618CF">
      <w:pPr>
        <w:jc w:val="both"/>
        <w:rPr>
          <w:rFonts w:cs="Arial"/>
          <w:noProof/>
          <w:color w:val="000000" w:themeColor="text1"/>
          <w:sz w:val="22"/>
          <w:szCs w:val="22"/>
        </w:rPr>
      </w:pPr>
    </w:p>
    <w:p w14:paraId="00B85807"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Name des Herstellers der Abschottung (Errichter, nachweislich geschulter Mitarbeiter)</w:t>
      </w:r>
    </w:p>
    <w:p w14:paraId="3B15BB17"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genaue Bezeichnung der Abschottung (des Systems)</w:t>
      </w:r>
    </w:p>
    <w:p w14:paraId="4BB74430"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Zulassungsnummer (systembedingt)</w:t>
      </w:r>
    </w:p>
    <w:p w14:paraId="50BFBAC8"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Herstellungsjahr (Einbaudatum)</w:t>
      </w:r>
    </w:p>
    <w:p w14:paraId="666D6039" w14:textId="77777777" w:rsidR="006618CF" w:rsidRPr="00ED25F8" w:rsidRDefault="006618CF" w:rsidP="006618CF">
      <w:pPr>
        <w:ind w:left="66"/>
        <w:jc w:val="both"/>
        <w:rPr>
          <w:rFonts w:cs="Arial"/>
          <w:noProof/>
          <w:color w:val="000000" w:themeColor="text1"/>
          <w:sz w:val="22"/>
          <w:szCs w:val="22"/>
        </w:rPr>
      </w:pPr>
    </w:p>
    <w:p w14:paraId="0D11552F"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Nachinstallation in vorhandenen Kabelabschottungen</w:t>
      </w:r>
    </w:p>
    <w:p w14:paraId="6CFDA3D2" w14:textId="77777777" w:rsidR="006618CF" w:rsidRDefault="006618CF" w:rsidP="006618CF">
      <w:pPr>
        <w:jc w:val="both"/>
        <w:rPr>
          <w:rFonts w:cs="Arial"/>
          <w:noProof/>
          <w:color w:val="000000" w:themeColor="text1"/>
          <w:sz w:val="22"/>
          <w:szCs w:val="22"/>
        </w:rPr>
      </w:pPr>
      <w:r w:rsidRPr="008D3176">
        <w:rPr>
          <w:rFonts w:cs="Arial"/>
          <w:noProof/>
          <w:color w:val="000000" w:themeColor="text1"/>
          <w:sz w:val="22"/>
          <w:szCs w:val="22"/>
        </w:rPr>
        <w:t>Grundsätzlich kann eine Kabelabschottung zum Zwecke der Nachinstallation von Kabeln und/oder Leitungen wieder „geöffnet“ werden. Wenn Kabel und/oder Leitungen durch bereits vorhandene Kabelabschottungen geführt werden sollen, so ist dabei zu beachten, dass bereits die Öffnung des Schotts gemäß den Vorgaben des Herstellers geschieht. Weiter muss die Kabelabschottung nach der Verlegung der neuen Leitung wieder fachgerecht - mit dem selben System wie zuvor verwendet bzw. bereits vorhanden – verschlossen werden. Auch besteht bei einigen Systemen (Achtung: Hersteller- und Produktabhängig =&gt; Montageanleitung ist immer zu beachten) die Möglichkeit, bereits bei der Erstmontage des Brandschott sogenannte „Nachinstallationskeile“ einzubauen, welche eine nachträgliche Leitungsverlegung erheblich vereinfachen.</w:t>
      </w:r>
    </w:p>
    <w:p w14:paraId="59828E86" w14:textId="77777777" w:rsidR="006618CF" w:rsidRPr="008D3176" w:rsidRDefault="006618CF" w:rsidP="006618CF">
      <w:pPr>
        <w:jc w:val="both"/>
        <w:rPr>
          <w:rFonts w:cs="Arial"/>
          <w:noProof/>
          <w:color w:val="000000" w:themeColor="text1"/>
          <w:sz w:val="22"/>
          <w:szCs w:val="22"/>
        </w:rPr>
      </w:pPr>
    </w:p>
    <w:p w14:paraId="00A27F6E" w14:textId="30E512D3" w:rsidR="006618CF" w:rsidRPr="008D3176" w:rsidRDefault="006618CF" w:rsidP="006618CF">
      <w:pPr>
        <w:jc w:val="both"/>
        <w:rPr>
          <w:rFonts w:cs="Arial"/>
          <w:noProof/>
          <w:color w:val="000000" w:themeColor="text1"/>
          <w:sz w:val="22"/>
          <w:szCs w:val="22"/>
        </w:rPr>
      </w:pPr>
      <w:r w:rsidRPr="008D3176">
        <w:rPr>
          <w:rFonts w:cs="Arial"/>
          <w:b/>
          <w:noProof/>
          <w:color w:val="000000" w:themeColor="text1"/>
          <w:sz w:val="22"/>
          <w:szCs w:val="22"/>
        </w:rPr>
        <w:t>Wichtig:</w:t>
      </w:r>
      <w:r w:rsidRPr="008D3176">
        <w:rPr>
          <w:rFonts w:cs="Arial"/>
          <w:noProof/>
          <w:color w:val="000000" w:themeColor="text1"/>
          <w:sz w:val="22"/>
          <w:szCs w:val="22"/>
        </w:rPr>
        <w:t xml:space="preserve"> Der </w:t>
      </w:r>
      <w:r w:rsidR="00394D97">
        <w:rPr>
          <w:rFonts w:cs="Arial"/>
          <w:noProof/>
          <w:color w:val="000000" w:themeColor="text1"/>
          <w:sz w:val="22"/>
          <w:szCs w:val="22"/>
        </w:rPr>
        <w:t>a</w:t>
      </w:r>
      <w:r w:rsidRPr="008D3176">
        <w:rPr>
          <w:rFonts w:cs="Arial"/>
          <w:noProof/>
          <w:color w:val="000000" w:themeColor="text1"/>
          <w:sz w:val="22"/>
          <w:szCs w:val="22"/>
        </w:rPr>
        <w:t>usführende Monteur/Installateur einer Schottung</w:t>
      </w:r>
      <w:r w:rsidR="00394D97">
        <w:rPr>
          <w:rFonts w:cs="Arial"/>
          <w:noProof/>
          <w:color w:val="000000" w:themeColor="text1"/>
          <w:sz w:val="22"/>
          <w:szCs w:val="22"/>
        </w:rPr>
        <w:t>,</w:t>
      </w:r>
      <w:r w:rsidRPr="008D3176">
        <w:rPr>
          <w:rFonts w:cs="Arial"/>
          <w:noProof/>
          <w:color w:val="000000" w:themeColor="text1"/>
          <w:sz w:val="22"/>
          <w:szCs w:val="22"/>
        </w:rPr>
        <w:t xml:space="preserve"> muss in die Verarbeitung der Materialien nachweislich eingewiesen sein, zum Be</w:t>
      </w:r>
      <w:r w:rsidR="00483536">
        <w:rPr>
          <w:rFonts w:cs="Arial"/>
          <w:noProof/>
          <w:color w:val="000000" w:themeColor="text1"/>
          <w:sz w:val="22"/>
          <w:szCs w:val="22"/>
        </w:rPr>
        <w:t>i</w:t>
      </w:r>
      <w:r w:rsidRPr="008D3176">
        <w:rPr>
          <w:rFonts w:cs="Arial"/>
          <w:noProof/>
          <w:color w:val="000000" w:themeColor="text1"/>
          <w:sz w:val="22"/>
          <w:szCs w:val="22"/>
        </w:rPr>
        <w:t>spiel durch eine Schulung beim Hersteller. Dies gilt sowohl für die Erstinstallation einer Schottung</w:t>
      </w:r>
      <w:r w:rsidR="00394D97">
        <w:rPr>
          <w:rFonts w:cs="Arial"/>
          <w:noProof/>
          <w:color w:val="000000" w:themeColor="text1"/>
          <w:sz w:val="22"/>
          <w:szCs w:val="22"/>
        </w:rPr>
        <w:t>,</w:t>
      </w:r>
      <w:r w:rsidRPr="008D3176">
        <w:rPr>
          <w:rFonts w:cs="Arial"/>
          <w:noProof/>
          <w:color w:val="000000" w:themeColor="text1"/>
          <w:sz w:val="22"/>
          <w:szCs w:val="22"/>
        </w:rPr>
        <w:t xml:space="preserve"> als auch für Nachinstallationen in vorhandenen Schottungen.</w:t>
      </w:r>
    </w:p>
    <w:p w14:paraId="74FF3CC8" w14:textId="77777777" w:rsidR="006618CF" w:rsidRPr="008D3176" w:rsidRDefault="006618CF" w:rsidP="006618CF">
      <w:pPr>
        <w:jc w:val="both"/>
        <w:rPr>
          <w:rFonts w:cs="Arial"/>
          <w:noProof/>
          <w:color w:val="000000" w:themeColor="text1"/>
          <w:sz w:val="22"/>
          <w:szCs w:val="22"/>
        </w:rPr>
      </w:pPr>
    </w:p>
    <w:p w14:paraId="7ECBA9BB"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Verschiedene Arten von Brandabschottungen</w:t>
      </w:r>
    </w:p>
    <w:p w14:paraId="663B7806" w14:textId="1B7F2F9F" w:rsidR="006618CF" w:rsidRPr="00ED25F8" w:rsidRDefault="006618CF" w:rsidP="006618CF">
      <w:pPr>
        <w:pStyle w:val="Formatvorlage1"/>
        <w:spacing w:before="0"/>
        <w:jc w:val="both"/>
        <w:rPr>
          <w:b w:val="0"/>
          <w:noProof/>
          <w:color w:val="000000" w:themeColor="text1"/>
          <w:sz w:val="22"/>
          <w:szCs w:val="22"/>
          <w:highlight w:val="green"/>
          <w:u w:val="none"/>
        </w:rPr>
      </w:pPr>
      <w:r w:rsidRPr="00ED25F8">
        <w:rPr>
          <w:b w:val="0"/>
          <w:noProof/>
          <w:color w:val="000000" w:themeColor="text1"/>
          <w:sz w:val="22"/>
          <w:szCs w:val="22"/>
          <w:u w:val="none"/>
        </w:rPr>
        <w:t xml:space="preserve">Mineralfaserschotts bestehen aus Mineralfaserplatten hoher Dichte mit zusätzlichen Beschichtungen. Die Platten werden in die Öffnungen gestellt und an die vorhandenen Installationen angepasst und dann beschichtet. Mörtelschotts (auch „Hartschott“ genannt) verhindern Brandweiterleitungen durch Wand- und Deckenöffnungen. Dieses System verschließt Durchdringungen von raumabschließenden Bauteilen (z. B. Rohre, Kabel, Leitungen) </w:t>
      </w:r>
      <w:r w:rsidRPr="00ED25F8">
        <w:rPr>
          <w:b w:val="0"/>
          <w:noProof/>
          <w:color w:val="000000" w:themeColor="text1"/>
          <w:sz w:val="22"/>
          <w:szCs w:val="22"/>
          <w:u w:val="none"/>
        </w:rPr>
        <w:lastRenderedPageBreak/>
        <w:t>feuerbeständig und rauchdicht. Brandschutzkissen (auch „Kissenschott“ genannt) sind Elemente zum Abschotten von Kabeldurchlässen. Füllmaterial auf Mineralfaserbasis sowie aufschäumenden Baustoffen sind die Bestandteile, zusätzlich sind sie z. B. von Glasfasergewebe umhüllt. Für den Einbau werden die Kissen horizontal, schichtweise und gegenseitig versetzt in die Öffnung eingelegt. Brandschutzschäume sind meist in Kartuschen abgefüllt und bestehen aus mehreren Komponenten, die beim Auspressen vermischt werden, in der Öffnung aufschäumen, miteinander reagieren und dann erhärten. Formblöcke werden wie Backsteine in die jeweilige Öffnung eingestapelt. Restöffnungen werden mit Kartuschenschaum oder Brandschutzkitt (systemgebunden) verschlossen. Kabelboxen bestehen aus einem Stahlblechgehäuse, das in Öffnungen in Wänden, Böden, Decken und im Unterflur eingebaut wird, um Kabel hindurchzuführen und eine Abschottung gegen Feuer und Rauch zu erzielen. Sandfallen (auch „Sandtassen“ oder „Sandkasten“ genannt) werden zur Kabeldurchführung in Wänden eingesetzt. Dabei wird an der Wand zu beiden Seiten eine Kiste aus Stahlblech angebracht, deren Oberkanten höher sind als die Oberkante der abzuschottenden Bohrung. Kabel werden hinduchgeführt und die Kabeldurchführung mit Sand aufgefüllt.</w:t>
      </w:r>
    </w:p>
    <w:p w14:paraId="04249DA9" w14:textId="77777777" w:rsidR="00FC2183" w:rsidRPr="00ED25F8" w:rsidRDefault="00FC2183" w:rsidP="00FC2183">
      <w:pPr>
        <w:jc w:val="both"/>
        <w:rPr>
          <w:rFonts w:cs="Arial"/>
          <w:noProof/>
          <w:color w:val="000000" w:themeColor="text1"/>
          <w:sz w:val="22"/>
          <w:szCs w:val="22"/>
        </w:rPr>
      </w:pPr>
    </w:p>
    <w:p w14:paraId="0BC108AE" w14:textId="73A0B497" w:rsidR="00FC2183" w:rsidRPr="00ED25F8" w:rsidRDefault="00FC2183" w:rsidP="00FC2183">
      <w:pPr>
        <w:pStyle w:val="Formatvorlage1"/>
        <w:spacing w:before="0"/>
        <w:jc w:val="both"/>
        <w:rPr>
          <w:noProof/>
          <w:color w:val="000000" w:themeColor="text1"/>
          <w:sz w:val="22"/>
          <w:szCs w:val="22"/>
        </w:rPr>
      </w:pPr>
      <w:r>
        <w:rPr>
          <w:noProof/>
          <w:color w:val="000000" w:themeColor="text1"/>
          <w:sz w:val="22"/>
          <w:szCs w:val="22"/>
        </w:rPr>
        <w:t xml:space="preserve">Brandschutzschaum mit </w:t>
      </w:r>
      <w:r w:rsidRPr="00FC2183">
        <w:rPr>
          <w:noProof/>
          <w:color w:val="000000" w:themeColor="text1"/>
          <w:sz w:val="22"/>
          <w:szCs w:val="22"/>
        </w:rPr>
        <w:t>Diisocyanaten</w:t>
      </w:r>
    </w:p>
    <w:p w14:paraId="5CFE6656" w14:textId="4353BAAC" w:rsidR="0045300B" w:rsidRDefault="00FC2183" w:rsidP="0045300B">
      <w:pPr>
        <w:spacing w:after="240"/>
        <w:jc w:val="both"/>
        <w:rPr>
          <w:rFonts w:cs="Arial"/>
          <w:noProof/>
          <w:color w:val="000000" w:themeColor="text1"/>
          <w:sz w:val="22"/>
          <w:szCs w:val="22"/>
        </w:rPr>
      </w:pPr>
      <w:r>
        <w:rPr>
          <w:rFonts w:cs="Arial"/>
          <w:noProof/>
          <w:color w:val="000000" w:themeColor="text1"/>
          <w:sz w:val="22"/>
          <w:szCs w:val="22"/>
        </w:rPr>
        <w:t xml:space="preserve">Brandschutzschäume enthalten häufig Diisocyanate. Die Beschränkung im Rahmen der REACH-Verordnung besagt, dass Produkte, die Diisocyanate enthalten, </w:t>
      </w:r>
      <w:r w:rsidR="0045300B">
        <w:rPr>
          <w:rFonts w:cs="Arial"/>
          <w:noProof/>
          <w:color w:val="000000" w:themeColor="text1"/>
          <w:sz w:val="22"/>
          <w:szCs w:val="22"/>
        </w:rPr>
        <w:t>ab</w:t>
      </w:r>
      <w:r>
        <w:rPr>
          <w:rFonts w:cs="Arial"/>
          <w:noProof/>
          <w:color w:val="000000" w:themeColor="text1"/>
          <w:sz w:val="22"/>
          <w:szCs w:val="22"/>
        </w:rPr>
        <w:t xml:space="preserve"> dem 2</w:t>
      </w:r>
      <w:r w:rsidR="0045300B">
        <w:rPr>
          <w:rFonts w:cs="Arial"/>
          <w:noProof/>
          <w:color w:val="000000" w:themeColor="text1"/>
          <w:sz w:val="22"/>
          <w:szCs w:val="22"/>
        </w:rPr>
        <w:t>5</w:t>
      </w:r>
      <w:r>
        <w:rPr>
          <w:rFonts w:cs="Arial"/>
          <w:noProof/>
          <w:color w:val="000000" w:themeColor="text1"/>
          <w:sz w:val="22"/>
          <w:szCs w:val="22"/>
        </w:rPr>
        <w:t>.</w:t>
      </w:r>
      <w:r w:rsidR="008873E3">
        <w:rPr>
          <w:rFonts w:cs="Arial"/>
          <w:noProof/>
          <w:color w:val="000000" w:themeColor="text1"/>
          <w:sz w:val="22"/>
          <w:szCs w:val="22"/>
        </w:rPr>
        <w:t xml:space="preserve"> August </w:t>
      </w:r>
      <w:r>
        <w:rPr>
          <w:rFonts w:cs="Arial"/>
          <w:noProof/>
          <w:color w:val="000000" w:themeColor="text1"/>
          <w:sz w:val="22"/>
          <w:szCs w:val="22"/>
        </w:rPr>
        <w:t>2023 nur von Verwendern verarbeitet werden dürfen, die eine erfolgreiche Teilnahme an einer entsprechenden Schulungsmaßnahme belegen können</w:t>
      </w:r>
      <w:r w:rsidR="00863FED">
        <w:rPr>
          <w:rFonts w:cs="Arial"/>
          <w:noProof/>
          <w:color w:val="000000" w:themeColor="text1"/>
          <w:sz w:val="22"/>
          <w:szCs w:val="22"/>
        </w:rPr>
        <w:t>.</w:t>
      </w:r>
      <w:r>
        <w:rPr>
          <w:rFonts w:cs="Arial"/>
          <w:noProof/>
          <w:color w:val="000000" w:themeColor="text1"/>
          <w:sz w:val="22"/>
          <w:szCs w:val="22"/>
        </w:rPr>
        <w:t xml:space="preserve"> </w:t>
      </w:r>
      <w:r w:rsidR="0045300B">
        <w:rPr>
          <w:rFonts w:cs="Arial"/>
          <w:noProof/>
          <w:color w:val="000000" w:themeColor="text1"/>
          <w:sz w:val="22"/>
          <w:szCs w:val="22"/>
        </w:rPr>
        <w:t>Diese Beschränkung gilt für die industrielle bzw. gewerbliche Verwendung.</w:t>
      </w:r>
      <w:r w:rsidR="00726952">
        <w:rPr>
          <w:rFonts w:cs="Arial"/>
          <w:noProof/>
          <w:color w:val="000000" w:themeColor="text1"/>
          <w:sz w:val="22"/>
          <w:szCs w:val="22"/>
        </w:rPr>
        <w:t xml:space="preserve"> </w:t>
      </w:r>
      <w:r w:rsidR="0045300B">
        <w:rPr>
          <w:rFonts w:cs="Arial"/>
          <w:noProof/>
          <w:color w:val="000000" w:themeColor="text1"/>
          <w:sz w:val="22"/>
          <w:szCs w:val="22"/>
        </w:rPr>
        <w:t>Die Schulung</w:t>
      </w:r>
      <w:r w:rsidR="00726952">
        <w:rPr>
          <w:rFonts w:cs="Arial"/>
          <w:noProof/>
          <w:color w:val="000000" w:themeColor="text1"/>
          <w:sz w:val="22"/>
          <w:szCs w:val="22"/>
        </w:rPr>
        <w:t>smaßnahmen</w:t>
      </w:r>
      <w:r w:rsidR="0045300B">
        <w:rPr>
          <w:rFonts w:cs="Arial"/>
          <w:noProof/>
          <w:color w:val="000000" w:themeColor="text1"/>
          <w:sz w:val="22"/>
          <w:szCs w:val="22"/>
        </w:rPr>
        <w:t xml:space="preserve"> sollen </w:t>
      </w:r>
      <w:r w:rsidR="00726952">
        <w:rPr>
          <w:rFonts w:cs="Arial"/>
          <w:noProof/>
          <w:color w:val="000000" w:themeColor="text1"/>
          <w:sz w:val="22"/>
          <w:szCs w:val="22"/>
        </w:rPr>
        <w:t>Anwendern das Bewusstsein für das Gefährdungspotential von Diisocyanaten schärfen und sie dazu anhalten, die erforderlichen Schutzmaßnahmen einzuhalten.</w:t>
      </w:r>
      <w:r w:rsidR="00D916D1">
        <w:rPr>
          <w:rFonts w:cs="Arial"/>
          <w:noProof/>
          <w:color w:val="000000" w:themeColor="text1"/>
          <w:sz w:val="22"/>
          <w:szCs w:val="22"/>
        </w:rPr>
        <w:t xml:space="preserve"> Ein Hinweis auf notwendige Schulungen muss seit Februar 2022 auf entsprechenden Produkten angebracht werden.</w:t>
      </w:r>
    </w:p>
    <w:p w14:paraId="25E517DA" w14:textId="6408887A" w:rsidR="00D916D1" w:rsidRDefault="00D916D1" w:rsidP="0045300B">
      <w:pPr>
        <w:spacing w:after="240"/>
        <w:jc w:val="both"/>
        <w:rPr>
          <w:rFonts w:cs="Arial"/>
          <w:noProof/>
          <w:color w:val="000000" w:themeColor="text1"/>
          <w:sz w:val="22"/>
          <w:szCs w:val="22"/>
        </w:rPr>
      </w:pPr>
      <w:r w:rsidRPr="008873E3">
        <w:rPr>
          <w:rFonts w:cs="Arial"/>
          <w:b/>
          <w:noProof/>
          <w:color w:val="000000" w:themeColor="text1"/>
          <w:sz w:val="22"/>
          <w:szCs w:val="22"/>
        </w:rPr>
        <w:t>Wichtig:</w:t>
      </w:r>
      <w:r>
        <w:rPr>
          <w:rFonts w:cs="Arial"/>
          <w:b/>
          <w:noProof/>
          <w:color w:val="000000" w:themeColor="text1"/>
          <w:sz w:val="22"/>
          <w:szCs w:val="22"/>
        </w:rPr>
        <w:t xml:space="preserve"> </w:t>
      </w:r>
      <w:r w:rsidRPr="00D916D1">
        <w:rPr>
          <w:rFonts w:cs="Arial"/>
          <w:noProof/>
          <w:color w:val="000000" w:themeColor="text1"/>
          <w:sz w:val="22"/>
          <w:szCs w:val="22"/>
        </w:rPr>
        <w:t>Eine erfolgreiche Schulung ist seit 2023 Pflicht</w:t>
      </w:r>
      <w:r>
        <w:rPr>
          <w:rFonts w:cs="Arial"/>
          <w:noProof/>
          <w:color w:val="000000" w:themeColor="text1"/>
          <w:sz w:val="22"/>
          <w:szCs w:val="22"/>
        </w:rPr>
        <w:t>. Viele Hersteller bieten mittlerweile auf einer übergreifenden Plattform (ISOPA) eine Vielzahl von Online-Schulungen an.</w:t>
      </w:r>
    </w:p>
    <w:p w14:paraId="2FD70AE0" w14:textId="52975D75" w:rsidR="00726952" w:rsidRDefault="00726952" w:rsidP="005B7892">
      <w:pPr>
        <w:numPr>
          <w:ilvl w:val="0"/>
          <w:numId w:val="45"/>
        </w:numPr>
        <w:ind w:left="426"/>
        <w:rPr>
          <w:rFonts w:cs="Arial"/>
          <w:noProof/>
          <w:color w:val="000000" w:themeColor="text1"/>
          <w:sz w:val="22"/>
          <w:szCs w:val="22"/>
        </w:rPr>
      </w:pPr>
      <w:r>
        <w:rPr>
          <w:rFonts w:cs="Arial"/>
          <w:noProof/>
          <w:color w:val="000000" w:themeColor="text1"/>
          <w:sz w:val="22"/>
          <w:szCs w:val="22"/>
        </w:rPr>
        <w:t>Arbeitgeber müssen die Teilnahme der Verwender an Schulungsmaßnahmen sicherstellen</w:t>
      </w:r>
    </w:p>
    <w:p w14:paraId="00EE843E" w14:textId="77777777" w:rsidR="00D916D1" w:rsidRDefault="00D916D1" w:rsidP="005B7892">
      <w:pPr>
        <w:numPr>
          <w:ilvl w:val="0"/>
          <w:numId w:val="45"/>
        </w:numPr>
        <w:ind w:left="426"/>
        <w:rPr>
          <w:rFonts w:cs="Arial"/>
          <w:noProof/>
          <w:color w:val="000000" w:themeColor="text1"/>
          <w:sz w:val="22"/>
          <w:szCs w:val="22"/>
        </w:rPr>
      </w:pPr>
      <w:r>
        <w:rPr>
          <w:rFonts w:cs="Arial"/>
          <w:noProof/>
          <w:color w:val="000000" w:themeColor="text1"/>
          <w:sz w:val="22"/>
          <w:szCs w:val="22"/>
        </w:rPr>
        <w:t>Lieferanten müssen Verwendern die zur Schulung erforderlichen Materialien bzw. Unterlagen zur Verfügung stellen</w:t>
      </w:r>
    </w:p>
    <w:p w14:paraId="73EE581A" w14:textId="5995F03C" w:rsidR="00726952" w:rsidRDefault="00863FED" w:rsidP="005B7892">
      <w:pPr>
        <w:numPr>
          <w:ilvl w:val="0"/>
          <w:numId w:val="45"/>
        </w:numPr>
        <w:ind w:left="426"/>
        <w:rPr>
          <w:rFonts w:cs="Arial"/>
          <w:noProof/>
          <w:color w:val="000000" w:themeColor="text1"/>
          <w:sz w:val="22"/>
          <w:szCs w:val="22"/>
        </w:rPr>
      </w:pPr>
      <w:r>
        <w:rPr>
          <w:rFonts w:cs="Arial"/>
          <w:noProof/>
          <w:color w:val="000000" w:themeColor="text1"/>
          <w:sz w:val="22"/>
          <w:szCs w:val="22"/>
        </w:rPr>
        <w:t>Die Teilnahme an einer Schulungsmaßnahme muss mit einer Erfolgskontrolle abgeschlossen werden</w:t>
      </w:r>
    </w:p>
    <w:p w14:paraId="4CEFBB75" w14:textId="6797D58C" w:rsidR="00863FED" w:rsidRDefault="00863FED" w:rsidP="005B7892">
      <w:pPr>
        <w:numPr>
          <w:ilvl w:val="0"/>
          <w:numId w:val="45"/>
        </w:numPr>
        <w:ind w:left="426"/>
        <w:rPr>
          <w:rFonts w:cs="Arial"/>
          <w:noProof/>
          <w:color w:val="000000" w:themeColor="text1"/>
          <w:sz w:val="22"/>
          <w:szCs w:val="22"/>
        </w:rPr>
      </w:pPr>
      <w:r>
        <w:rPr>
          <w:rFonts w:cs="Arial"/>
          <w:noProof/>
          <w:color w:val="000000" w:themeColor="text1"/>
          <w:sz w:val="22"/>
          <w:szCs w:val="22"/>
        </w:rPr>
        <w:t>Eine Wiederholung der Schulungsmaßnahmen muss mindestens alle fünf Jahre erfolgen</w:t>
      </w:r>
    </w:p>
    <w:p w14:paraId="06986F55" w14:textId="2C50038E" w:rsidR="005B7892" w:rsidRDefault="00863FED" w:rsidP="005B7892">
      <w:pPr>
        <w:numPr>
          <w:ilvl w:val="0"/>
          <w:numId w:val="45"/>
        </w:numPr>
        <w:ind w:left="426"/>
        <w:rPr>
          <w:rFonts w:cs="Arial"/>
          <w:noProof/>
          <w:color w:val="000000" w:themeColor="text1"/>
          <w:sz w:val="22"/>
          <w:szCs w:val="22"/>
        </w:rPr>
      </w:pPr>
      <w:r>
        <w:rPr>
          <w:rFonts w:cs="Arial"/>
          <w:noProof/>
          <w:color w:val="000000" w:themeColor="text1"/>
          <w:sz w:val="22"/>
          <w:szCs w:val="22"/>
        </w:rPr>
        <w:t>Die erfolgreiche Teilnahme an Schulungsmaßnahmen muss der Arbeitgeber dokumentieren</w:t>
      </w:r>
    </w:p>
    <w:p w14:paraId="7BAA9929" w14:textId="77777777" w:rsidR="005B7892" w:rsidRPr="005B7892" w:rsidRDefault="005B7892" w:rsidP="005B7892">
      <w:pPr>
        <w:rPr>
          <w:rFonts w:cs="Arial"/>
          <w:noProof/>
          <w:color w:val="000000" w:themeColor="text1"/>
          <w:sz w:val="22"/>
          <w:szCs w:val="22"/>
        </w:rPr>
      </w:pPr>
    </w:p>
    <w:p w14:paraId="17BFED09" w14:textId="170A70DC" w:rsidR="00CC2BF5" w:rsidRDefault="00D916D1" w:rsidP="00CC2BF5">
      <w:pPr>
        <w:spacing w:after="240"/>
        <w:jc w:val="both"/>
        <w:rPr>
          <w:rFonts w:cs="Arial"/>
          <w:noProof/>
          <w:color w:val="000000" w:themeColor="text1"/>
          <w:sz w:val="22"/>
          <w:szCs w:val="22"/>
        </w:rPr>
      </w:pPr>
      <w:r w:rsidRPr="00CC2BF5">
        <w:rPr>
          <w:rFonts w:cs="Arial"/>
          <w:noProof/>
          <w:color w:val="000000" w:themeColor="text1"/>
          <w:sz w:val="22"/>
          <w:szCs w:val="22"/>
        </w:rPr>
        <w:t xml:space="preserve">Der Umfang und Inhalt der Schulungsmaßnahmen richtet sich </w:t>
      </w:r>
      <w:r w:rsidR="00CC2BF5" w:rsidRPr="00CC2BF5">
        <w:rPr>
          <w:rFonts w:cs="Arial"/>
          <w:noProof/>
          <w:color w:val="000000" w:themeColor="text1"/>
          <w:sz w:val="22"/>
          <w:szCs w:val="22"/>
        </w:rPr>
        <w:t xml:space="preserve">gemäß der Beschränkungsregel </w:t>
      </w:r>
      <w:r w:rsidRPr="00CC2BF5">
        <w:rPr>
          <w:rFonts w:cs="Arial"/>
          <w:noProof/>
          <w:color w:val="000000" w:themeColor="text1"/>
          <w:sz w:val="22"/>
          <w:szCs w:val="22"/>
        </w:rPr>
        <w:t>nach drei Gefährdungsstufen</w:t>
      </w:r>
      <w:r w:rsidR="00CC2BF5">
        <w:rPr>
          <w:rFonts w:cs="Arial"/>
          <w:noProof/>
          <w:color w:val="000000" w:themeColor="text1"/>
          <w:sz w:val="22"/>
          <w:szCs w:val="22"/>
        </w:rPr>
        <w:t>:</w:t>
      </w:r>
    </w:p>
    <w:p w14:paraId="6532856D" w14:textId="235B042F" w:rsidR="00D916D1" w:rsidRDefault="00CC2BF5" w:rsidP="005B7892">
      <w:pPr>
        <w:numPr>
          <w:ilvl w:val="0"/>
          <w:numId w:val="45"/>
        </w:numPr>
        <w:ind w:left="426"/>
        <w:rPr>
          <w:rFonts w:cs="Arial"/>
          <w:noProof/>
          <w:color w:val="000000" w:themeColor="text1"/>
          <w:sz w:val="22"/>
          <w:szCs w:val="22"/>
        </w:rPr>
      </w:pPr>
      <w:r w:rsidRPr="00CC2BF5">
        <w:rPr>
          <w:rFonts w:cs="Arial"/>
          <w:noProof/>
          <w:color w:val="000000" w:themeColor="text1"/>
          <w:sz w:val="22"/>
          <w:szCs w:val="22"/>
        </w:rPr>
        <w:t xml:space="preserve">Stufe 1 </w:t>
      </w:r>
      <w:r>
        <w:rPr>
          <w:rFonts w:cs="Arial"/>
          <w:noProof/>
          <w:color w:val="000000" w:themeColor="text1"/>
          <w:sz w:val="22"/>
          <w:szCs w:val="22"/>
        </w:rPr>
        <w:t>(</w:t>
      </w:r>
      <w:r w:rsidRPr="00CC2BF5">
        <w:rPr>
          <w:rFonts w:cs="Arial"/>
          <w:noProof/>
          <w:color w:val="000000" w:themeColor="text1"/>
          <w:sz w:val="22"/>
          <w:szCs w:val="22"/>
        </w:rPr>
        <w:t>Basisschulung</w:t>
      </w:r>
      <w:r>
        <w:rPr>
          <w:rFonts w:cs="Arial"/>
          <w:noProof/>
          <w:color w:val="000000" w:themeColor="text1"/>
          <w:sz w:val="22"/>
          <w:szCs w:val="22"/>
        </w:rPr>
        <w:t>)</w:t>
      </w:r>
      <w:r w:rsidRPr="00CC2BF5">
        <w:rPr>
          <w:rFonts w:cs="Arial"/>
          <w:noProof/>
          <w:color w:val="000000" w:themeColor="text1"/>
          <w:sz w:val="22"/>
          <w:szCs w:val="22"/>
        </w:rPr>
        <w:t xml:space="preserve"> bei geringem Gefährdungspotenzial</w:t>
      </w:r>
      <w:r>
        <w:rPr>
          <w:rFonts w:cs="Arial"/>
          <w:noProof/>
          <w:color w:val="000000" w:themeColor="text1"/>
          <w:sz w:val="22"/>
          <w:szCs w:val="22"/>
        </w:rPr>
        <w:t>, z. B. bei Tätigkeiten wie dem Bewegen von Gebinden oder Arbeiten an geschlossenen Apparaturen</w:t>
      </w:r>
    </w:p>
    <w:p w14:paraId="549AC6F7" w14:textId="6E2F4402" w:rsidR="00CC2BF5" w:rsidRDefault="00CC2BF5" w:rsidP="005B7892">
      <w:pPr>
        <w:numPr>
          <w:ilvl w:val="0"/>
          <w:numId w:val="45"/>
        </w:numPr>
        <w:ind w:left="426"/>
        <w:rPr>
          <w:rFonts w:cs="Arial"/>
          <w:noProof/>
          <w:color w:val="000000" w:themeColor="text1"/>
          <w:sz w:val="22"/>
          <w:szCs w:val="22"/>
        </w:rPr>
      </w:pPr>
      <w:r w:rsidRPr="00CC2BF5">
        <w:rPr>
          <w:rFonts w:cs="Arial"/>
          <w:noProof/>
          <w:color w:val="000000" w:themeColor="text1"/>
          <w:sz w:val="22"/>
          <w:szCs w:val="22"/>
        </w:rPr>
        <w:t>Stufe 2 (Aufbauschulung) bei mittlerem Gefährdungspotenzial</w:t>
      </w:r>
      <w:r>
        <w:rPr>
          <w:rFonts w:cs="Arial"/>
          <w:noProof/>
          <w:color w:val="000000" w:themeColor="text1"/>
          <w:sz w:val="22"/>
          <w:szCs w:val="22"/>
        </w:rPr>
        <w:t xml:space="preserve">, z. B. </w:t>
      </w:r>
      <w:r w:rsidRPr="00CC2BF5">
        <w:rPr>
          <w:rFonts w:cs="Arial"/>
          <w:noProof/>
          <w:color w:val="000000" w:themeColor="text1"/>
          <w:sz w:val="22"/>
          <w:szCs w:val="22"/>
        </w:rPr>
        <w:t>bei Tätigkeiten mit offenen Gemischen bei Raumtemperatur</w:t>
      </w:r>
      <w:r>
        <w:rPr>
          <w:rFonts w:cs="Arial"/>
          <w:noProof/>
          <w:color w:val="000000" w:themeColor="text1"/>
          <w:sz w:val="22"/>
          <w:szCs w:val="22"/>
        </w:rPr>
        <w:t xml:space="preserve"> wie</w:t>
      </w:r>
      <w:r w:rsidRPr="00CC2BF5">
        <w:rPr>
          <w:rFonts w:cs="Arial"/>
          <w:noProof/>
          <w:color w:val="000000" w:themeColor="text1"/>
          <w:sz w:val="22"/>
          <w:szCs w:val="22"/>
        </w:rPr>
        <w:t xml:space="preserve"> Streichen oder Spachteln von Beschichtungen oder Farben</w:t>
      </w:r>
    </w:p>
    <w:p w14:paraId="08EBC6D6" w14:textId="2258D87E" w:rsidR="00CC2BF5" w:rsidRPr="00CC2BF5" w:rsidRDefault="00CC2BF5" w:rsidP="005B7892">
      <w:pPr>
        <w:numPr>
          <w:ilvl w:val="0"/>
          <w:numId w:val="45"/>
        </w:numPr>
        <w:ind w:left="426"/>
        <w:rPr>
          <w:rFonts w:cs="Arial"/>
          <w:noProof/>
          <w:color w:val="000000" w:themeColor="text1"/>
          <w:sz w:val="22"/>
          <w:szCs w:val="22"/>
        </w:rPr>
      </w:pPr>
      <w:r w:rsidRPr="00CC2BF5">
        <w:rPr>
          <w:rFonts w:cs="Arial"/>
          <w:noProof/>
          <w:color w:val="000000" w:themeColor="text1"/>
          <w:sz w:val="22"/>
          <w:szCs w:val="22"/>
        </w:rPr>
        <w:t>Stufe 3 (Fortgeschrittenenschulung) bei hohem Gefährdungspotenzial</w:t>
      </w:r>
      <w:r>
        <w:rPr>
          <w:rFonts w:cs="Arial"/>
          <w:noProof/>
          <w:color w:val="000000" w:themeColor="text1"/>
          <w:sz w:val="22"/>
          <w:szCs w:val="22"/>
        </w:rPr>
        <w:t xml:space="preserve">, z. B. </w:t>
      </w:r>
      <w:r w:rsidRPr="00CC2BF5">
        <w:rPr>
          <w:rFonts w:cs="Arial"/>
          <w:noProof/>
          <w:color w:val="000000" w:themeColor="text1"/>
          <w:sz w:val="22"/>
          <w:szCs w:val="22"/>
        </w:rPr>
        <w:t>bei Tätigkeiten wie Spritzanwendungen sowie Tätigkeiten mit Produkten, die über 45°C erwärmt werden</w:t>
      </w:r>
    </w:p>
    <w:p w14:paraId="02DBF652" w14:textId="77777777" w:rsidR="00726952" w:rsidRPr="009712F5" w:rsidRDefault="00726952" w:rsidP="0045300B">
      <w:pPr>
        <w:spacing w:after="240"/>
        <w:jc w:val="both"/>
        <w:rPr>
          <w:vanish/>
          <w:sz w:val="22"/>
          <w:szCs w:val="22"/>
          <w:specVanish/>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F87883" w:rsidRPr="000D0A32"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0D0A32" w:rsidRDefault="00F87883" w:rsidP="009712F5">
            <w:pPr>
              <w:ind w:left="142" w:right="-1"/>
              <w:jc w:val="both"/>
              <w:rPr>
                <w:rFonts w:cs="Arial"/>
                <w:b/>
                <w:color w:val="000000" w:themeColor="text1"/>
                <w:sz w:val="22"/>
                <w:szCs w:val="22"/>
              </w:rPr>
            </w:pPr>
            <w:r w:rsidRPr="000D0A32">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0D0A32" w:rsidRDefault="00F87883" w:rsidP="009712F5">
            <w:pPr>
              <w:ind w:left="142" w:right="-1"/>
              <w:jc w:val="both"/>
              <w:rPr>
                <w:rFonts w:cs="Arial"/>
                <w:b/>
                <w:color w:val="000000" w:themeColor="text1"/>
                <w:sz w:val="22"/>
                <w:szCs w:val="22"/>
              </w:rPr>
            </w:pPr>
            <w:r w:rsidRPr="000D0A32">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0D0A32" w:rsidRDefault="00F87883" w:rsidP="009712F5">
            <w:pPr>
              <w:ind w:left="142" w:right="-1"/>
              <w:jc w:val="both"/>
              <w:rPr>
                <w:rFonts w:cs="Arial"/>
                <w:b/>
                <w:color w:val="000000" w:themeColor="text1"/>
                <w:sz w:val="22"/>
                <w:szCs w:val="22"/>
              </w:rPr>
            </w:pPr>
            <w:r w:rsidRPr="000D0A32">
              <w:rPr>
                <w:rFonts w:cs="Arial"/>
                <w:b/>
                <w:color w:val="000000" w:themeColor="text1"/>
                <w:sz w:val="22"/>
                <w:szCs w:val="22"/>
              </w:rPr>
              <w:t xml:space="preserve">Unterschrift </w:t>
            </w:r>
            <w:r w:rsidRPr="000D0A32">
              <w:rPr>
                <w:rFonts w:cs="Arial"/>
                <w:color w:val="000000" w:themeColor="text1"/>
                <w:sz w:val="22"/>
                <w:szCs w:val="22"/>
              </w:rPr>
              <w:t>*)</w:t>
            </w:r>
          </w:p>
        </w:tc>
      </w:tr>
      <w:tr w:rsidR="00F87883" w:rsidRPr="000D0A32" w14:paraId="4817344F" w14:textId="77777777" w:rsidTr="00CF57D9">
        <w:trPr>
          <w:trHeight w:val="572"/>
        </w:trPr>
        <w:tc>
          <w:tcPr>
            <w:tcW w:w="2981" w:type="dxa"/>
            <w:tcBorders>
              <w:top w:val="single" w:sz="12" w:space="0" w:color="auto"/>
            </w:tcBorders>
            <w:vAlign w:val="center"/>
          </w:tcPr>
          <w:p w14:paraId="54BE514E" w14:textId="77777777" w:rsidR="00F87883" w:rsidRPr="000D0A32" w:rsidRDefault="00F87883" w:rsidP="009712F5">
            <w:pPr>
              <w:ind w:left="142"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0D0A32" w:rsidRDefault="00F87883" w:rsidP="009712F5">
            <w:pPr>
              <w:ind w:left="142"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0D0A32" w:rsidRDefault="00F87883" w:rsidP="009712F5">
            <w:pPr>
              <w:ind w:left="142" w:right="-1"/>
              <w:jc w:val="both"/>
              <w:rPr>
                <w:rFonts w:cs="Arial"/>
                <w:color w:val="000000" w:themeColor="text1"/>
                <w:sz w:val="22"/>
                <w:szCs w:val="22"/>
              </w:rPr>
            </w:pPr>
          </w:p>
          <w:p w14:paraId="0732EF69" w14:textId="77777777" w:rsidR="00F87883" w:rsidRPr="000D0A32" w:rsidRDefault="00F87883" w:rsidP="009712F5">
            <w:pPr>
              <w:ind w:left="142" w:right="-1"/>
              <w:jc w:val="both"/>
              <w:rPr>
                <w:rFonts w:cs="Arial"/>
                <w:color w:val="000000" w:themeColor="text1"/>
                <w:sz w:val="22"/>
                <w:szCs w:val="22"/>
              </w:rPr>
            </w:pPr>
          </w:p>
        </w:tc>
      </w:tr>
      <w:tr w:rsidR="00F87883" w:rsidRPr="000D0A32" w14:paraId="52977B13" w14:textId="77777777" w:rsidTr="00CF57D9">
        <w:trPr>
          <w:trHeight w:val="572"/>
        </w:trPr>
        <w:tc>
          <w:tcPr>
            <w:tcW w:w="2981" w:type="dxa"/>
            <w:vAlign w:val="center"/>
          </w:tcPr>
          <w:p w14:paraId="3D3E9823"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255F3D99"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51CAE9FA" w14:textId="77777777" w:rsidR="00F87883" w:rsidRPr="000D0A32" w:rsidRDefault="00F87883" w:rsidP="009712F5">
            <w:pPr>
              <w:ind w:left="142" w:right="-1"/>
              <w:jc w:val="both"/>
              <w:rPr>
                <w:rFonts w:cs="Arial"/>
                <w:color w:val="000000" w:themeColor="text1"/>
                <w:sz w:val="22"/>
                <w:szCs w:val="22"/>
              </w:rPr>
            </w:pPr>
          </w:p>
          <w:p w14:paraId="707EFC07" w14:textId="77777777" w:rsidR="00F87883" w:rsidRPr="000D0A32" w:rsidRDefault="00F87883" w:rsidP="009712F5">
            <w:pPr>
              <w:ind w:left="142" w:right="-1"/>
              <w:jc w:val="both"/>
              <w:rPr>
                <w:rFonts w:cs="Arial"/>
                <w:color w:val="000000" w:themeColor="text1"/>
                <w:sz w:val="22"/>
                <w:szCs w:val="22"/>
              </w:rPr>
            </w:pPr>
          </w:p>
        </w:tc>
      </w:tr>
      <w:tr w:rsidR="00F87883" w:rsidRPr="000D0A32" w14:paraId="0123FA40" w14:textId="77777777" w:rsidTr="00CF57D9">
        <w:trPr>
          <w:trHeight w:val="557"/>
        </w:trPr>
        <w:tc>
          <w:tcPr>
            <w:tcW w:w="2981" w:type="dxa"/>
            <w:vAlign w:val="center"/>
          </w:tcPr>
          <w:p w14:paraId="18595C59"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37389102"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101FC8EE" w14:textId="77777777" w:rsidR="00F87883" w:rsidRPr="000D0A32" w:rsidRDefault="00F87883" w:rsidP="009712F5">
            <w:pPr>
              <w:ind w:left="142" w:right="-1"/>
              <w:jc w:val="both"/>
              <w:rPr>
                <w:rFonts w:cs="Arial"/>
                <w:color w:val="000000" w:themeColor="text1"/>
                <w:sz w:val="22"/>
                <w:szCs w:val="22"/>
              </w:rPr>
            </w:pPr>
          </w:p>
          <w:p w14:paraId="2E6C05B7" w14:textId="77777777" w:rsidR="00F87883" w:rsidRPr="000D0A32" w:rsidRDefault="00F87883" w:rsidP="009712F5">
            <w:pPr>
              <w:ind w:left="142" w:right="-1"/>
              <w:jc w:val="both"/>
              <w:rPr>
                <w:rFonts w:cs="Arial"/>
                <w:color w:val="000000" w:themeColor="text1"/>
                <w:sz w:val="22"/>
                <w:szCs w:val="22"/>
              </w:rPr>
            </w:pPr>
          </w:p>
        </w:tc>
      </w:tr>
      <w:tr w:rsidR="00F87883" w:rsidRPr="000D0A32" w14:paraId="45B9A57E" w14:textId="77777777" w:rsidTr="00CF57D9">
        <w:trPr>
          <w:trHeight w:val="557"/>
        </w:trPr>
        <w:tc>
          <w:tcPr>
            <w:tcW w:w="2981" w:type="dxa"/>
            <w:vAlign w:val="center"/>
          </w:tcPr>
          <w:p w14:paraId="5C4428A3"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3DD7E8AE"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1F063CFF" w14:textId="77777777" w:rsidR="00F87883" w:rsidRPr="000D0A32" w:rsidRDefault="00F87883" w:rsidP="009712F5">
            <w:pPr>
              <w:ind w:left="142" w:right="-1"/>
              <w:jc w:val="both"/>
              <w:rPr>
                <w:rFonts w:cs="Arial"/>
                <w:color w:val="000000" w:themeColor="text1"/>
                <w:sz w:val="22"/>
                <w:szCs w:val="22"/>
              </w:rPr>
            </w:pPr>
          </w:p>
          <w:p w14:paraId="4D5EB7AF" w14:textId="77777777" w:rsidR="00F87883" w:rsidRPr="000D0A32" w:rsidRDefault="00F87883" w:rsidP="009712F5">
            <w:pPr>
              <w:ind w:left="142" w:right="-1"/>
              <w:jc w:val="both"/>
              <w:rPr>
                <w:rFonts w:cs="Arial"/>
                <w:color w:val="000000" w:themeColor="text1"/>
                <w:sz w:val="22"/>
                <w:szCs w:val="22"/>
              </w:rPr>
            </w:pPr>
          </w:p>
        </w:tc>
      </w:tr>
      <w:tr w:rsidR="00F87883" w:rsidRPr="000D0A32" w14:paraId="6E158E36" w14:textId="77777777" w:rsidTr="00CF57D9">
        <w:trPr>
          <w:trHeight w:val="572"/>
        </w:trPr>
        <w:tc>
          <w:tcPr>
            <w:tcW w:w="2981" w:type="dxa"/>
            <w:vAlign w:val="center"/>
          </w:tcPr>
          <w:p w14:paraId="7E0EA258"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1277066E"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7B3E5232" w14:textId="77777777" w:rsidR="00F87883" w:rsidRPr="000D0A32" w:rsidRDefault="00F87883" w:rsidP="009712F5">
            <w:pPr>
              <w:ind w:left="142" w:right="-1"/>
              <w:jc w:val="both"/>
              <w:rPr>
                <w:rFonts w:cs="Arial"/>
                <w:color w:val="000000" w:themeColor="text1"/>
                <w:sz w:val="22"/>
                <w:szCs w:val="22"/>
              </w:rPr>
            </w:pPr>
          </w:p>
          <w:p w14:paraId="20E436C3" w14:textId="77777777" w:rsidR="00F87883" w:rsidRPr="000D0A32" w:rsidRDefault="00F87883" w:rsidP="009712F5">
            <w:pPr>
              <w:ind w:left="142" w:right="-1"/>
              <w:jc w:val="both"/>
              <w:rPr>
                <w:rFonts w:cs="Arial"/>
                <w:color w:val="000000" w:themeColor="text1"/>
                <w:sz w:val="22"/>
                <w:szCs w:val="22"/>
              </w:rPr>
            </w:pPr>
          </w:p>
        </w:tc>
      </w:tr>
      <w:tr w:rsidR="00F87883" w:rsidRPr="000D0A32" w14:paraId="684CB588" w14:textId="77777777" w:rsidTr="00CF57D9">
        <w:trPr>
          <w:trHeight w:val="557"/>
        </w:trPr>
        <w:tc>
          <w:tcPr>
            <w:tcW w:w="2981" w:type="dxa"/>
            <w:vAlign w:val="center"/>
          </w:tcPr>
          <w:p w14:paraId="4BFD905F"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599875EF"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48F14178" w14:textId="77777777" w:rsidR="00F87883" w:rsidRPr="000D0A32" w:rsidRDefault="00F87883" w:rsidP="009712F5">
            <w:pPr>
              <w:ind w:left="142" w:right="-1"/>
              <w:jc w:val="both"/>
              <w:rPr>
                <w:rFonts w:cs="Arial"/>
                <w:color w:val="000000" w:themeColor="text1"/>
                <w:sz w:val="22"/>
                <w:szCs w:val="22"/>
              </w:rPr>
            </w:pPr>
          </w:p>
          <w:p w14:paraId="6A6964CB" w14:textId="77777777" w:rsidR="00F87883" w:rsidRPr="000D0A32" w:rsidRDefault="00F87883" w:rsidP="009712F5">
            <w:pPr>
              <w:ind w:left="142" w:right="-1"/>
              <w:jc w:val="both"/>
              <w:rPr>
                <w:rFonts w:cs="Arial"/>
                <w:color w:val="000000" w:themeColor="text1"/>
                <w:sz w:val="22"/>
                <w:szCs w:val="22"/>
              </w:rPr>
            </w:pPr>
          </w:p>
        </w:tc>
      </w:tr>
      <w:tr w:rsidR="00F87883" w:rsidRPr="000D0A32" w14:paraId="2406A8D9" w14:textId="77777777" w:rsidTr="00CF57D9">
        <w:trPr>
          <w:trHeight w:val="572"/>
        </w:trPr>
        <w:tc>
          <w:tcPr>
            <w:tcW w:w="2981" w:type="dxa"/>
            <w:vAlign w:val="center"/>
          </w:tcPr>
          <w:p w14:paraId="61DD10EC"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78DF2ADD"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247C472A" w14:textId="77777777" w:rsidR="00F87883" w:rsidRPr="000D0A32" w:rsidRDefault="00F87883" w:rsidP="009712F5">
            <w:pPr>
              <w:ind w:left="142" w:right="-1"/>
              <w:jc w:val="both"/>
              <w:rPr>
                <w:rFonts w:cs="Arial"/>
                <w:color w:val="000000" w:themeColor="text1"/>
                <w:sz w:val="22"/>
                <w:szCs w:val="22"/>
              </w:rPr>
            </w:pPr>
          </w:p>
          <w:p w14:paraId="4EC2D8DE" w14:textId="77777777" w:rsidR="00F87883" w:rsidRPr="000D0A32" w:rsidRDefault="00F87883" w:rsidP="009712F5">
            <w:pPr>
              <w:ind w:left="142" w:right="-1"/>
              <w:jc w:val="both"/>
              <w:rPr>
                <w:rFonts w:cs="Arial"/>
                <w:color w:val="000000" w:themeColor="text1"/>
                <w:sz w:val="22"/>
                <w:szCs w:val="22"/>
              </w:rPr>
            </w:pPr>
          </w:p>
        </w:tc>
      </w:tr>
      <w:tr w:rsidR="00F87883" w:rsidRPr="000D0A32" w14:paraId="5DCD1ACE" w14:textId="77777777" w:rsidTr="00CF57D9">
        <w:trPr>
          <w:trHeight w:val="557"/>
        </w:trPr>
        <w:tc>
          <w:tcPr>
            <w:tcW w:w="2981" w:type="dxa"/>
            <w:vAlign w:val="center"/>
          </w:tcPr>
          <w:p w14:paraId="2E884B66"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3DC1553B"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3CEF95B8" w14:textId="77777777" w:rsidR="00F87883" w:rsidRPr="000D0A32" w:rsidRDefault="00F87883" w:rsidP="009712F5">
            <w:pPr>
              <w:ind w:left="142" w:right="-1"/>
              <w:jc w:val="both"/>
              <w:rPr>
                <w:rFonts w:cs="Arial"/>
                <w:color w:val="000000" w:themeColor="text1"/>
                <w:sz w:val="22"/>
                <w:szCs w:val="22"/>
              </w:rPr>
            </w:pPr>
          </w:p>
          <w:p w14:paraId="4E4F9327" w14:textId="77777777" w:rsidR="00F87883" w:rsidRPr="000D0A32" w:rsidRDefault="00F87883" w:rsidP="009712F5">
            <w:pPr>
              <w:ind w:left="142" w:right="-1"/>
              <w:jc w:val="both"/>
              <w:rPr>
                <w:rFonts w:cs="Arial"/>
                <w:color w:val="000000" w:themeColor="text1"/>
                <w:sz w:val="22"/>
                <w:szCs w:val="22"/>
              </w:rPr>
            </w:pPr>
          </w:p>
        </w:tc>
      </w:tr>
      <w:tr w:rsidR="00F87883" w:rsidRPr="000D0A32" w14:paraId="1D8BD99D" w14:textId="77777777" w:rsidTr="00CF57D9">
        <w:trPr>
          <w:trHeight w:val="572"/>
        </w:trPr>
        <w:tc>
          <w:tcPr>
            <w:tcW w:w="2981" w:type="dxa"/>
            <w:vAlign w:val="center"/>
          </w:tcPr>
          <w:p w14:paraId="208A304C"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706B96D1"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6A85CD81" w14:textId="77777777" w:rsidR="00F87883" w:rsidRPr="000D0A32" w:rsidRDefault="00F87883" w:rsidP="009712F5">
            <w:pPr>
              <w:ind w:left="142" w:right="-1"/>
              <w:jc w:val="both"/>
              <w:rPr>
                <w:rFonts w:cs="Arial"/>
                <w:color w:val="000000" w:themeColor="text1"/>
                <w:sz w:val="22"/>
                <w:szCs w:val="22"/>
              </w:rPr>
            </w:pPr>
          </w:p>
          <w:p w14:paraId="2A29B830" w14:textId="77777777" w:rsidR="00F87883" w:rsidRPr="000D0A32" w:rsidRDefault="00F87883" w:rsidP="009712F5">
            <w:pPr>
              <w:ind w:left="142" w:right="-1"/>
              <w:jc w:val="both"/>
              <w:rPr>
                <w:rFonts w:cs="Arial"/>
                <w:color w:val="000000" w:themeColor="text1"/>
                <w:sz w:val="22"/>
                <w:szCs w:val="22"/>
              </w:rPr>
            </w:pPr>
          </w:p>
        </w:tc>
      </w:tr>
      <w:tr w:rsidR="00F87883" w:rsidRPr="000D0A32" w14:paraId="787FCACD" w14:textId="77777777" w:rsidTr="00CF57D9">
        <w:trPr>
          <w:trHeight w:val="557"/>
        </w:trPr>
        <w:tc>
          <w:tcPr>
            <w:tcW w:w="2981" w:type="dxa"/>
            <w:vAlign w:val="center"/>
          </w:tcPr>
          <w:p w14:paraId="19281D27"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32F30EBA"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3188B9D5" w14:textId="77777777" w:rsidR="00F87883" w:rsidRPr="000D0A32" w:rsidRDefault="00F87883" w:rsidP="009712F5">
            <w:pPr>
              <w:ind w:left="142" w:right="-1"/>
              <w:jc w:val="both"/>
              <w:rPr>
                <w:rFonts w:cs="Arial"/>
                <w:color w:val="000000" w:themeColor="text1"/>
                <w:sz w:val="22"/>
                <w:szCs w:val="22"/>
              </w:rPr>
            </w:pPr>
          </w:p>
          <w:p w14:paraId="654DE60F" w14:textId="77777777" w:rsidR="00F87883" w:rsidRPr="000D0A32" w:rsidRDefault="00F87883" w:rsidP="009712F5">
            <w:pPr>
              <w:ind w:left="142" w:right="-1"/>
              <w:jc w:val="both"/>
              <w:rPr>
                <w:rFonts w:cs="Arial"/>
                <w:color w:val="000000" w:themeColor="text1"/>
                <w:sz w:val="22"/>
                <w:szCs w:val="22"/>
              </w:rPr>
            </w:pPr>
          </w:p>
        </w:tc>
      </w:tr>
      <w:tr w:rsidR="00F87883" w:rsidRPr="000D0A32" w14:paraId="36080E2B" w14:textId="77777777" w:rsidTr="00CF57D9">
        <w:trPr>
          <w:trHeight w:val="572"/>
        </w:trPr>
        <w:tc>
          <w:tcPr>
            <w:tcW w:w="2981" w:type="dxa"/>
            <w:tcBorders>
              <w:bottom w:val="single" w:sz="12" w:space="0" w:color="auto"/>
            </w:tcBorders>
            <w:vAlign w:val="center"/>
          </w:tcPr>
          <w:p w14:paraId="59941641" w14:textId="77777777" w:rsidR="00F87883" w:rsidRPr="000D0A32" w:rsidRDefault="00F87883" w:rsidP="009712F5">
            <w:pPr>
              <w:ind w:left="142"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0D0A32" w:rsidRDefault="00F87883" w:rsidP="009712F5">
            <w:pPr>
              <w:ind w:left="142"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0D0A32" w:rsidRDefault="00F87883" w:rsidP="009712F5">
            <w:pPr>
              <w:ind w:left="142" w:right="-1"/>
              <w:jc w:val="both"/>
              <w:rPr>
                <w:rFonts w:cs="Arial"/>
                <w:color w:val="000000" w:themeColor="text1"/>
                <w:sz w:val="22"/>
                <w:szCs w:val="22"/>
              </w:rPr>
            </w:pPr>
          </w:p>
          <w:p w14:paraId="20E96D05" w14:textId="77777777" w:rsidR="00F87883" w:rsidRPr="000D0A32" w:rsidRDefault="00F87883" w:rsidP="009712F5">
            <w:pPr>
              <w:ind w:left="142" w:right="-1"/>
              <w:jc w:val="both"/>
              <w:rPr>
                <w:rFonts w:cs="Arial"/>
                <w:color w:val="000000" w:themeColor="text1"/>
                <w:sz w:val="22"/>
                <w:szCs w:val="22"/>
              </w:rPr>
            </w:pPr>
          </w:p>
        </w:tc>
      </w:tr>
    </w:tbl>
    <w:p w14:paraId="6E1447AF" w14:textId="77777777" w:rsidR="00F87883" w:rsidRPr="000D0A32" w:rsidRDefault="00F87883" w:rsidP="009712F5">
      <w:pPr>
        <w:ind w:left="142" w:right="-1"/>
        <w:jc w:val="both"/>
        <w:rPr>
          <w:rFonts w:cs="Arial"/>
          <w:color w:val="000000" w:themeColor="text1"/>
          <w:sz w:val="22"/>
          <w:szCs w:val="22"/>
        </w:rPr>
      </w:pPr>
    </w:p>
    <w:p w14:paraId="1B0EEA08" w14:textId="77777777" w:rsidR="00F87883" w:rsidRPr="000D0A32" w:rsidRDefault="00F87883" w:rsidP="00CF57D9">
      <w:pPr>
        <w:ind w:right="-1"/>
        <w:jc w:val="both"/>
        <w:rPr>
          <w:color w:val="000000" w:themeColor="text1"/>
          <w:sz w:val="22"/>
          <w:szCs w:val="22"/>
        </w:rPr>
      </w:pPr>
      <w:r w:rsidRPr="000D0A32">
        <w:rPr>
          <w:color w:val="000000" w:themeColor="text1"/>
          <w:sz w:val="22"/>
          <w:szCs w:val="22"/>
        </w:rPr>
        <w:t xml:space="preserve">*) Mit seiner Unterschrift bestätigt der/die Teilnehmer/in, dass der Inhalt der Schulung verstanden wurde. </w:t>
      </w:r>
    </w:p>
    <w:p w14:paraId="2634E649" w14:textId="77777777" w:rsidR="00F87883" w:rsidRPr="000D0A32" w:rsidRDefault="00F87883" w:rsidP="00CF57D9">
      <w:pPr>
        <w:ind w:right="-1"/>
        <w:jc w:val="both"/>
        <w:rPr>
          <w:rFonts w:cs="Arial"/>
          <w:color w:val="000000" w:themeColor="text1"/>
          <w:sz w:val="22"/>
          <w:szCs w:val="22"/>
        </w:rPr>
      </w:pPr>
    </w:p>
    <w:p w14:paraId="6D67E25E" w14:textId="2548C6CB" w:rsidR="00B03014" w:rsidRDefault="00B03014" w:rsidP="00CF57D9">
      <w:pPr>
        <w:ind w:right="-1"/>
        <w:jc w:val="both"/>
        <w:rPr>
          <w:rFonts w:cs="Arial"/>
          <w:color w:val="000000" w:themeColor="text1"/>
          <w:sz w:val="22"/>
          <w:szCs w:val="22"/>
        </w:rPr>
      </w:pPr>
    </w:p>
    <w:p w14:paraId="78134312" w14:textId="5B6F4D7F" w:rsidR="00483536" w:rsidRDefault="00483536" w:rsidP="00CF57D9">
      <w:pPr>
        <w:ind w:right="-1"/>
        <w:jc w:val="both"/>
        <w:rPr>
          <w:rFonts w:cs="Arial"/>
          <w:color w:val="000000" w:themeColor="text1"/>
          <w:sz w:val="22"/>
          <w:szCs w:val="22"/>
        </w:rPr>
      </w:pPr>
    </w:p>
    <w:p w14:paraId="33BDC270" w14:textId="1B4C0E24" w:rsidR="00BA2038" w:rsidRPr="0078454C" w:rsidRDefault="00BA2038" w:rsidP="00BA2038">
      <w:pPr>
        <w:ind w:right="-144"/>
        <w:jc w:val="both"/>
        <w:rPr>
          <w:rFonts w:cs="Arial"/>
          <w:sz w:val="22"/>
          <w:szCs w:val="22"/>
        </w:rPr>
      </w:pPr>
      <w:r w:rsidRPr="0078454C">
        <w:rPr>
          <w:rFonts w:cs="Arial"/>
          <w:b/>
          <w:sz w:val="22"/>
          <w:szCs w:val="22"/>
        </w:rPr>
        <w:t xml:space="preserve">Ablauf: </w:t>
      </w:r>
      <w:r w:rsidRPr="0078454C">
        <w:rPr>
          <w:rFonts w:cs="Arial"/>
          <w:sz w:val="22"/>
          <w:szCs w:val="22"/>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sidR="0078454C">
        <w:rPr>
          <w:rFonts w:cs="Arial"/>
          <w:sz w:val="22"/>
          <w:szCs w:val="22"/>
        </w:rPr>
        <w:t xml:space="preserve"> </w:t>
      </w:r>
      <w:r w:rsidRPr="0078454C">
        <w:rPr>
          <w:rFonts w:cs="Arial"/>
          <w:sz w:val="22"/>
          <w:szCs w:val="22"/>
        </w:rPr>
        <w:t>Mitarbeiter, sondern auch die Leiharbeiter geschult werden.</w:t>
      </w:r>
    </w:p>
    <w:p w14:paraId="57FCEFE1" w14:textId="77777777" w:rsidR="00483536" w:rsidRPr="001D1C35" w:rsidRDefault="00483536" w:rsidP="00CF57D9">
      <w:pPr>
        <w:ind w:right="-1"/>
        <w:jc w:val="both"/>
        <w:rPr>
          <w:rFonts w:cs="Arial"/>
          <w:color w:val="000000" w:themeColor="text1"/>
          <w:sz w:val="22"/>
          <w:szCs w:val="22"/>
        </w:rPr>
      </w:pPr>
    </w:p>
    <w:sectPr w:rsidR="00483536" w:rsidRPr="001D1C35" w:rsidSect="000D0A32">
      <w:headerReference w:type="default" r:id="rId12"/>
      <w:footerReference w:type="default" r:id="rId13"/>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1EC8" w14:textId="77777777" w:rsidR="002B4233" w:rsidRDefault="002B4233">
      <w:r>
        <w:separator/>
      </w:r>
    </w:p>
  </w:endnote>
  <w:endnote w:type="continuationSeparator" w:id="0">
    <w:p w14:paraId="003C1674" w14:textId="77777777" w:rsidR="002B4233" w:rsidRDefault="002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3EE37C98" w:rsidR="000D3F83" w:rsidRPr="00FA3A35" w:rsidRDefault="00C83863" w:rsidP="00474259">
          <w:pPr>
            <w:pStyle w:val="Fuzeile"/>
            <w:ind w:right="-83"/>
            <w:rPr>
              <w:rFonts w:cs="Arial"/>
              <w:sz w:val="16"/>
              <w:szCs w:val="16"/>
            </w:rPr>
          </w:pPr>
          <w:r>
            <w:rPr>
              <w:rFonts w:cs="Arial"/>
              <w:sz w:val="16"/>
              <w:szCs w:val="16"/>
            </w:rPr>
            <w:t>1</w:t>
          </w:r>
        </w:p>
      </w:tc>
      <w:tc>
        <w:tcPr>
          <w:tcW w:w="1114" w:type="dxa"/>
          <w:vAlign w:val="center"/>
        </w:tcPr>
        <w:p w14:paraId="2DAFFE4B" w14:textId="1D4E3A55" w:rsidR="000D3F83" w:rsidRPr="00FA3A35" w:rsidRDefault="0045300B" w:rsidP="00474259">
          <w:pPr>
            <w:pStyle w:val="Fuzeile"/>
            <w:ind w:right="-83"/>
            <w:rPr>
              <w:rFonts w:cs="Arial"/>
              <w:sz w:val="16"/>
              <w:szCs w:val="16"/>
            </w:rPr>
          </w:pPr>
          <w:r>
            <w:rPr>
              <w:rFonts w:cs="Arial"/>
              <w:sz w:val="16"/>
              <w:szCs w:val="16"/>
            </w:rPr>
            <w:t>2</w:t>
          </w: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CD67CA">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CD67CA">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1346F0DA" w:rsidR="000D3F83" w:rsidRPr="00FA3A35" w:rsidRDefault="002058F1" w:rsidP="00474259">
          <w:pPr>
            <w:pStyle w:val="Fuzeile"/>
            <w:ind w:right="-83"/>
            <w:rPr>
              <w:rFonts w:cs="Arial"/>
              <w:sz w:val="16"/>
              <w:szCs w:val="16"/>
            </w:rPr>
          </w:pPr>
          <w:r>
            <w:rPr>
              <w:rFonts w:cs="Arial"/>
              <w:sz w:val="16"/>
              <w:szCs w:val="16"/>
            </w:rPr>
            <w:t>12</w:t>
          </w:r>
          <w:r w:rsidR="00FA3A35" w:rsidRPr="00FA3A35">
            <w:rPr>
              <w:rFonts w:cs="Arial"/>
              <w:sz w:val="16"/>
              <w:szCs w:val="16"/>
            </w:rPr>
            <w:t>.2017</w:t>
          </w:r>
        </w:p>
      </w:tc>
      <w:tc>
        <w:tcPr>
          <w:tcW w:w="1114" w:type="dxa"/>
          <w:vAlign w:val="center"/>
        </w:tcPr>
        <w:p w14:paraId="065DCDF1" w14:textId="0E7D45AB" w:rsidR="000D3F83" w:rsidRPr="00FA3A35" w:rsidRDefault="00C83863" w:rsidP="00474259">
          <w:pPr>
            <w:pStyle w:val="Fuzeile"/>
            <w:ind w:right="-83"/>
            <w:rPr>
              <w:rFonts w:cs="Arial"/>
              <w:sz w:val="16"/>
              <w:szCs w:val="16"/>
            </w:rPr>
          </w:pPr>
          <w:r>
            <w:rPr>
              <w:rFonts w:cs="Arial"/>
              <w:sz w:val="16"/>
              <w:szCs w:val="16"/>
            </w:rPr>
            <w:t>08.2019</w:t>
          </w:r>
        </w:p>
      </w:tc>
      <w:tc>
        <w:tcPr>
          <w:tcW w:w="1114" w:type="dxa"/>
          <w:vAlign w:val="center"/>
        </w:tcPr>
        <w:p w14:paraId="57B2387E" w14:textId="49300447" w:rsidR="000D3F83" w:rsidRPr="00FA3A35" w:rsidRDefault="0045300B" w:rsidP="00474259">
          <w:pPr>
            <w:pStyle w:val="Fuzeile"/>
            <w:ind w:right="-83"/>
            <w:rPr>
              <w:rFonts w:cs="Arial"/>
              <w:sz w:val="16"/>
              <w:szCs w:val="16"/>
            </w:rPr>
          </w:pPr>
          <w:r>
            <w:rPr>
              <w:rFonts w:cs="Arial"/>
              <w:sz w:val="16"/>
              <w:szCs w:val="16"/>
            </w:rPr>
            <w:t>05.2024</w:t>
          </w: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C83863" w:rsidRPr="00FA3A35" w14:paraId="02D8B56F" w14:textId="77777777" w:rsidTr="006618CF">
      <w:tc>
        <w:tcPr>
          <w:tcW w:w="1811" w:type="dxa"/>
          <w:vAlign w:val="center"/>
        </w:tcPr>
        <w:p w14:paraId="24599EFE" w14:textId="77777777" w:rsidR="00C83863" w:rsidRPr="00FA3A35" w:rsidRDefault="00C83863" w:rsidP="00C83863">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6E66531" w:rsidR="00C83863" w:rsidRPr="00FA3A35" w:rsidRDefault="00C83863" w:rsidP="00C83863">
          <w:pPr>
            <w:pStyle w:val="Fuzeile"/>
            <w:ind w:right="-83"/>
            <w:rPr>
              <w:rFonts w:cs="Arial"/>
              <w:sz w:val="15"/>
              <w:szCs w:val="16"/>
            </w:rPr>
          </w:pPr>
          <w:r w:rsidRPr="00FA3A35">
            <w:rPr>
              <w:rFonts w:cs="Arial"/>
              <w:sz w:val="15"/>
              <w:szCs w:val="16"/>
            </w:rPr>
            <w:t>R.O.E.GmbH</w:t>
          </w:r>
        </w:p>
      </w:tc>
      <w:tc>
        <w:tcPr>
          <w:tcW w:w="1114" w:type="dxa"/>
          <w:vAlign w:val="center"/>
        </w:tcPr>
        <w:p w14:paraId="1C8C710B" w14:textId="21E1C8E7" w:rsidR="00C83863" w:rsidRPr="00FA3A35" w:rsidRDefault="00C83863" w:rsidP="00C83863">
          <w:pPr>
            <w:pStyle w:val="Fuzeile"/>
            <w:ind w:right="-83"/>
            <w:rPr>
              <w:rFonts w:cs="Arial"/>
              <w:sz w:val="16"/>
              <w:szCs w:val="16"/>
            </w:rPr>
          </w:pPr>
          <w:r w:rsidRPr="00FA3A35">
            <w:rPr>
              <w:rFonts w:cs="Arial"/>
              <w:sz w:val="15"/>
              <w:szCs w:val="16"/>
            </w:rPr>
            <w:t>R.O.E.GmbH</w:t>
          </w:r>
        </w:p>
      </w:tc>
      <w:tc>
        <w:tcPr>
          <w:tcW w:w="1114" w:type="dxa"/>
          <w:vAlign w:val="center"/>
        </w:tcPr>
        <w:p w14:paraId="52D97B00" w14:textId="21DAABE2" w:rsidR="00C83863" w:rsidRPr="00FA3A35" w:rsidRDefault="0045300B" w:rsidP="00C83863">
          <w:pPr>
            <w:pStyle w:val="Fuzeile"/>
            <w:ind w:right="-83"/>
            <w:rPr>
              <w:rFonts w:cs="Arial"/>
              <w:sz w:val="16"/>
              <w:szCs w:val="16"/>
            </w:rPr>
          </w:pPr>
          <w:proofErr w:type="spellStart"/>
          <w:r w:rsidRPr="00FA3A35">
            <w:rPr>
              <w:rFonts w:cs="Arial"/>
              <w:sz w:val="15"/>
              <w:szCs w:val="16"/>
            </w:rPr>
            <w:t>R.O.E.GmbH</w:t>
          </w:r>
          <w:proofErr w:type="spellEnd"/>
        </w:p>
      </w:tc>
      <w:tc>
        <w:tcPr>
          <w:tcW w:w="1114" w:type="dxa"/>
          <w:vAlign w:val="center"/>
        </w:tcPr>
        <w:p w14:paraId="7C509E31" w14:textId="77777777" w:rsidR="00C83863" w:rsidRPr="00FA3A35" w:rsidRDefault="00C83863" w:rsidP="00C83863">
          <w:pPr>
            <w:pStyle w:val="Fuzeile"/>
            <w:ind w:right="-83"/>
            <w:rPr>
              <w:rFonts w:cs="Arial"/>
              <w:sz w:val="16"/>
              <w:szCs w:val="16"/>
            </w:rPr>
          </w:pPr>
        </w:p>
      </w:tc>
      <w:tc>
        <w:tcPr>
          <w:tcW w:w="1114" w:type="dxa"/>
          <w:vAlign w:val="center"/>
        </w:tcPr>
        <w:p w14:paraId="3BD1ACEC" w14:textId="77777777" w:rsidR="00C83863" w:rsidRPr="00FA3A35" w:rsidRDefault="00C83863" w:rsidP="00C83863">
          <w:pPr>
            <w:pStyle w:val="Fuzeile"/>
            <w:ind w:right="-83"/>
            <w:rPr>
              <w:rFonts w:cs="Arial"/>
              <w:sz w:val="16"/>
              <w:szCs w:val="16"/>
            </w:rPr>
          </w:pPr>
        </w:p>
      </w:tc>
      <w:tc>
        <w:tcPr>
          <w:tcW w:w="1114" w:type="dxa"/>
          <w:shd w:val="clear" w:color="auto" w:fill="auto"/>
          <w:vAlign w:val="center"/>
        </w:tcPr>
        <w:p w14:paraId="75E39B98" w14:textId="77777777" w:rsidR="00C83863" w:rsidRPr="00FA3A35" w:rsidRDefault="00C83863" w:rsidP="00C83863">
          <w:pPr>
            <w:pStyle w:val="Fuzeile"/>
            <w:ind w:right="-83"/>
            <w:rPr>
              <w:rFonts w:cs="Arial"/>
              <w:sz w:val="16"/>
              <w:szCs w:val="16"/>
            </w:rPr>
          </w:pPr>
        </w:p>
      </w:tc>
      <w:tc>
        <w:tcPr>
          <w:tcW w:w="1114" w:type="dxa"/>
          <w:vAlign w:val="center"/>
        </w:tcPr>
        <w:p w14:paraId="37D50976" w14:textId="77777777" w:rsidR="00C83863" w:rsidRPr="00FA3A35" w:rsidRDefault="00C83863" w:rsidP="00C83863">
          <w:pPr>
            <w:pStyle w:val="Fuzeile"/>
            <w:ind w:right="-83"/>
            <w:rPr>
              <w:rFonts w:cs="Arial"/>
              <w:sz w:val="16"/>
              <w:szCs w:val="16"/>
            </w:rPr>
          </w:pPr>
        </w:p>
      </w:tc>
    </w:tr>
    <w:tr w:rsidR="00C83863" w:rsidRPr="00FA3A35" w14:paraId="6F58E370" w14:textId="77777777" w:rsidTr="006618CF">
      <w:tc>
        <w:tcPr>
          <w:tcW w:w="1811" w:type="dxa"/>
          <w:vAlign w:val="center"/>
        </w:tcPr>
        <w:p w14:paraId="4EB51454" w14:textId="77777777" w:rsidR="00C83863" w:rsidRPr="00FA3A35" w:rsidRDefault="00C83863" w:rsidP="00C83863">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C83863" w:rsidRPr="00FA3A35" w:rsidRDefault="00C83863" w:rsidP="00C83863">
          <w:pPr>
            <w:pStyle w:val="Fuzeile"/>
            <w:ind w:right="-83"/>
            <w:rPr>
              <w:rFonts w:cs="Arial"/>
              <w:sz w:val="16"/>
              <w:szCs w:val="16"/>
            </w:rPr>
          </w:pPr>
        </w:p>
      </w:tc>
      <w:tc>
        <w:tcPr>
          <w:tcW w:w="1114" w:type="dxa"/>
          <w:vAlign w:val="center"/>
        </w:tcPr>
        <w:p w14:paraId="20B83D72" w14:textId="77777777" w:rsidR="00C83863" w:rsidRPr="00FA3A35" w:rsidRDefault="00C83863" w:rsidP="00C83863">
          <w:pPr>
            <w:pStyle w:val="Fuzeile"/>
            <w:ind w:right="-83"/>
            <w:rPr>
              <w:rFonts w:cs="Arial"/>
              <w:sz w:val="16"/>
              <w:szCs w:val="16"/>
            </w:rPr>
          </w:pPr>
        </w:p>
      </w:tc>
      <w:tc>
        <w:tcPr>
          <w:tcW w:w="1114" w:type="dxa"/>
          <w:vAlign w:val="center"/>
        </w:tcPr>
        <w:p w14:paraId="5719F735" w14:textId="77777777" w:rsidR="00C83863" w:rsidRPr="00FA3A35" w:rsidRDefault="00C83863" w:rsidP="00C83863">
          <w:pPr>
            <w:pStyle w:val="Fuzeile"/>
            <w:ind w:right="-83"/>
            <w:rPr>
              <w:rFonts w:cs="Arial"/>
              <w:sz w:val="16"/>
              <w:szCs w:val="16"/>
            </w:rPr>
          </w:pPr>
        </w:p>
      </w:tc>
      <w:tc>
        <w:tcPr>
          <w:tcW w:w="1114" w:type="dxa"/>
          <w:vAlign w:val="center"/>
        </w:tcPr>
        <w:p w14:paraId="1A2DA052" w14:textId="77777777" w:rsidR="00C83863" w:rsidRPr="00FA3A35" w:rsidRDefault="00C83863" w:rsidP="00C83863">
          <w:pPr>
            <w:pStyle w:val="Fuzeile"/>
            <w:ind w:right="-83"/>
            <w:rPr>
              <w:rFonts w:cs="Arial"/>
              <w:sz w:val="16"/>
              <w:szCs w:val="16"/>
            </w:rPr>
          </w:pPr>
        </w:p>
      </w:tc>
      <w:tc>
        <w:tcPr>
          <w:tcW w:w="1114" w:type="dxa"/>
          <w:vAlign w:val="center"/>
        </w:tcPr>
        <w:p w14:paraId="636C2B20" w14:textId="77777777" w:rsidR="00C83863" w:rsidRPr="00FA3A35" w:rsidRDefault="00C83863" w:rsidP="00C83863">
          <w:pPr>
            <w:pStyle w:val="Fuzeile"/>
            <w:ind w:right="-83"/>
            <w:rPr>
              <w:rFonts w:cs="Arial"/>
              <w:sz w:val="16"/>
              <w:szCs w:val="16"/>
            </w:rPr>
          </w:pPr>
        </w:p>
      </w:tc>
      <w:tc>
        <w:tcPr>
          <w:tcW w:w="1114" w:type="dxa"/>
          <w:shd w:val="clear" w:color="auto" w:fill="auto"/>
          <w:vAlign w:val="center"/>
        </w:tcPr>
        <w:p w14:paraId="47BF5373" w14:textId="77777777" w:rsidR="00C83863" w:rsidRPr="00FA3A35" w:rsidRDefault="00C83863" w:rsidP="00C83863">
          <w:pPr>
            <w:pStyle w:val="Fuzeile"/>
            <w:ind w:right="-83"/>
            <w:rPr>
              <w:rFonts w:cs="Arial"/>
              <w:sz w:val="16"/>
              <w:szCs w:val="16"/>
            </w:rPr>
          </w:pPr>
        </w:p>
      </w:tc>
      <w:tc>
        <w:tcPr>
          <w:tcW w:w="1114" w:type="dxa"/>
          <w:vAlign w:val="center"/>
        </w:tcPr>
        <w:p w14:paraId="11F1410A" w14:textId="77777777" w:rsidR="00C83863" w:rsidRPr="00FA3A35" w:rsidRDefault="00C83863" w:rsidP="00C83863">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A524" w14:textId="77777777" w:rsidR="002B4233" w:rsidRDefault="002B4233">
      <w:r>
        <w:separator/>
      </w:r>
    </w:p>
  </w:footnote>
  <w:footnote w:type="continuationSeparator" w:id="0">
    <w:p w14:paraId="1BDC203E" w14:textId="77777777" w:rsidR="002B4233" w:rsidRDefault="002B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226511D4" w:rsidR="000D3F83" w:rsidRPr="00A866DC" w:rsidRDefault="002723F9" w:rsidP="00784E2E">
          <w:pPr>
            <w:pStyle w:val="MittleresRaster21"/>
            <w:jc w:val="center"/>
            <w:rPr>
              <w:rFonts w:ascii="Arial" w:hAnsi="Arial" w:cs="Arial"/>
              <w:sz w:val="18"/>
            </w:rPr>
          </w:pPr>
          <w:r>
            <w:rPr>
              <w:rFonts w:ascii="Arial" w:hAnsi="Arial" w:cs="Arial"/>
              <w:noProof/>
              <w:sz w:val="18"/>
            </w:rPr>
            <w:drawing>
              <wp:inline distT="0" distB="0" distL="0" distR="0" wp14:anchorId="1A69C8EF" wp14:editId="7C3CF4D6">
                <wp:extent cx="704850" cy="627380"/>
                <wp:effectExtent l="0" t="0" r="0" b="127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850" cy="627380"/>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BC2EF4" w14:paraId="592200E8" w14:textId="77777777" w:rsidTr="006618CF">
      <w:trPr>
        <w:trHeight w:val="832"/>
      </w:trPr>
      <w:tc>
        <w:tcPr>
          <w:tcW w:w="2346" w:type="dxa"/>
          <w:vAlign w:val="center"/>
        </w:tcPr>
        <w:p w14:paraId="643B899D" w14:textId="4FBFBF7E" w:rsidR="000D3F83" w:rsidRPr="00BC2EF4" w:rsidRDefault="000D3F83" w:rsidP="00474259">
          <w:pPr>
            <w:jc w:val="center"/>
            <w:rPr>
              <w:rFonts w:cs="Arial"/>
            </w:rPr>
          </w:pPr>
          <w:r w:rsidRPr="00BC2EF4">
            <w:rPr>
              <w:rFonts w:cs="Arial"/>
              <w:b/>
            </w:rPr>
            <w:t>UW_KU_</w:t>
          </w:r>
          <w:r w:rsidR="002058F1">
            <w:rPr>
              <w:rFonts w:cs="Arial"/>
              <w:b/>
            </w:rPr>
            <w:t>10</w:t>
          </w:r>
        </w:p>
      </w:tc>
      <w:tc>
        <w:tcPr>
          <w:tcW w:w="5026" w:type="dxa"/>
          <w:vAlign w:val="center"/>
        </w:tcPr>
        <w:p w14:paraId="5B1B48B7" w14:textId="30FA2E5F" w:rsidR="000D3F83" w:rsidRPr="00BC2EF4" w:rsidRDefault="002058F1" w:rsidP="009606B2">
          <w:pPr>
            <w:jc w:val="center"/>
            <w:rPr>
              <w:rFonts w:cs="Arial"/>
              <w:sz w:val="28"/>
              <w:szCs w:val="28"/>
            </w:rPr>
          </w:pPr>
          <w:r>
            <w:rPr>
              <w:rFonts w:cs="Arial"/>
              <w:sz w:val="28"/>
              <w:szCs w:val="28"/>
            </w:rPr>
            <w:t>Brandschutz</w:t>
          </w:r>
        </w:p>
      </w:tc>
      <w:tc>
        <w:tcPr>
          <w:tcW w:w="2236"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97690"/>
    <w:multiLevelType w:val="hybridMultilevel"/>
    <w:tmpl w:val="BED6C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E7DA4"/>
    <w:multiLevelType w:val="hybridMultilevel"/>
    <w:tmpl w:val="830872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9847AA"/>
    <w:multiLevelType w:val="hybridMultilevel"/>
    <w:tmpl w:val="52A8708A"/>
    <w:lvl w:ilvl="0" w:tplc="73F4CCF4">
      <w:start w:val="1"/>
      <w:numFmt w:val="decimal"/>
      <w:lvlText w:val="%1."/>
      <w:lvlJc w:val="left"/>
      <w:pPr>
        <w:ind w:left="360" w:hanging="360"/>
      </w:pPr>
      <w:rPr>
        <w:rFonts w:hint="default"/>
      </w:rPr>
    </w:lvl>
    <w:lvl w:ilvl="1" w:tplc="C492B59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865AC6"/>
    <w:multiLevelType w:val="multilevel"/>
    <w:tmpl w:val="4C3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A13CC7"/>
    <w:multiLevelType w:val="hybridMultilevel"/>
    <w:tmpl w:val="AA5E7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3"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05665B"/>
    <w:multiLevelType w:val="hybridMultilevel"/>
    <w:tmpl w:val="0B006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6" w15:restartNumberingAfterBreak="0">
    <w:nsid w:val="1BEB2D63"/>
    <w:multiLevelType w:val="hybridMultilevel"/>
    <w:tmpl w:val="B0621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32413F"/>
    <w:multiLevelType w:val="hybridMultilevel"/>
    <w:tmpl w:val="B60EE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A65A73"/>
    <w:multiLevelType w:val="hybridMultilevel"/>
    <w:tmpl w:val="6518B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930C64"/>
    <w:multiLevelType w:val="hybridMultilevel"/>
    <w:tmpl w:val="A70E6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1F0067"/>
    <w:multiLevelType w:val="hybridMultilevel"/>
    <w:tmpl w:val="2264A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9670E61"/>
    <w:multiLevelType w:val="hybridMultilevel"/>
    <w:tmpl w:val="80FE0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A90290"/>
    <w:multiLevelType w:val="hybridMultilevel"/>
    <w:tmpl w:val="0F8A5E2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3" w15:restartNumberingAfterBreak="0">
    <w:nsid w:val="33E5218D"/>
    <w:multiLevelType w:val="hybridMultilevel"/>
    <w:tmpl w:val="4B0C671C"/>
    <w:lvl w:ilvl="0" w:tplc="3EA0E83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43648BB"/>
    <w:multiLevelType w:val="hybridMultilevel"/>
    <w:tmpl w:val="21DE9EDA"/>
    <w:lvl w:ilvl="0" w:tplc="AEA20D9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A37092B"/>
    <w:multiLevelType w:val="multilevel"/>
    <w:tmpl w:val="AE6CF2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0E6238"/>
    <w:multiLevelType w:val="hybridMultilevel"/>
    <w:tmpl w:val="9DDED1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6D68A6"/>
    <w:multiLevelType w:val="hybridMultilevel"/>
    <w:tmpl w:val="D8945AA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8"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44C15862"/>
    <w:multiLevelType w:val="hybridMultilevel"/>
    <w:tmpl w:val="FEBE5020"/>
    <w:lvl w:ilvl="0" w:tplc="04070001">
      <w:start w:val="1"/>
      <w:numFmt w:val="bullet"/>
      <w:lvlText w:val=""/>
      <w:lvlJc w:val="left"/>
      <w:pPr>
        <w:ind w:left="1080" w:hanging="360"/>
      </w:pPr>
      <w:rPr>
        <w:rFonts w:ascii="Symbol" w:hAnsi="Symbol" w:hint="default"/>
      </w:rPr>
    </w:lvl>
    <w:lvl w:ilvl="1" w:tplc="64069626">
      <w:start w:val="1"/>
      <w:numFmt w:val="bullet"/>
      <w:lvlText w:val="o"/>
      <w:lvlJc w:val="left"/>
      <w:pPr>
        <w:ind w:left="1800" w:hanging="360"/>
      </w:pPr>
      <w:rPr>
        <w:rFonts w:ascii="Symbol" w:hAnsi="Symbol" w:cs="Courier New" w:hint="default"/>
        <w:b w:val="0"/>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0" w15:restartNumberingAfterBreak="0">
    <w:nsid w:val="45F7620E"/>
    <w:multiLevelType w:val="hybridMultilevel"/>
    <w:tmpl w:val="F3DA7B6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70D1037"/>
    <w:multiLevelType w:val="hybridMultilevel"/>
    <w:tmpl w:val="82A6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8" w15:restartNumberingAfterBreak="0">
    <w:nsid w:val="686D65C2"/>
    <w:multiLevelType w:val="hybridMultilevel"/>
    <w:tmpl w:val="03DA399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9" w15:restartNumberingAfterBreak="0">
    <w:nsid w:val="6C820AAE"/>
    <w:multiLevelType w:val="hybridMultilevel"/>
    <w:tmpl w:val="D27C8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80323"/>
    <w:multiLevelType w:val="hybridMultilevel"/>
    <w:tmpl w:val="194C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CC3FC6"/>
    <w:multiLevelType w:val="multilevel"/>
    <w:tmpl w:val="6CC8A5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C715113"/>
    <w:multiLevelType w:val="hybridMultilevel"/>
    <w:tmpl w:val="4928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C42972"/>
    <w:multiLevelType w:val="hybridMultilevel"/>
    <w:tmpl w:val="62FA8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EA30038"/>
    <w:multiLevelType w:val="hybridMultilevel"/>
    <w:tmpl w:val="0F3CC10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16cid:durableId="1219166671">
    <w:abstractNumId w:val="10"/>
  </w:num>
  <w:num w:numId="2" w16cid:durableId="1347561215">
    <w:abstractNumId w:val="28"/>
  </w:num>
  <w:num w:numId="3" w16cid:durableId="220219043">
    <w:abstractNumId w:val="34"/>
  </w:num>
  <w:num w:numId="4" w16cid:durableId="1826779327">
    <w:abstractNumId w:val="15"/>
  </w:num>
  <w:num w:numId="5" w16cid:durableId="867914170">
    <w:abstractNumId w:val="37"/>
  </w:num>
  <w:num w:numId="6" w16cid:durableId="1329480074">
    <w:abstractNumId w:val="40"/>
  </w:num>
  <w:num w:numId="7" w16cid:durableId="2129231472">
    <w:abstractNumId w:val="8"/>
  </w:num>
  <w:num w:numId="8" w16cid:durableId="1948152615">
    <w:abstractNumId w:val="33"/>
  </w:num>
  <w:num w:numId="9" w16cid:durableId="813989447">
    <w:abstractNumId w:val="9"/>
  </w:num>
  <w:num w:numId="10" w16cid:durableId="685055897">
    <w:abstractNumId w:val="2"/>
  </w:num>
  <w:num w:numId="11" w16cid:durableId="2061395645">
    <w:abstractNumId w:val="7"/>
  </w:num>
  <w:num w:numId="12" w16cid:durableId="1645311545">
    <w:abstractNumId w:val="45"/>
  </w:num>
  <w:num w:numId="13" w16cid:durableId="169376991">
    <w:abstractNumId w:val="11"/>
  </w:num>
  <w:num w:numId="14" w16cid:durableId="933436420">
    <w:abstractNumId w:val="0"/>
  </w:num>
  <w:num w:numId="15" w16cid:durableId="1308782752">
    <w:abstractNumId w:val="43"/>
  </w:num>
  <w:num w:numId="16" w16cid:durableId="289478898">
    <w:abstractNumId w:val="35"/>
  </w:num>
  <w:num w:numId="17" w16cid:durableId="2115398602">
    <w:abstractNumId w:val="41"/>
  </w:num>
  <w:num w:numId="18" w16cid:durableId="1841041648">
    <w:abstractNumId w:val="31"/>
  </w:num>
  <w:num w:numId="19" w16cid:durableId="891578422">
    <w:abstractNumId w:val="47"/>
  </w:num>
  <w:num w:numId="20" w16cid:durableId="1958833712">
    <w:abstractNumId w:val="46"/>
  </w:num>
  <w:num w:numId="21" w16cid:durableId="68385930">
    <w:abstractNumId w:val="14"/>
  </w:num>
  <w:num w:numId="22" w16cid:durableId="1456093655">
    <w:abstractNumId w:val="23"/>
  </w:num>
  <w:num w:numId="23" w16cid:durableId="966204506">
    <w:abstractNumId w:val="24"/>
  </w:num>
  <w:num w:numId="24" w16cid:durableId="95640609">
    <w:abstractNumId w:val="29"/>
  </w:num>
  <w:num w:numId="25" w16cid:durableId="1670787652">
    <w:abstractNumId w:val="12"/>
  </w:num>
  <w:num w:numId="26" w16cid:durableId="121726639">
    <w:abstractNumId w:val="6"/>
  </w:num>
  <w:num w:numId="27" w16cid:durableId="771054391">
    <w:abstractNumId w:val="18"/>
  </w:num>
  <w:num w:numId="28" w16cid:durableId="1736049337">
    <w:abstractNumId w:val="42"/>
  </w:num>
  <w:num w:numId="29" w16cid:durableId="611320704">
    <w:abstractNumId w:val="1"/>
  </w:num>
  <w:num w:numId="30" w16cid:durableId="2011910800">
    <w:abstractNumId w:val="16"/>
  </w:num>
  <w:num w:numId="31" w16cid:durableId="1296989421">
    <w:abstractNumId w:val="4"/>
  </w:num>
  <w:num w:numId="32" w16cid:durableId="562763980">
    <w:abstractNumId w:val="19"/>
  </w:num>
  <w:num w:numId="33" w16cid:durableId="531039118">
    <w:abstractNumId w:val="20"/>
  </w:num>
  <w:num w:numId="34" w16cid:durableId="521357486">
    <w:abstractNumId w:val="38"/>
  </w:num>
  <w:num w:numId="35" w16cid:durableId="1436704854">
    <w:abstractNumId w:val="32"/>
  </w:num>
  <w:num w:numId="36" w16cid:durableId="1012803101">
    <w:abstractNumId w:val="5"/>
  </w:num>
  <w:num w:numId="37" w16cid:durableId="1030838981">
    <w:abstractNumId w:val="36"/>
  </w:num>
  <w:num w:numId="38" w16cid:durableId="1861164670">
    <w:abstractNumId w:val="13"/>
  </w:num>
  <w:num w:numId="39" w16cid:durableId="951088763">
    <w:abstractNumId w:val="27"/>
  </w:num>
  <w:num w:numId="40" w16cid:durableId="62922272">
    <w:abstractNumId w:val="48"/>
  </w:num>
  <w:num w:numId="41" w16cid:durableId="588125498">
    <w:abstractNumId w:val="26"/>
  </w:num>
  <w:num w:numId="42" w16cid:durableId="1895461776">
    <w:abstractNumId w:val="21"/>
  </w:num>
  <w:num w:numId="43" w16cid:durableId="838617472">
    <w:abstractNumId w:val="30"/>
  </w:num>
  <w:num w:numId="44" w16cid:durableId="689069801">
    <w:abstractNumId w:val="22"/>
  </w:num>
  <w:num w:numId="45" w16cid:durableId="724641193">
    <w:abstractNumId w:val="17"/>
  </w:num>
  <w:num w:numId="46" w16cid:durableId="5451989">
    <w:abstractNumId w:val="25"/>
  </w:num>
  <w:num w:numId="47" w16cid:durableId="1971126316">
    <w:abstractNumId w:val="44"/>
  </w:num>
  <w:num w:numId="48" w16cid:durableId="856890335">
    <w:abstractNumId w:val="39"/>
  </w:num>
  <w:num w:numId="49" w16cid:durableId="1490822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107851"/>
    <w:rsid w:val="00107FF1"/>
    <w:rsid w:val="001122B9"/>
    <w:rsid w:val="00116C94"/>
    <w:rsid w:val="00117926"/>
    <w:rsid w:val="00117AA2"/>
    <w:rsid w:val="0012300F"/>
    <w:rsid w:val="00127406"/>
    <w:rsid w:val="00127737"/>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67971"/>
    <w:rsid w:val="002723F9"/>
    <w:rsid w:val="002752FD"/>
    <w:rsid w:val="00283128"/>
    <w:rsid w:val="0028586B"/>
    <w:rsid w:val="00290A38"/>
    <w:rsid w:val="00292EF3"/>
    <w:rsid w:val="002A7BDE"/>
    <w:rsid w:val="002B4233"/>
    <w:rsid w:val="002B486C"/>
    <w:rsid w:val="002B5C14"/>
    <w:rsid w:val="002C311D"/>
    <w:rsid w:val="002C6960"/>
    <w:rsid w:val="002C7232"/>
    <w:rsid w:val="002D1D3A"/>
    <w:rsid w:val="002D36E6"/>
    <w:rsid w:val="002E0C47"/>
    <w:rsid w:val="002E1457"/>
    <w:rsid w:val="002E1591"/>
    <w:rsid w:val="002E71DE"/>
    <w:rsid w:val="002F04E7"/>
    <w:rsid w:val="002F2217"/>
    <w:rsid w:val="002F5C00"/>
    <w:rsid w:val="003001C2"/>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42C"/>
    <w:rsid w:val="0037026C"/>
    <w:rsid w:val="00381DA4"/>
    <w:rsid w:val="0038435E"/>
    <w:rsid w:val="00392DF9"/>
    <w:rsid w:val="00394D97"/>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46822"/>
    <w:rsid w:val="0045300B"/>
    <w:rsid w:val="00456569"/>
    <w:rsid w:val="00457F21"/>
    <w:rsid w:val="004628FC"/>
    <w:rsid w:val="004630E8"/>
    <w:rsid w:val="00467344"/>
    <w:rsid w:val="00473B28"/>
    <w:rsid w:val="00474259"/>
    <w:rsid w:val="00483536"/>
    <w:rsid w:val="004875F3"/>
    <w:rsid w:val="00491D35"/>
    <w:rsid w:val="00497325"/>
    <w:rsid w:val="004A1D63"/>
    <w:rsid w:val="004A3198"/>
    <w:rsid w:val="004A6B04"/>
    <w:rsid w:val="004B0FB2"/>
    <w:rsid w:val="004B6F6E"/>
    <w:rsid w:val="004C44CA"/>
    <w:rsid w:val="004D5C8D"/>
    <w:rsid w:val="004D7CFA"/>
    <w:rsid w:val="004E00DC"/>
    <w:rsid w:val="004E0A8F"/>
    <w:rsid w:val="004E37C1"/>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B7892"/>
    <w:rsid w:val="005C2CBA"/>
    <w:rsid w:val="005D6A3B"/>
    <w:rsid w:val="005D6FD5"/>
    <w:rsid w:val="005D7A8F"/>
    <w:rsid w:val="005E092B"/>
    <w:rsid w:val="005E0C09"/>
    <w:rsid w:val="005E2ED4"/>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26952"/>
    <w:rsid w:val="00743FCC"/>
    <w:rsid w:val="00746D1A"/>
    <w:rsid w:val="00752650"/>
    <w:rsid w:val="00754F27"/>
    <w:rsid w:val="00757336"/>
    <w:rsid w:val="00773149"/>
    <w:rsid w:val="00773E6E"/>
    <w:rsid w:val="00781915"/>
    <w:rsid w:val="00782F69"/>
    <w:rsid w:val="0078454C"/>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48A"/>
    <w:rsid w:val="007E3510"/>
    <w:rsid w:val="007E543B"/>
    <w:rsid w:val="007E6378"/>
    <w:rsid w:val="007F3BF2"/>
    <w:rsid w:val="007F4293"/>
    <w:rsid w:val="007F58E2"/>
    <w:rsid w:val="007F7A63"/>
    <w:rsid w:val="0080323B"/>
    <w:rsid w:val="008066E5"/>
    <w:rsid w:val="008118EF"/>
    <w:rsid w:val="008119DD"/>
    <w:rsid w:val="00811ED0"/>
    <w:rsid w:val="0081285D"/>
    <w:rsid w:val="00812D72"/>
    <w:rsid w:val="00822C58"/>
    <w:rsid w:val="00827614"/>
    <w:rsid w:val="008339DE"/>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63FED"/>
    <w:rsid w:val="00874BE6"/>
    <w:rsid w:val="00874C81"/>
    <w:rsid w:val="008760A6"/>
    <w:rsid w:val="008804B4"/>
    <w:rsid w:val="00882F9F"/>
    <w:rsid w:val="008856C2"/>
    <w:rsid w:val="008862EB"/>
    <w:rsid w:val="008873E3"/>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606B2"/>
    <w:rsid w:val="00966214"/>
    <w:rsid w:val="009705B2"/>
    <w:rsid w:val="009712F5"/>
    <w:rsid w:val="00974928"/>
    <w:rsid w:val="00977F63"/>
    <w:rsid w:val="009809F8"/>
    <w:rsid w:val="0099071E"/>
    <w:rsid w:val="0099151C"/>
    <w:rsid w:val="00994EEC"/>
    <w:rsid w:val="009964C6"/>
    <w:rsid w:val="00996AA4"/>
    <w:rsid w:val="009970F1"/>
    <w:rsid w:val="009A1EA9"/>
    <w:rsid w:val="009A37B2"/>
    <w:rsid w:val="009A3E8D"/>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A2038"/>
    <w:rsid w:val="00BB250E"/>
    <w:rsid w:val="00BB5B2B"/>
    <w:rsid w:val="00BC2EF4"/>
    <w:rsid w:val="00BC5E35"/>
    <w:rsid w:val="00BD06FE"/>
    <w:rsid w:val="00BE3C39"/>
    <w:rsid w:val="00BF1F48"/>
    <w:rsid w:val="00BF4E9B"/>
    <w:rsid w:val="00BF6448"/>
    <w:rsid w:val="00BF6CAD"/>
    <w:rsid w:val="00C02836"/>
    <w:rsid w:val="00C10E74"/>
    <w:rsid w:val="00C11825"/>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83863"/>
    <w:rsid w:val="00C90655"/>
    <w:rsid w:val="00C94250"/>
    <w:rsid w:val="00C97BCF"/>
    <w:rsid w:val="00CA1C65"/>
    <w:rsid w:val="00CA6B5A"/>
    <w:rsid w:val="00CA7579"/>
    <w:rsid w:val="00CB2536"/>
    <w:rsid w:val="00CC0B71"/>
    <w:rsid w:val="00CC2BF5"/>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CE5"/>
    <w:rsid w:val="00D52FF6"/>
    <w:rsid w:val="00D543A8"/>
    <w:rsid w:val="00D55457"/>
    <w:rsid w:val="00D62E1E"/>
    <w:rsid w:val="00D637E9"/>
    <w:rsid w:val="00D705B4"/>
    <w:rsid w:val="00D70AD7"/>
    <w:rsid w:val="00D7240E"/>
    <w:rsid w:val="00D809BC"/>
    <w:rsid w:val="00D81BBB"/>
    <w:rsid w:val="00D833F3"/>
    <w:rsid w:val="00D86C7E"/>
    <w:rsid w:val="00D916D1"/>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F0998"/>
    <w:rsid w:val="00E02744"/>
    <w:rsid w:val="00E1134E"/>
    <w:rsid w:val="00E14CAA"/>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15D01"/>
    <w:rsid w:val="00F31511"/>
    <w:rsid w:val="00F35089"/>
    <w:rsid w:val="00F36887"/>
    <w:rsid w:val="00F4058E"/>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5DF8"/>
    <w:rsid w:val="00F87883"/>
    <w:rsid w:val="00F909B4"/>
    <w:rsid w:val="00F90D14"/>
    <w:rsid w:val="00F95041"/>
    <w:rsid w:val="00F9646A"/>
    <w:rsid w:val="00FA1E6B"/>
    <w:rsid w:val="00FA3A35"/>
    <w:rsid w:val="00FB2963"/>
    <w:rsid w:val="00FB365C"/>
    <w:rsid w:val="00FB4B47"/>
    <w:rsid w:val="00FB7230"/>
    <w:rsid w:val="00FC099F"/>
    <w:rsid w:val="00FC1AFA"/>
    <w:rsid w:val="00FC2183"/>
    <w:rsid w:val="00FC623E"/>
    <w:rsid w:val="00FD30A0"/>
    <w:rsid w:val="00FD6667"/>
    <w:rsid w:val="00FE1344"/>
    <w:rsid w:val="00FE1D76"/>
    <w:rsid w:val="00FE68FA"/>
    <w:rsid w:val="00FE6ECC"/>
    <w:rsid w:val="00FE7894"/>
    <w:rsid w:val="00FF0F75"/>
    <w:rsid w:val="00FF25BD"/>
    <w:rsid w:val="00FF2A91"/>
    <w:rsid w:val="00FF4607"/>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99"/>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styleId="Kommentarzeichen">
    <w:name w:val="annotation reference"/>
    <w:basedOn w:val="Absatz-Standardschriftart"/>
    <w:uiPriority w:val="99"/>
    <w:semiHidden/>
    <w:unhideWhenUsed/>
    <w:rsid w:val="002C311D"/>
    <w:rPr>
      <w:sz w:val="16"/>
      <w:szCs w:val="16"/>
    </w:rPr>
  </w:style>
  <w:style w:type="paragraph" w:styleId="Kommentartext">
    <w:name w:val="annotation text"/>
    <w:basedOn w:val="Standard"/>
    <w:link w:val="KommentartextZchn"/>
    <w:uiPriority w:val="99"/>
    <w:semiHidden/>
    <w:unhideWhenUsed/>
    <w:rsid w:val="002C311D"/>
    <w:rPr>
      <w:sz w:val="20"/>
    </w:rPr>
  </w:style>
  <w:style w:type="character" w:customStyle="1" w:styleId="KommentartextZchn">
    <w:name w:val="Kommentartext Zchn"/>
    <w:basedOn w:val="Absatz-Standardschriftart"/>
    <w:link w:val="Kommentartext"/>
    <w:uiPriority w:val="99"/>
    <w:semiHidden/>
    <w:rsid w:val="002C311D"/>
    <w:rPr>
      <w:rFonts w:ascii="Arial" w:hAnsi="Arial"/>
    </w:rPr>
  </w:style>
  <w:style w:type="paragraph" w:styleId="Kommentarthema">
    <w:name w:val="annotation subject"/>
    <w:basedOn w:val="Kommentartext"/>
    <w:next w:val="Kommentartext"/>
    <w:link w:val="KommentarthemaZchn"/>
    <w:uiPriority w:val="99"/>
    <w:semiHidden/>
    <w:unhideWhenUsed/>
    <w:rsid w:val="002C311D"/>
    <w:rPr>
      <w:b/>
      <w:bCs/>
    </w:rPr>
  </w:style>
  <w:style w:type="character" w:customStyle="1" w:styleId="KommentarthemaZchn">
    <w:name w:val="Kommentarthema Zchn"/>
    <w:basedOn w:val="KommentartextZchn"/>
    <w:link w:val="Kommentarthema"/>
    <w:uiPriority w:val="99"/>
    <w:semiHidden/>
    <w:rsid w:val="002C311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unetzwissen.de/glossar/k/komplextrennwaende-317188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aunetzwissen.de/glossar/g/gebaeudeklasse-31507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3" ma:contentTypeDescription="Ein neues Dokument erstellen." ma:contentTypeScope="" ma:versionID="fb1aacbb343e139f81a62f5cee1a7ee2">
  <xsd:schema xmlns:xsd="http://www.w3.org/2001/XMLSchema" xmlns:xs="http://www.w3.org/2001/XMLSchema" xmlns:p="http://schemas.microsoft.com/office/2006/metadata/properties" xmlns:ns2="0ba9638b-9898-400c-aa80-e8ce42f10e4c" targetNamespace="http://schemas.microsoft.com/office/2006/metadata/properties" ma:root="true" ma:fieldsID="c7214df7a1aa4eee31b4ca82b7c38be4"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3E7FC-5332-4BD8-81E7-59578BF3973B}">
  <ds:schemaRefs>
    <ds:schemaRef ds:uri="http://schemas.microsoft.com/sharepoint/v3/contenttype/forms"/>
  </ds:schemaRefs>
</ds:datastoreItem>
</file>

<file path=customXml/itemProps2.xml><?xml version="1.0" encoding="utf-8"?>
<ds:datastoreItem xmlns:ds="http://schemas.openxmlformats.org/officeDocument/2006/customXml" ds:itemID="{D77FE31A-C780-4314-BB52-A1C89E65F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C555CE-2FFC-4C65-894A-2662AA9B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15501</Characters>
  <Application>Microsoft Office Word</Application>
  <DocSecurity>0</DocSecurity>
  <Lines>129</Lines>
  <Paragraphs>35</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Auswahl von Stromerzeugern </vt:lpstr>
      <vt:lpstr/>
      <vt:lpstr>Bauartnormen</vt:lpstr>
      <vt:lpstr/>
      <vt:lpstr>Die Schutzmaßnahem und Ausführungen gemäß DGUV-Information 203-032</vt:lpstr>
    </vt:vector>
  </TitlesOfParts>
  <Company>Axima GmbH</Company>
  <LinksUpToDate>false</LinksUpToDate>
  <CharactersWithSpaces>17926</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Réne Brünn</cp:lastModifiedBy>
  <cp:revision>11</cp:revision>
  <cp:lastPrinted>2016-03-18T13:13:00Z</cp:lastPrinted>
  <dcterms:created xsi:type="dcterms:W3CDTF">2019-09-05T12:43:00Z</dcterms:created>
  <dcterms:modified xsi:type="dcterms:W3CDTF">2024-06-12T12:20:00Z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784500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