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B57D" w14:textId="2F738A07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E6C3F">
        <w:t xml:space="preserve">In der Praxis werden </w:t>
      </w:r>
      <w:r>
        <w:t xml:space="preserve">Beschäftigte </w:t>
      </w:r>
      <w:r w:rsidRPr="00EE6C3F">
        <w:t>häufig mit dem Problem konfrontiert, dass sie ihre ortsveränderlichen elektrischen Betriebsmittel (z. B. Elektrowerkzeuge) an Steckdosen anschließen sollen/</w:t>
      </w:r>
      <w:r w:rsidR="00224161">
        <w:t xml:space="preserve"> </w:t>
      </w:r>
      <w:r w:rsidRPr="00EE6C3F">
        <w:t xml:space="preserve">müssen, deren Funktionssicherheit sie nicht überprüfen können. Fehlerhafte Elektroinstallationen (z. B. fehlender Schutzleiter oder Vertauschung von Schutzleiter und Außenleiter) sind in der Regel ohne vorherige </w:t>
      </w:r>
      <w:r>
        <w:t>Prüfung</w:t>
      </w:r>
      <w:r w:rsidRPr="00EE6C3F">
        <w:t xml:space="preserve"> nicht erkennbar und somit besonders gefährlich. Die DGUV Information 203-006 „Auswahl und Betrieb elektrischer Betriebsmittel auf Bau- und Montagestellen“ </w:t>
      </w:r>
      <w:r w:rsidRPr="005E4C21">
        <w:rPr>
          <w:color w:val="000000" w:themeColor="text1"/>
        </w:rPr>
        <w:t xml:space="preserve">geht unter dem </w:t>
      </w:r>
      <w:r w:rsidRPr="004F15E8">
        <w:rPr>
          <w:color w:val="000000" w:themeColor="text1"/>
        </w:rPr>
        <w:t xml:space="preserve">Punkt </w:t>
      </w:r>
      <w:r w:rsidR="00061966">
        <w:rPr>
          <w:color w:val="000000" w:themeColor="text1"/>
        </w:rPr>
        <w:t>5.4.1</w:t>
      </w:r>
      <w:r w:rsidRPr="004F15E8">
        <w:rPr>
          <w:color w:val="000000" w:themeColor="text1"/>
        </w:rPr>
        <w:t xml:space="preserve"> Steckdose</w:t>
      </w:r>
      <w:r w:rsidRPr="005E4C21">
        <w:rPr>
          <w:color w:val="000000" w:themeColor="text1"/>
        </w:rPr>
        <w:t xml:space="preserve"> mit unbekannter Schutzmaßnahme genau auf diese Thematik ein.</w:t>
      </w:r>
    </w:p>
    <w:p w14:paraId="033A50DC" w14:textId="77777777" w:rsidR="005E4C21" w:rsidRPr="00EE6C3F" w:rsidRDefault="005E4C21" w:rsidP="005E4C21">
      <w:pPr>
        <w:autoSpaceDE w:val="0"/>
        <w:autoSpaceDN w:val="0"/>
        <w:adjustRightInd w:val="0"/>
        <w:jc w:val="both"/>
      </w:pPr>
    </w:p>
    <w:p w14:paraId="0641BD01" w14:textId="18F2CA45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E6C3F">
        <w:t xml:space="preserve">Um Steckdosen einer Gebäudeinstallation mit unbekannter Schutzmaßnahme nutzen zu können, </w:t>
      </w:r>
      <w:r w:rsidRPr="005E4C21">
        <w:rPr>
          <w:color w:val="000000" w:themeColor="text1"/>
        </w:rPr>
        <w:t>ist ein zusätzlicher Schutz erforderlich</w:t>
      </w:r>
      <w:r w:rsidR="00282F1B">
        <w:rPr>
          <w:color w:val="000000" w:themeColor="text1"/>
        </w:rPr>
        <w:t>.</w:t>
      </w:r>
      <w:r w:rsidRPr="005E4C21">
        <w:rPr>
          <w:color w:val="000000" w:themeColor="text1"/>
        </w:rPr>
        <w:t xml:space="preserve"> </w:t>
      </w:r>
      <w:r w:rsidR="00282F1B">
        <w:rPr>
          <w:color w:val="000000" w:themeColor="text1"/>
        </w:rPr>
        <w:t>D</w:t>
      </w:r>
      <w:r w:rsidRPr="005E4C21">
        <w:rPr>
          <w:color w:val="000000" w:themeColor="text1"/>
        </w:rPr>
        <w:t>ieser kann durch eine ortsveränderliche Fehlerstrom-Schutzeinrichtung (</w:t>
      </w:r>
      <w:r w:rsidRPr="005E4C21">
        <w:rPr>
          <w:b/>
          <w:color w:val="000000" w:themeColor="text1"/>
        </w:rPr>
        <w:t>PRCD</w:t>
      </w:r>
      <w:r w:rsidRPr="005E4C21">
        <w:rPr>
          <w:color w:val="000000" w:themeColor="text1"/>
        </w:rPr>
        <w:t xml:space="preserve"> nach VDE 0661) mit nachfolgenden Anforderungen realisiert werden:</w:t>
      </w:r>
    </w:p>
    <w:p w14:paraId="22FC7342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 xml:space="preserve">Bemessungsdifferenzstrom </w:t>
      </w:r>
      <w:proofErr w:type="spellStart"/>
      <w:r w:rsidRPr="00EE6C3F">
        <w:t>I</w:t>
      </w:r>
      <w:r w:rsidRPr="00EE6C3F">
        <w:rPr>
          <w:vertAlign w:val="subscript"/>
        </w:rPr>
        <w:t>Δn</w:t>
      </w:r>
      <w:proofErr w:type="spellEnd"/>
      <w:r w:rsidRPr="00EE6C3F">
        <w:t xml:space="preserve"> ≤ 30 mA</w:t>
      </w:r>
    </w:p>
    <w:p w14:paraId="49DE5EAD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allpolig schaltend, einschließlich Schutzleiter</w:t>
      </w:r>
    </w:p>
    <w:p w14:paraId="72E2F96C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Unterspannungsauslösung</w:t>
      </w:r>
    </w:p>
    <w:p w14:paraId="088797A1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kein selbständiges Wiedereinschalten nach Spannungswiederkehr</w:t>
      </w:r>
    </w:p>
    <w:p w14:paraId="54D0A479" w14:textId="77777777" w:rsidR="005E4C21" w:rsidRDefault="005E4C21" w:rsidP="005E4C21">
      <w:pPr>
        <w:autoSpaceDE w:val="0"/>
        <w:autoSpaceDN w:val="0"/>
        <w:adjustRightInd w:val="0"/>
        <w:jc w:val="both"/>
        <w:rPr>
          <w:color w:val="0070C0"/>
        </w:rPr>
      </w:pPr>
    </w:p>
    <w:p w14:paraId="0DA15F1E" w14:textId="28CE7771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4C21">
        <w:rPr>
          <w:color w:val="000000" w:themeColor="text1"/>
        </w:rPr>
        <w:t>Außerdem muss die Schutzeinrichtung folgende ergänzende Funktionen aufweisen:</w:t>
      </w:r>
    </w:p>
    <w:p w14:paraId="02CAC20B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Die Schutzeinrichtung darf sich nicht einschalten lassen, wenn der Schutzleiter unterbrochen ist oder unter Spannung steht.</w:t>
      </w:r>
    </w:p>
    <w:p w14:paraId="3782BFB1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Wenn während des Betriebes Spannung auf dem Schutzleiter auftritt oder der Schutzleiter unterbrochen wird, muss die Schutzeinrichtung abschalten.</w:t>
      </w:r>
    </w:p>
    <w:p w14:paraId="2E00BCC6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Beim Auftreten von Fremdspannung auf dem Schutzleiter, z. B. durch Anbohren einer Leitung eines anderen Stromkreises, darf die Schutzeinrichtung den Schutzleiter nicht abschalten.</w:t>
      </w:r>
    </w:p>
    <w:p w14:paraId="6D56CFBE" w14:textId="77777777" w:rsidR="005E4C21" w:rsidRPr="00EE6C3F" w:rsidRDefault="005E4C21" w:rsidP="005E4C21">
      <w:pPr>
        <w:autoSpaceDE w:val="0"/>
        <w:autoSpaceDN w:val="0"/>
        <w:adjustRightInd w:val="0"/>
        <w:jc w:val="both"/>
      </w:pPr>
    </w:p>
    <w:p w14:paraId="016B8695" w14:textId="13C8F7AE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4C21">
        <w:rPr>
          <w:b/>
          <w:color w:val="000000" w:themeColor="text1"/>
        </w:rPr>
        <w:t xml:space="preserve">PRCD-S: </w:t>
      </w:r>
      <w:r w:rsidRPr="005E4C21">
        <w:rPr>
          <w:color w:val="000000" w:themeColor="text1"/>
        </w:rPr>
        <w:t>Allpolig schaltende, ortsveränderliche Differenzstromschutzeinrichtung mit elektronischer Fehlerstromauswertung (</w:t>
      </w:r>
      <w:r w:rsidRPr="005E4C21">
        <w:rPr>
          <w:b/>
          <w:color w:val="000000" w:themeColor="text1"/>
        </w:rPr>
        <w:t>PRCD</w:t>
      </w:r>
      <w:r w:rsidRPr="005E4C21">
        <w:rPr>
          <w:color w:val="000000" w:themeColor="text1"/>
        </w:rPr>
        <w:t xml:space="preserve"> = Portable Residual </w:t>
      </w:r>
      <w:proofErr w:type="spellStart"/>
      <w:r w:rsidRPr="005E4C21">
        <w:rPr>
          <w:color w:val="000000" w:themeColor="text1"/>
        </w:rPr>
        <w:t>Current</w:t>
      </w:r>
      <w:proofErr w:type="spellEnd"/>
      <w:r w:rsidRPr="005E4C21">
        <w:rPr>
          <w:color w:val="000000" w:themeColor="text1"/>
        </w:rPr>
        <w:t xml:space="preserve"> </w:t>
      </w:r>
      <w:proofErr w:type="spellStart"/>
      <w:r w:rsidRPr="005E4C21">
        <w:rPr>
          <w:color w:val="000000" w:themeColor="text1"/>
        </w:rPr>
        <w:t>Protective</w:t>
      </w:r>
      <w:proofErr w:type="spellEnd"/>
      <w:r w:rsidRPr="005E4C21">
        <w:rPr>
          <w:color w:val="000000" w:themeColor="text1"/>
        </w:rPr>
        <w:t xml:space="preserve"> Device; </w:t>
      </w:r>
      <w:r w:rsidRPr="005E4C21">
        <w:rPr>
          <w:b/>
          <w:color w:val="000000" w:themeColor="text1"/>
        </w:rPr>
        <w:t>S</w:t>
      </w:r>
      <w:r w:rsidRPr="005E4C21">
        <w:rPr>
          <w:color w:val="000000" w:themeColor="text1"/>
        </w:rPr>
        <w:t xml:space="preserve"> = </w:t>
      </w:r>
      <w:proofErr w:type="spellStart"/>
      <w:r w:rsidRPr="005E4C21">
        <w:rPr>
          <w:color w:val="000000" w:themeColor="text1"/>
        </w:rPr>
        <w:t>Safety</w:t>
      </w:r>
      <w:proofErr w:type="spellEnd"/>
      <w:r w:rsidRPr="005E4C21">
        <w:rPr>
          <w:color w:val="000000" w:themeColor="text1"/>
        </w:rPr>
        <w:t>), für Wechsel-, pulsierende Gleich- und phasenangeschnittene Nennfehlerströme 10 mA und 30 mA. Diese verfügen über:</w:t>
      </w:r>
    </w:p>
    <w:p w14:paraId="1516A6D9" w14:textId="77777777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allpolige Abschaltung</w:t>
      </w:r>
    </w:p>
    <w:p w14:paraId="210B8676" w14:textId="77777777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Fremdspannungserkennung</w:t>
      </w:r>
    </w:p>
    <w:p w14:paraId="5232219D" w14:textId="77777777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Schutzleiterüberwachung und -erkennung</w:t>
      </w:r>
    </w:p>
    <w:p w14:paraId="684063D4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Unterspannungsauslösung</w:t>
      </w:r>
    </w:p>
    <w:p w14:paraId="0942B1CE" w14:textId="77777777" w:rsidR="005E4C21" w:rsidRPr="00EE6C3F" w:rsidRDefault="005E4C21" w:rsidP="005E4C21">
      <w:pPr>
        <w:autoSpaceDE w:val="0"/>
        <w:autoSpaceDN w:val="0"/>
        <w:adjustRightInd w:val="0"/>
        <w:jc w:val="both"/>
      </w:pPr>
      <w:r w:rsidRPr="00EE6C3F">
        <w:tab/>
      </w:r>
    </w:p>
    <w:p w14:paraId="1F3F1C83" w14:textId="3546796E" w:rsidR="005E4C21" w:rsidRPr="005E4C21" w:rsidRDefault="005E4C21" w:rsidP="005E4C21">
      <w:pPr>
        <w:autoSpaceDE w:val="0"/>
        <w:autoSpaceDN w:val="0"/>
        <w:adjustRightInd w:val="0"/>
        <w:jc w:val="both"/>
        <w:rPr>
          <w:b/>
          <w:color w:val="000000" w:themeColor="text1"/>
          <w:vertAlign w:val="superscript"/>
        </w:rPr>
      </w:pPr>
      <w:r w:rsidRPr="005E4C21">
        <w:rPr>
          <w:b/>
          <w:color w:val="000000" w:themeColor="text1"/>
        </w:rPr>
        <w:t>PRCD-S</w:t>
      </w:r>
      <w:r w:rsidRPr="005E4C21">
        <w:rPr>
          <w:b/>
          <w:color w:val="000000" w:themeColor="text1"/>
          <w:vertAlign w:val="superscript"/>
        </w:rPr>
        <w:t>+</w:t>
      </w:r>
      <w:r w:rsidRPr="005E4C21">
        <w:rPr>
          <w:b/>
          <w:color w:val="000000" w:themeColor="text1"/>
        </w:rPr>
        <w:t>:</w:t>
      </w:r>
      <w:r w:rsidRPr="005E4C21">
        <w:rPr>
          <w:b/>
          <w:color w:val="000000" w:themeColor="text1"/>
          <w:vertAlign w:val="superscript"/>
        </w:rPr>
        <w:t xml:space="preserve"> </w:t>
      </w:r>
      <w:r w:rsidRPr="005E4C21">
        <w:rPr>
          <w:color w:val="000000" w:themeColor="text1"/>
        </w:rPr>
        <w:t xml:space="preserve">Im Falle eines Fehlers werden L- und N-Leiter unterbrochen, zur erhöhten Sicherheit bleibt davon unabhängig der Schutzleiterkontakt bis zur Quittierung des Fehlers geschlossen. Bei jedem Einschaltvorgang erfolgt eine Routineüberprüfung, </w:t>
      </w:r>
      <w:r w:rsidR="00282F1B">
        <w:rPr>
          <w:color w:val="000000" w:themeColor="text1"/>
        </w:rPr>
        <w:t>die</w:t>
      </w:r>
      <w:r w:rsidR="00282F1B" w:rsidRPr="005E4C21">
        <w:rPr>
          <w:color w:val="000000" w:themeColor="text1"/>
        </w:rPr>
        <w:t xml:space="preserve"> </w:t>
      </w:r>
      <w:r w:rsidRPr="005E4C21">
        <w:rPr>
          <w:color w:val="000000" w:themeColor="text1"/>
        </w:rPr>
        <w:t>den einwandfreien Zustand der Steckdose überprüft. Der Schutzleiterkreis (PE) wird voreilend ein- und nacheilend ausgeschaltet.</w:t>
      </w:r>
      <w:r>
        <w:rPr>
          <w:color w:val="000000" w:themeColor="text1"/>
        </w:rPr>
        <w:t xml:space="preserve"> </w:t>
      </w:r>
      <w:r w:rsidRPr="005E4C21">
        <w:rPr>
          <w:color w:val="000000" w:themeColor="text1"/>
        </w:rPr>
        <w:t>Der PRCD-S+ erkennt und schützt in folgenden Fehlerfällen:</w:t>
      </w:r>
    </w:p>
    <w:p w14:paraId="53359020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 xml:space="preserve">N-Leiter Unterbrechung </w:t>
      </w:r>
    </w:p>
    <w:p w14:paraId="48E700DA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 xml:space="preserve">Fremdspannung auf PE-Leiter </w:t>
      </w:r>
    </w:p>
    <w:p w14:paraId="6118943E" w14:textId="77777777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Überspannung</w:t>
      </w:r>
    </w:p>
    <w:p w14:paraId="06FC01B1" w14:textId="77777777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Verdrahtungsfehler (L und PE-Leiter vertauscht)</w:t>
      </w:r>
    </w:p>
    <w:p w14:paraId="0CD99DC0" w14:textId="77777777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PE-Leiter Unterbrechung</w:t>
      </w:r>
    </w:p>
    <w:p w14:paraId="138575F1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Unterspannung oder Spannungsausfall</w:t>
      </w:r>
    </w:p>
    <w:p w14:paraId="60F6C858" w14:textId="7E82EE4E" w:rsidR="005E4C21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Fehlströme mit Bemessungswert von 30 mA bzw. 10 mA</w:t>
      </w:r>
    </w:p>
    <w:p w14:paraId="7FFD1646" w14:textId="77777777" w:rsidR="00061966" w:rsidRDefault="00061966" w:rsidP="00061966">
      <w:pPr>
        <w:pStyle w:val="Listenabsatz"/>
        <w:autoSpaceDE w:val="0"/>
        <w:autoSpaceDN w:val="0"/>
        <w:adjustRightInd w:val="0"/>
        <w:spacing w:after="0"/>
        <w:ind w:left="426"/>
        <w:jc w:val="both"/>
      </w:pPr>
    </w:p>
    <w:p w14:paraId="3BFE68CC" w14:textId="77777777" w:rsidR="00282F1B" w:rsidRPr="00EE6C3F" w:rsidRDefault="00282F1B" w:rsidP="004F15E8">
      <w:pPr>
        <w:autoSpaceDE w:val="0"/>
        <w:autoSpaceDN w:val="0"/>
        <w:adjustRightInd w:val="0"/>
        <w:spacing w:after="0"/>
        <w:ind w:left="66"/>
        <w:jc w:val="both"/>
      </w:pPr>
    </w:p>
    <w:p w14:paraId="5CEF1489" w14:textId="72B43293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4C21">
        <w:rPr>
          <w:b/>
          <w:color w:val="000000" w:themeColor="text1"/>
        </w:rPr>
        <w:lastRenderedPageBreak/>
        <w:t xml:space="preserve">PRCD-S pro: </w:t>
      </w:r>
      <w:r w:rsidRPr="005E4C21">
        <w:rPr>
          <w:color w:val="000000" w:themeColor="text1"/>
        </w:rPr>
        <w:t>Auch hier werden im Falle eines Fehlers L- und N-Leiter unterbrochen und zur erhöhten Sicherheit bleibt davon unabhängig der Schutzleiterkontakt bis zur Quittierung des Fehlers geschlossen. Aufgrund der eingesetzten Elektronik macht es für den PRCD-S pro keinen Unterschied, ob die Anwender Handschuhe tragen oder nicht, ein fehlerfreies Einschalten ist immer und unter allen Einsatzbedingungen möglich. Neben den in der DGUV Information 203-006 geforderten Eigenschaften bietet der PRCD-S pro</w:t>
      </w:r>
      <w:r w:rsidR="00282F1B">
        <w:rPr>
          <w:color w:val="000000" w:themeColor="text1"/>
        </w:rPr>
        <w:t xml:space="preserve"> folgende zusätzliche Eigenschaften</w:t>
      </w:r>
      <w:r w:rsidRPr="005E4C21">
        <w:rPr>
          <w:color w:val="000000" w:themeColor="text1"/>
        </w:rPr>
        <w:t xml:space="preserve">: </w:t>
      </w:r>
    </w:p>
    <w:p w14:paraId="5AF3B87D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Einschalten nur möglich, wenn Widerstand des Schutzleiters &lt; 1 kΩ</w:t>
      </w:r>
    </w:p>
    <w:p w14:paraId="52F982C1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Erkennung von glatten Gleichfehlerströmen &gt; 6 mA</w:t>
      </w:r>
    </w:p>
    <w:p w14:paraId="4919FCCE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Fehlerfreies Einschalten auch mit Handschuhen</w:t>
      </w:r>
    </w:p>
    <w:p w14:paraId="05044AC0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Eindeutige Anzeige des Gerätestatus und möglicher Fehler über integrierte LED</w:t>
      </w:r>
    </w:p>
    <w:p w14:paraId="10B4480C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Funktionstest des Fehlerstromkreises bei jedem Anschluss an die Steckdose und alle 2 Betriebsstunden</w:t>
      </w:r>
    </w:p>
    <w:p w14:paraId="6F3CB2D9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Relaiskontaktprüfung bei jedem Ein- und Ausschaltvorgang</w:t>
      </w:r>
    </w:p>
    <w:p w14:paraId="06A61B68" w14:textId="77777777" w:rsidR="005E4C21" w:rsidRPr="00EE6C3F" w:rsidRDefault="005E4C21" w:rsidP="005E4C2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</w:pPr>
      <w:r w:rsidRPr="00EE6C3F">
        <w:t>Überwachung des Widerstands des Schutzleiters</w:t>
      </w:r>
    </w:p>
    <w:p w14:paraId="2D761FE7" w14:textId="77777777" w:rsidR="005E4C21" w:rsidRDefault="005E4C21" w:rsidP="005E4C21">
      <w:pPr>
        <w:jc w:val="both"/>
      </w:pPr>
    </w:p>
    <w:p w14:paraId="27B2A075" w14:textId="77777777" w:rsidR="005E4C21" w:rsidRPr="005E4C21" w:rsidRDefault="005E4C21" w:rsidP="005E4C21">
      <w:pPr>
        <w:jc w:val="both"/>
        <w:rPr>
          <w:color w:val="000000" w:themeColor="text1"/>
        </w:rPr>
      </w:pPr>
      <w:r w:rsidRPr="005E4C21">
        <w:rPr>
          <w:color w:val="000000" w:themeColor="text1"/>
        </w:rPr>
        <w:t>Nachfolgend eine Übersicht bzw. ein Vergleich der verschiedenen PRCD-S-Typen:</w:t>
      </w:r>
    </w:p>
    <w:p w14:paraId="0AC2838C" w14:textId="77777777" w:rsidR="005E4C21" w:rsidRPr="00EE6C3F" w:rsidRDefault="005E4C21" w:rsidP="005E4C21">
      <w:pPr>
        <w:autoSpaceDE w:val="0"/>
        <w:autoSpaceDN w:val="0"/>
        <w:adjustRightInd w:val="0"/>
        <w:jc w:val="both"/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3345"/>
        <w:gridCol w:w="2041"/>
        <w:gridCol w:w="2041"/>
        <w:gridCol w:w="2041"/>
      </w:tblGrid>
      <w:tr w:rsidR="005E4C21" w:rsidRPr="00EE6C3F" w14:paraId="215B6EFB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D3992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67A38" w14:textId="77777777" w:rsidR="005E4C21" w:rsidRPr="00EE6C3F" w:rsidRDefault="005E4C21" w:rsidP="007A09DB">
            <w:pPr>
              <w:autoSpaceDE w:val="0"/>
              <w:autoSpaceDN w:val="0"/>
              <w:adjustRightInd w:val="0"/>
              <w:rPr>
                <w:b/>
              </w:rPr>
            </w:pPr>
            <w:r w:rsidRPr="00EE6C3F">
              <w:rPr>
                <w:b/>
              </w:rPr>
              <w:t>PRCD-S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1B8A90" w14:textId="77777777" w:rsidR="005E4C21" w:rsidRPr="00EE6C3F" w:rsidRDefault="005E4C21" w:rsidP="007A09DB">
            <w:pPr>
              <w:autoSpaceDE w:val="0"/>
              <w:autoSpaceDN w:val="0"/>
              <w:adjustRightInd w:val="0"/>
              <w:rPr>
                <w:b/>
              </w:rPr>
            </w:pPr>
            <w:r w:rsidRPr="00EE6C3F">
              <w:rPr>
                <w:b/>
              </w:rPr>
              <w:t>PRCD-S</w:t>
            </w:r>
            <w:r w:rsidRPr="00EE6C3F">
              <w:rPr>
                <w:b/>
                <w:vertAlign w:val="superscript"/>
              </w:rPr>
              <w:t>+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F9672" w14:textId="77777777" w:rsidR="005E4C21" w:rsidRPr="00EE6C3F" w:rsidRDefault="005E4C21" w:rsidP="007A09DB">
            <w:pPr>
              <w:autoSpaceDE w:val="0"/>
              <w:autoSpaceDN w:val="0"/>
              <w:adjustRightInd w:val="0"/>
              <w:rPr>
                <w:b/>
              </w:rPr>
            </w:pPr>
            <w:r w:rsidRPr="00EE6C3F">
              <w:rPr>
                <w:b/>
              </w:rPr>
              <w:t>PRCD-S pro</w:t>
            </w:r>
          </w:p>
        </w:tc>
      </w:tr>
      <w:tr w:rsidR="005E4C21" w:rsidRPr="00EE6C3F" w14:paraId="2799D908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D454F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>Nennfehlerstrom AC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565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10 mA, 30 mA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5A88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10 mA, 30 mA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141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10 mA, 30 mA</w:t>
            </w:r>
          </w:p>
        </w:tc>
      </w:tr>
      <w:tr w:rsidR="005E4C21" w:rsidRPr="00EE6C3F" w14:paraId="2F0CCCA4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7C725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>Nennfehlerstrom DC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BBF9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7A8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A45A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6 mA</w:t>
            </w:r>
          </w:p>
        </w:tc>
      </w:tr>
      <w:tr w:rsidR="005E4C21" w:rsidRPr="00EE6C3F" w14:paraId="43496A2B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36F0C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>Schutzart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CD11" w14:textId="4DD5ECC9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IP</w:t>
            </w:r>
            <w:r w:rsidR="00061966">
              <w:t xml:space="preserve"> 54 oder IP</w:t>
            </w:r>
            <w:r w:rsidRPr="00EE6C3F">
              <w:t xml:space="preserve"> 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D75F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IP 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3B51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IP 44, IP 55, IP 68</w:t>
            </w:r>
          </w:p>
        </w:tc>
      </w:tr>
      <w:tr w:rsidR="005E4C21" w:rsidRPr="00EE6C3F" w14:paraId="71263877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AC1FE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>Unterspannungsauslösung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D53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354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5FC0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</w:tr>
      <w:tr w:rsidR="005E4C21" w:rsidRPr="00EE6C3F" w14:paraId="13EFCFE3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126C3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>PE-Erkennung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F8A8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B80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882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</w:tr>
      <w:tr w:rsidR="005E4C21" w:rsidRPr="00EE6C3F" w14:paraId="369CF4F1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6F4D4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 xml:space="preserve">Bestimmung PE-Qualität </w:t>
            </w:r>
            <w:r w:rsidRPr="00EE6C3F">
              <w:rPr>
                <w:b/>
              </w:rPr>
              <w:br/>
              <w:t xml:space="preserve">(&lt; 1 </w:t>
            </w:r>
            <w:proofErr w:type="spellStart"/>
            <w:r w:rsidRPr="00EE6C3F">
              <w:rPr>
                <w:b/>
              </w:rPr>
              <w:t>kOhm</w:t>
            </w:r>
            <w:proofErr w:type="spellEnd"/>
            <w:r w:rsidRPr="00EE6C3F">
              <w:rPr>
                <w:b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6028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8AD0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4D1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</w:tr>
      <w:tr w:rsidR="005E4C21" w:rsidRPr="00EE6C3F" w14:paraId="008DECF5" w14:textId="77777777" w:rsidTr="007A09DB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6D922D" w14:textId="77777777" w:rsidR="005E4C21" w:rsidRPr="00EE6C3F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E6C3F">
              <w:rPr>
                <w:b/>
              </w:rPr>
              <w:t>Erkennung von glatten Gleichfehlerströmen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CE9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81D7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B9D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</w:tr>
      <w:tr w:rsidR="005E4C21" w:rsidRPr="00EE6C3F" w14:paraId="67AC9F5F" w14:textId="77777777" w:rsidTr="007A09DB">
        <w:trPr>
          <w:trHeight w:val="56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81B17" w14:textId="77777777" w:rsidR="005E4C21" w:rsidRPr="005E4C21" w:rsidRDefault="005E4C21" w:rsidP="007A09D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</w:rPr>
            </w:pPr>
            <w:r w:rsidRPr="005E4C21">
              <w:rPr>
                <w:b/>
                <w:color w:val="000000" w:themeColor="text1"/>
              </w:rPr>
              <w:t xml:space="preserve">Fehlerfreies Einschalten </w:t>
            </w:r>
            <w:r w:rsidRPr="005E4C21">
              <w:rPr>
                <w:b/>
                <w:color w:val="000000" w:themeColor="text1"/>
                <w:u w:val="single"/>
              </w:rPr>
              <w:t>mit</w:t>
            </w:r>
            <w:r w:rsidRPr="005E4C21">
              <w:rPr>
                <w:b/>
                <w:color w:val="000000" w:themeColor="text1"/>
              </w:rPr>
              <w:t xml:space="preserve"> Handschuhen möglich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2204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BE87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Nein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4166" w14:textId="77777777" w:rsidR="005E4C21" w:rsidRPr="00EE6C3F" w:rsidRDefault="005E4C21" w:rsidP="007A09DB">
            <w:pPr>
              <w:autoSpaceDE w:val="0"/>
              <w:autoSpaceDN w:val="0"/>
              <w:adjustRightInd w:val="0"/>
            </w:pPr>
            <w:r w:rsidRPr="00EE6C3F">
              <w:t>Ja</w:t>
            </w:r>
          </w:p>
        </w:tc>
      </w:tr>
    </w:tbl>
    <w:p w14:paraId="779EC420" w14:textId="77777777" w:rsidR="005E4C21" w:rsidRPr="00EE6C3F" w:rsidRDefault="005E4C21" w:rsidP="005E4C21">
      <w:pPr>
        <w:autoSpaceDE w:val="0"/>
        <w:autoSpaceDN w:val="0"/>
        <w:adjustRightInd w:val="0"/>
        <w:jc w:val="both"/>
      </w:pPr>
    </w:p>
    <w:p w14:paraId="20D6EB13" w14:textId="77777777" w:rsidR="005E4C21" w:rsidRPr="00EE6C3F" w:rsidRDefault="005E4C21" w:rsidP="005E4C21">
      <w:pPr>
        <w:autoSpaceDE w:val="0"/>
        <w:autoSpaceDN w:val="0"/>
        <w:adjustRightInd w:val="0"/>
        <w:jc w:val="both"/>
        <w:rPr>
          <w:b/>
        </w:rPr>
      </w:pPr>
      <w:r w:rsidRPr="00EE6C3F">
        <w:rPr>
          <w:b/>
        </w:rPr>
        <w:t>Kennzeichnung</w:t>
      </w:r>
    </w:p>
    <w:p w14:paraId="7004FDA8" w14:textId="0CCC0169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4C21">
        <w:rPr>
          <w:color w:val="000000" w:themeColor="text1"/>
        </w:rPr>
        <w:t>Um den korrekten und somit sicheren Umgang mit dem PRCD-S und dem PRCD-S</w:t>
      </w:r>
      <w:r w:rsidRPr="005E4C21">
        <w:rPr>
          <w:color w:val="000000" w:themeColor="text1"/>
          <w:vertAlign w:val="superscript"/>
        </w:rPr>
        <w:t>+</w:t>
      </w:r>
      <w:r w:rsidRPr="005E4C21">
        <w:rPr>
          <w:color w:val="000000" w:themeColor="text1"/>
        </w:rPr>
        <w:t xml:space="preserve"> sicherzustellen, empfiehlt es sich</w:t>
      </w:r>
      <w:r w:rsidR="00282F1B">
        <w:rPr>
          <w:color w:val="000000" w:themeColor="text1"/>
        </w:rPr>
        <w:t>,</w:t>
      </w:r>
      <w:r w:rsidRPr="005E4C21">
        <w:rPr>
          <w:color w:val="000000" w:themeColor="text1"/>
        </w:rPr>
        <w:t xml:space="preserve"> eine entsprechende Information am Schaltgerät anzubringen</w:t>
      </w:r>
      <w:r w:rsidR="00282F1B">
        <w:rPr>
          <w:color w:val="000000" w:themeColor="text1"/>
        </w:rPr>
        <w:t>.</w:t>
      </w:r>
    </w:p>
    <w:p w14:paraId="0A841A5C" w14:textId="77777777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8F3E682" w14:textId="77777777" w:rsidR="005E4C21" w:rsidRPr="005E4C21" w:rsidRDefault="005E4C21" w:rsidP="005E4C21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E4C21">
        <w:rPr>
          <w:b/>
          <w:color w:val="000000" w:themeColor="text1"/>
        </w:rPr>
        <w:t>Prüfung</w:t>
      </w:r>
    </w:p>
    <w:p w14:paraId="0FDECDB7" w14:textId="77777777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4C21">
        <w:rPr>
          <w:color w:val="000000" w:themeColor="text1"/>
        </w:rPr>
        <w:t>Ein PRCD ist, unabhängig von der Ausführung (-S, -S pro, -S</w:t>
      </w:r>
      <w:r w:rsidRPr="005E4C21">
        <w:rPr>
          <w:color w:val="000000" w:themeColor="text1"/>
          <w:vertAlign w:val="superscript"/>
        </w:rPr>
        <w:t>+</w:t>
      </w:r>
      <w:r w:rsidRPr="005E4C21">
        <w:rPr>
          <w:color w:val="000000" w:themeColor="text1"/>
        </w:rPr>
        <w:t>), auch ein ortsveränderliches elektrisches Arbeitsmittel. Dementsprechend fallen diese Geräte unter § 14 Betriebssicherheitsverordnung (BetrSichV) und sind somit vor der erstmaligen Verwendung, nach Instandsetzung sowie wiederkehrend/regelmäßig zu prüfen.</w:t>
      </w:r>
    </w:p>
    <w:p w14:paraId="718699B4" w14:textId="77777777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3C37F62" w14:textId="77777777" w:rsidR="005E4C21" w:rsidRPr="005E4C21" w:rsidRDefault="005E4C21" w:rsidP="005E4C21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E4C21">
        <w:rPr>
          <w:b/>
          <w:color w:val="000000" w:themeColor="text1"/>
        </w:rPr>
        <w:t>Anweisung</w:t>
      </w:r>
    </w:p>
    <w:p w14:paraId="0DFAA926" w14:textId="6BAD4BEC" w:rsidR="005E4C21" w:rsidRPr="005E4C21" w:rsidRDefault="005E4C21" w:rsidP="005E4C2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E4C21">
        <w:rPr>
          <w:color w:val="000000" w:themeColor="text1"/>
        </w:rPr>
        <w:t xml:space="preserve">Gemäß § 12 Betriebssicherheitsverordnung (BetrSichV) hat der Arbeitgeber die Pflicht, für die Verwendung von Arbeitsmitteln eine Betriebs- bzw. Arbeitsanweisung bereitzustellen und die Mitarbeiter, </w:t>
      </w:r>
      <w:r w:rsidR="00282F1B">
        <w:rPr>
          <w:color w:val="000000" w:themeColor="text1"/>
        </w:rPr>
        <w:t>die</w:t>
      </w:r>
      <w:r w:rsidR="00282F1B" w:rsidRPr="005E4C21">
        <w:rPr>
          <w:color w:val="000000" w:themeColor="text1"/>
        </w:rPr>
        <w:t xml:space="preserve"> </w:t>
      </w:r>
      <w:r w:rsidRPr="005E4C21">
        <w:rPr>
          <w:color w:val="000000" w:themeColor="text1"/>
        </w:rPr>
        <w:t xml:space="preserve">diese Arbeitsmittel verwenden, nachweislich anhand dieser zu unterweisen. </w:t>
      </w:r>
    </w:p>
    <w:p w14:paraId="12461A13" w14:textId="00151A6D" w:rsidR="001E1F91" w:rsidRPr="00B2005A" w:rsidRDefault="001E1F91" w:rsidP="00061966">
      <w:pPr>
        <w:jc w:val="center"/>
      </w:pPr>
    </w:p>
    <w:sectPr w:rsidR="001E1F91" w:rsidRPr="00B2005A" w:rsidSect="00927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D999" w14:textId="77777777" w:rsidR="00866063" w:rsidRDefault="00866063" w:rsidP="00826AF7">
      <w:r>
        <w:separator/>
      </w:r>
    </w:p>
    <w:p w14:paraId="3FDB771C" w14:textId="77777777" w:rsidR="00866063" w:rsidRDefault="00866063" w:rsidP="00826AF7"/>
    <w:p w14:paraId="6175444D" w14:textId="77777777" w:rsidR="00866063" w:rsidRDefault="00866063" w:rsidP="00826AF7"/>
  </w:endnote>
  <w:endnote w:type="continuationSeparator" w:id="0">
    <w:p w14:paraId="6AE2BFFA" w14:textId="77777777" w:rsidR="00866063" w:rsidRDefault="00866063" w:rsidP="00826AF7">
      <w:r>
        <w:continuationSeparator/>
      </w:r>
    </w:p>
    <w:p w14:paraId="17EBBDB4" w14:textId="77777777" w:rsidR="00866063" w:rsidRDefault="00866063" w:rsidP="00826AF7"/>
    <w:p w14:paraId="49D95AD0" w14:textId="77777777" w:rsidR="00866063" w:rsidRDefault="00866063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5F3D" w14:textId="77777777" w:rsidR="00061966" w:rsidRDefault="000619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84"/>
      <w:gridCol w:w="1134"/>
      <w:gridCol w:w="1024"/>
      <w:gridCol w:w="1114"/>
      <w:gridCol w:w="1114"/>
      <w:gridCol w:w="1114"/>
    </w:tblGrid>
    <w:tr w:rsidR="000F4359" w:rsidRPr="004C1C05" w14:paraId="59E54423" w14:textId="77777777" w:rsidTr="00061966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84" w:type="dxa"/>
          <w:vAlign w:val="center"/>
        </w:tcPr>
        <w:p w14:paraId="3057FE5D" w14:textId="5E835319" w:rsidR="000F4359" w:rsidRPr="004C1C05" w:rsidRDefault="00282F1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34" w:type="dxa"/>
          <w:vAlign w:val="center"/>
        </w:tcPr>
        <w:p w14:paraId="3AC5FACB" w14:textId="6E32DB88" w:rsidR="000F4359" w:rsidRPr="004C1C05" w:rsidRDefault="0006196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02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061966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40CC7E46" w:rsidR="000F4359" w:rsidRPr="004C1C05" w:rsidRDefault="005E4C2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  <w:r w:rsidR="00FD088D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9</w:t>
          </w:r>
        </w:p>
      </w:tc>
      <w:tc>
        <w:tcPr>
          <w:tcW w:w="1184" w:type="dxa"/>
          <w:vAlign w:val="center"/>
        </w:tcPr>
        <w:p w14:paraId="5B880C40" w14:textId="2EC66FF7" w:rsidR="000F4359" w:rsidRPr="004C1C05" w:rsidRDefault="00282F1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34" w:type="dxa"/>
          <w:vAlign w:val="center"/>
        </w:tcPr>
        <w:p w14:paraId="0D4AE9A4" w14:textId="5746336D" w:rsidR="000F4359" w:rsidRPr="004C1C05" w:rsidRDefault="0006196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07.2022</w:t>
          </w:r>
        </w:p>
      </w:tc>
      <w:tc>
        <w:tcPr>
          <w:tcW w:w="102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61966" w:rsidRPr="004C1C05" w14:paraId="1CDEF039" w14:textId="77777777" w:rsidTr="00061966">
      <w:tc>
        <w:tcPr>
          <w:tcW w:w="1814" w:type="dxa"/>
          <w:vAlign w:val="center"/>
        </w:tcPr>
        <w:p w14:paraId="4D98BA57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Pr="004C1C05">
            <w:rPr>
              <w:sz w:val="16"/>
              <w:szCs w:val="16"/>
            </w:rPr>
            <w:t>GmbH</w:t>
          </w:r>
        </w:p>
      </w:tc>
      <w:tc>
        <w:tcPr>
          <w:tcW w:w="1184" w:type="dxa"/>
          <w:vAlign w:val="center"/>
        </w:tcPr>
        <w:p w14:paraId="3F6228DD" w14:textId="36B4E2E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3C6720A" w14:textId="2B976CCF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24" w:type="dxa"/>
          <w:vAlign w:val="center"/>
        </w:tcPr>
        <w:p w14:paraId="5F11B59C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61966" w:rsidRPr="004C1C05" w14:paraId="237051E6" w14:textId="77777777" w:rsidTr="00061966">
      <w:tc>
        <w:tcPr>
          <w:tcW w:w="1814" w:type="dxa"/>
          <w:vAlign w:val="center"/>
        </w:tcPr>
        <w:p w14:paraId="2FB26E7C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84" w:type="dxa"/>
          <w:vAlign w:val="center"/>
        </w:tcPr>
        <w:p w14:paraId="5D706A56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CAC5B68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24" w:type="dxa"/>
          <w:vAlign w:val="center"/>
        </w:tcPr>
        <w:p w14:paraId="3B3B696B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61966" w:rsidRPr="004C1C05" w:rsidRDefault="00061966" w:rsidP="00061966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4D74DA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76D1" w14:textId="77777777" w:rsidR="00061966" w:rsidRDefault="000619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C5C7" w14:textId="77777777" w:rsidR="00866063" w:rsidRDefault="00866063" w:rsidP="00826AF7">
      <w:r>
        <w:separator/>
      </w:r>
    </w:p>
    <w:p w14:paraId="3CC52A2D" w14:textId="77777777" w:rsidR="00866063" w:rsidRDefault="00866063" w:rsidP="00826AF7"/>
    <w:p w14:paraId="72EFD3BD" w14:textId="77777777" w:rsidR="00866063" w:rsidRDefault="00866063" w:rsidP="00826AF7"/>
  </w:footnote>
  <w:footnote w:type="continuationSeparator" w:id="0">
    <w:p w14:paraId="5664B9F7" w14:textId="77777777" w:rsidR="00866063" w:rsidRDefault="00866063" w:rsidP="00826AF7">
      <w:r>
        <w:continuationSeparator/>
      </w:r>
    </w:p>
    <w:p w14:paraId="713F0D2C" w14:textId="77777777" w:rsidR="00866063" w:rsidRDefault="00866063" w:rsidP="00826AF7"/>
    <w:p w14:paraId="1AE94606" w14:textId="77777777" w:rsidR="00866063" w:rsidRDefault="00866063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720B" w14:textId="77777777" w:rsidR="00061966" w:rsidRDefault="000619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4D74DA">
      <w:trPr>
        <w:trHeight w:val="841"/>
      </w:trPr>
      <w:tc>
        <w:tcPr>
          <w:tcW w:w="2349" w:type="dxa"/>
          <w:vAlign w:val="center"/>
        </w:tcPr>
        <w:p w14:paraId="742C4325" w14:textId="19AECF59" w:rsidR="00DB66E9" w:rsidRPr="00E21DC0" w:rsidRDefault="004F15E8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0E48D584" wp14:editId="1B33D3BD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4F15E8" w14:paraId="45B07225" w14:textId="77777777" w:rsidTr="004D74DA">
      <w:trPr>
        <w:trHeight w:val="832"/>
      </w:trPr>
      <w:tc>
        <w:tcPr>
          <w:tcW w:w="2349" w:type="dxa"/>
          <w:vAlign w:val="center"/>
        </w:tcPr>
        <w:p w14:paraId="37896C1D" w14:textId="267C2413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002AAC">
            <w:rPr>
              <w:b/>
            </w:rPr>
            <w:t>4</w:t>
          </w:r>
          <w:r w:rsidR="00D3603B">
            <w:rPr>
              <w:b/>
            </w:rPr>
            <w:t>3</w:t>
          </w:r>
        </w:p>
      </w:tc>
      <w:tc>
        <w:tcPr>
          <w:tcW w:w="5026" w:type="dxa"/>
          <w:vAlign w:val="center"/>
        </w:tcPr>
        <w:p w14:paraId="2E05780B" w14:textId="7057569A" w:rsidR="00330719" w:rsidRPr="00D3603B" w:rsidRDefault="00D3603B" w:rsidP="00292EAA">
          <w:pPr>
            <w:spacing w:after="0"/>
            <w:jc w:val="center"/>
            <w:rPr>
              <w:sz w:val="28"/>
              <w:szCs w:val="28"/>
              <w:lang w:val="en-US"/>
            </w:rPr>
          </w:pPr>
          <w:r w:rsidRPr="00D3603B">
            <w:rPr>
              <w:sz w:val="28"/>
              <w:szCs w:val="28"/>
              <w:lang w:val="en-US"/>
            </w:rPr>
            <w:t>PRCD-S, PRCD-S+ und PRCD-S pro</w:t>
          </w:r>
        </w:p>
      </w:tc>
      <w:tc>
        <w:tcPr>
          <w:tcW w:w="2236" w:type="dxa"/>
          <w:vAlign w:val="center"/>
        </w:tcPr>
        <w:p w14:paraId="22DAF9DE" w14:textId="77777777" w:rsidR="00330719" w:rsidRPr="00D3603B" w:rsidRDefault="00330719" w:rsidP="002A63CB">
          <w:pPr>
            <w:jc w:val="center"/>
            <w:rPr>
              <w:lang w:val="en-US"/>
            </w:rPr>
          </w:pPr>
        </w:p>
      </w:tc>
    </w:tr>
  </w:tbl>
  <w:p w14:paraId="1D17CDA2" w14:textId="34D44E39" w:rsidR="00330719" w:rsidRPr="00D3603B" w:rsidRDefault="0033071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7388" w14:textId="77777777" w:rsidR="00061966" w:rsidRDefault="000619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7" w15:restartNumberingAfterBreak="0">
    <w:nsid w:val="4EEC6D32"/>
    <w:multiLevelType w:val="hybridMultilevel"/>
    <w:tmpl w:val="F69A1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A2666">
      <w:numFmt w:val="bullet"/>
      <w:lvlText w:val="•"/>
      <w:lvlJc w:val="left"/>
      <w:pPr>
        <w:ind w:left="1780" w:hanging="70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AC0"/>
    <w:multiLevelType w:val="hybridMultilevel"/>
    <w:tmpl w:val="EBE8A78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16922895">
    <w:abstractNumId w:val="4"/>
  </w:num>
  <w:num w:numId="2" w16cid:durableId="834535604">
    <w:abstractNumId w:val="6"/>
  </w:num>
  <w:num w:numId="3" w16cid:durableId="710305018">
    <w:abstractNumId w:val="5"/>
  </w:num>
  <w:num w:numId="4" w16cid:durableId="771121607">
    <w:abstractNumId w:val="3"/>
  </w:num>
  <w:num w:numId="5" w16cid:durableId="1849951042">
    <w:abstractNumId w:val="2"/>
  </w:num>
  <w:num w:numId="6" w16cid:durableId="1878078813">
    <w:abstractNumId w:val="1"/>
  </w:num>
  <w:num w:numId="7" w16cid:durableId="1270160164">
    <w:abstractNumId w:val="0"/>
  </w:num>
  <w:num w:numId="8" w16cid:durableId="425537957">
    <w:abstractNumId w:val="7"/>
  </w:num>
  <w:num w:numId="9" w16cid:durableId="7223681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2AAC"/>
    <w:rsid w:val="00016152"/>
    <w:rsid w:val="00023FB9"/>
    <w:rsid w:val="000242FC"/>
    <w:rsid w:val="00024838"/>
    <w:rsid w:val="00033B20"/>
    <w:rsid w:val="00037B1A"/>
    <w:rsid w:val="000400C8"/>
    <w:rsid w:val="00054D9E"/>
    <w:rsid w:val="00061966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4F97"/>
    <w:rsid w:val="000C55CC"/>
    <w:rsid w:val="000C6A29"/>
    <w:rsid w:val="000D03FC"/>
    <w:rsid w:val="000E1425"/>
    <w:rsid w:val="000E4C67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B6E66"/>
    <w:rsid w:val="001D07A8"/>
    <w:rsid w:val="001D2245"/>
    <w:rsid w:val="001D68BB"/>
    <w:rsid w:val="001E17D2"/>
    <w:rsid w:val="001E1F91"/>
    <w:rsid w:val="001E2C1F"/>
    <w:rsid w:val="001E3783"/>
    <w:rsid w:val="001E4563"/>
    <w:rsid w:val="001E5B55"/>
    <w:rsid w:val="00206522"/>
    <w:rsid w:val="002070A3"/>
    <w:rsid w:val="00216CD4"/>
    <w:rsid w:val="00224161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82F1B"/>
    <w:rsid w:val="00290A87"/>
    <w:rsid w:val="00292EAA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64FF"/>
    <w:rsid w:val="00317C3B"/>
    <w:rsid w:val="0032016F"/>
    <w:rsid w:val="00330719"/>
    <w:rsid w:val="00332BC1"/>
    <w:rsid w:val="0033379C"/>
    <w:rsid w:val="00337444"/>
    <w:rsid w:val="003405CC"/>
    <w:rsid w:val="00343F20"/>
    <w:rsid w:val="003579E2"/>
    <w:rsid w:val="00371D90"/>
    <w:rsid w:val="0037232A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148A"/>
    <w:rsid w:val="004639D8"/>
    <w:rsid w:val="00464322"/>
    <w:rsid w:val="00464A09"/>
    <w:rsid w:val="004679BF"/>
    <w:rsid w:val="00472853"/>
    <w:rsid w:val="004779EF"/>
    <w:rsid w:val="00480CEF"/>
    <w:rsid w:val="00483692"/>
    <w:rsid w:val="00486FAC"/>
    <w:rsid w:val="004917C9"/>
    <w:rsid w:val="00497861"/>
    <w:rsid w:val="004A5EDA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D74DA"/>
    <w:rsid w:val="004F15E8"/>
    <w:rsid w:val="004F2B84"/>
    <w:rsid w:val="00501116"/>
    <w:rsid w:val="00504630"/>
    <w:rsid w:val="00510DC9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319B"/>
    <w:rsid w:val="00574897"/>
    <w:rsid w:val="00575D55"/>
    <w:rsid w:val="00594D75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E4C21"/>
    <w:rsid w:val="005F0979"/>
    <w:rsid w:val="005F19BE"/>
    <w:rsid w:val="005F5FF8"/>
    <w:rsid w:val="005F7DFA"/>
    <w:rsid w:val="006152E4"/>
    <w:rsid w:val="00616179"/>
    <w:rsid w:val="0063364D"/>
    <w:rsid w:val="006350AB"/>
    <w:rsid w:val="006432E4"/>
    <w:rsid w:val="00660648"/>
    <w:rsid w:val="00681944"/>
    <w:rsid w:val="00683232"/>
    <w:rsid w:val="006A6CF7"/>
    <w:rsid w:val="006A6D21"/>
    <w:rsid w:val="006B43C0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4553"/>
    <w:rsid w:val="0070668F"/>
    <w:rsid w:val="007106A0"/>
    <w:rsid w:val="00715779"/>
    <w:rsid w:val="00717290"/>
    <w:rsid w:val="00720A08"/>
    <w:rsid w:val="00727689"/>
    <w:rsid w:val="00732424"/>
    <w:rsid w:val="00732A49"/>
    <w:rsid w:val="00742859"/>
    <w:rsid w:val="00747685"/>
    <w:rsid w:val="00750F34"/>
    <w:rsid w:val="0077037F"/>
    <w:rsid w:val="00771EE2"/>
    <w:rsid w:val="00774F49"/>
    <w:rsid w:val="00786983"/>
    <w:rsid w:val="007933E6"/>
    <w:rsid w:val="00794EDC"/>
    <w:rsid w:val="007A3BEF"/>
    <w:rsid w:val="007B175C"/>
    <w:rsid w:val="007B7C85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13A"/>
    <w:rsid w:val="00855A57"/>
    <w:rsid w:val="008564BE"/>
    <w:rsid w:val="00857751"/>
    <w:rsid w:val="0086047D"/>
    <w:rsid w:val="0086432B"/>
    <w:rsid w:val="00866063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A6D17"/>
    <w:rsid w:val="008B05D9"/>
    <w:rsid w:val="008B1FA7"/>
    <w:rsid w:val="008B24B0"/>
    <w:rsid w:val="008B41D9"/>
    <w:rsid w:val="008B7550"/>
    <w:rsid w:val="008B757C"/>
    <w:rsid w:val="008B79A1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1A3F"/>
    <w:rsid w:val="00923062"/>
    <w:rsid w:val="009252F8"/>
    <w:rsid w:val="00927059"/>
    <w:rsid w:val="00941E5D"/>
    <w:rsid w:val="00943752"/>
    <w:rsid w:val="00954B50"/>
    <w:rsid w:val="00961422"/>
    <w:rsid w:val="0096686D"/>
    <w:rsid w:val="0097720B"/>
    <w:rsid w:val="00977781"/>
    <w:rsid w:val="009945E6"/>
    <w:rsid w:val="00995AB5"/>
    <w:rsid w:val="009A3A63"/>
    <w:rsid w:val="009B3F1D"/>
    <w:rsid w:val="009B41CE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69EF"/>
    <w:rsid w:val="00A00B16"/>
    <w:rsid w:val="00A014A0"/>
    <w:rsid w:val="00A0456D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299F"/>
    <w:rsid w:val="00B05CB5"/>
    <w:rsid w:val="00B0769A"/>
    <w:rsid w:val="00B2005A"/>
    <w:rsid w:val="00B24DA4"/>
    <w:rsid w:val="00B24E24"/>
    <w:rsid w:val="00B317EE"/>
    <w:rsid w:val="00B403D6"/>
    <w:rsid w:val="00B44084"/>
    <w:rsid w:val="00B4488E"/>
    <w:rsid w:val="00B452D4"/>
    <w:rsid w:val="00B568E2"/>
    <w:rsid w:val="00B678E9"/>
    <w:rsid w:val="00B81660"/>
    <w:rsid w:val="00B83BF1"/>
    <w:rsid w:val="00B8757B"/>
    <w:rsid w:val="00B900A7"/>
    <w:rsid w:val="00BA2F4E"/>
    <w:rsid w:val="00BA4C12"/>
    <w:rsid w:val="00BB1A34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2896"/>
    <w:rsid w:val="00C45973"/>
    <w:rsid w:val="00C45B03"/>
    <w:rsid w:val="00C74287"/>
    <w:rsid w:val="00C948C7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CF5BEB"/>
    <w:rsid w:val="00D3603B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64F6"/>
    <w:rsid w:val="00D9720B"/>
    <w:rsid w:val="00DA301A"/>
    <w:rsid w:val="00DA4C0F"/>
    <w:rsid w:val="00DA65DC"/>
    <w:rsid w:val="00DB465D"/>
    <w:rsid w:val="00DB66E9"/>
    <w:rsid w:val="00DC5A29"/>
    <w:rsid w:val="00DC622D"/>
    <w:rsid w:val="00DD3499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44BF0"/>
    <w:rsid w:val="00E513EE"/>
    <w:rsid w:val="00E54D77"/>
    <w:rsid w:val="00E57823"/>
    <w:rsid w:val="00E720A4"/>
    <w:rsid w:val="00E82621"/>
    <w:rsid w:val="00E82C90"/>
    <w:rsid w:val="00E83AA9"/>
    <w:rsid w:val="00E86225"/>
    <w:rsid w:val="00E91FD3"/>
    <w:rsid w:val="00E96A4B"/>
    <w:rsid w:val="00E9739E"/>
    <w:rsid w:val="00EC21B7"/>
    <w:rsid w:val="00EC6C9F"/>
    <w:rsid w:val="00ED3B1C"/>
    <w:rsid w:val="00ED7EB4"/>
    <w:rsid w:val="00EE0586"/>
    <w:rsid w:val="00EE12FB"/>
    <w:rsid w:val="00EE13C8"/>
    <w:rsid w:val="00EE6106"/>
    <w:rsid w:val="00F0574C"/>
    <w:rsid w:val="00F16A65"/>
    <w:rsid w:val="00F31CAF"/>
    <w:rsid w:val="00F36420"/>
    <w:rsid w:val="00F40E6B"/>
    <w:rsid w:val="00F44710"/>
    <w:rsid w:val="00F50CAE"/>
    <w:rsid w:val="00F7063A"/>
    <w:rsid w:val="00F72094"/>
    <w:rsid w:val="00F84A6A"/>
    <w:rsid w:val="00F97199"/>
    <w:rsid w:val="00F97810"/>
    <w:rsid w:val="00FA16C1"/>
    <w:rsid w:val="00FA4E65"/>
    <w:rsid w:val="00FB0D3A"/>
    <w:rsid w:val="00FB3FAC"/>
    <w:rsid w:val="00FC0A36"/>
    <w:rsid w:val="00FC70B8"/>
    <w:rsid w:val="00FD088D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  <w:style w:type="paragraph" w:customStyle="1" w:styleId="Formatvorlage1">
    <w:name w:val="Formatvorlage1"/>
    <w:basedOn w:val="Titel"/>
    <w:link w:val="Formatvorlage1Zchn"/>
    <w:qFormat/>
    <w:rsid w:val="00B2005A"/>
    <w:rPr>
      <w:sz w:val="24"/>
      <w:szCs w:val="32"/>
      <w:u w:val="single"/>
    </w:rPr>
  </w:style>
  <w:style w:type="character" w:customStyle="1" w:styleId="Formatvorlage1Zchn">
    <w:name w:val="Formatvorlage1 Zchn"/>
    <w:link w:val="Formatvorlage1"/>
    <w:rsid w:val="00B2005A"/>
    <w:rPr>
      <w:rFonts w:ascii="Arial" w:hAnsi="Arial" w:cs="Arial"/>
      <w:b/>
      <w:bCs/>
      <w:kern w:val="28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0" ma:contentTypeDescription="Ein neues Dokument erstellen." ma:contentTypeScope="" ma:versionID="b0b792986560d1c3626adf8208d41775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81e1a8b2a7a586d55b0477c026c3cf8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2E0EF-DE4C-44CD-B887-AD9979C94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B9A7D-92C7-2A41-9A80-A8CB50E36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79085-8E3B-46E0-A110-517E96A6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47573-EEC9-41EF-8828-B0228AE18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4972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2</cp:revision>
  <cp:lastPrinted>2016-03-18T12:46:00Z</cp:lastPrinted>
  <dcterms:created xsi:type="dcterms:W3CDTF">2022-07-23T16:15:00Z</dcterms:created>
  <dcterms:modified xsi:type="dcterms:W3CDTF">2022-07-23T16:15:00Z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