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A225" w14:textId="77777777" w:rsidR="00AC5F34" w:rsidRPr="00151354" w:rsidRDefault="00AC5F34" w:rsidP="00AC5F34">
      <w:pPr>
        <w:spacing w:after="0"/>
        <w:jc w:val="both"/>
        <w:rPr>
          <w:b/>
          <w:u w:val="single"/>
        </w:rPr>
      </w:pPr>
      <w:r w:rsidRPr="00151354">
        <w:rPr>
          <w:b/>
          <w:u w:val="single"/>
        </w:rPr>
        <w:t>Elektrische Energieversorgung</w:t>
      </w:r>
    </w:p>
    <w:p w14:paraId="6BB55528" w14:textId="77777777" w:rsidR="00AC5F34" w:rsidRPr="00151354" w:rsidRDefault="00AC5F34" w:rsidP="00AC5F34">
      <w:pPr>
        <w:spacing w:after="0"/>
        <w:jc w:val="both"/>
        <w:rPr>
          <w:b/>
        </w:rPr>
      </w:pPr>
    </w:p>
    <w:p w14:paraId="2690D911" w14:textId="5B6640A7" w:rsidR="00AC5F34" w:rsidRPr="00151354" w:rsidRDefault="00AC5F34" w:rsidP="00AC5F34">
      <w:pPr>
        <w:spacing w:after="0"/>
        <w:jc w:val="both"/>
      </w:pPr>
      <w:r w:rsidRPr="00151354">
        <w:t xml:space="preserve">Die elektrische Energieversorgung für Bau- und Montagestellen darf prinzipiell über jede bekannte Art von elektrischen Einrichtungen erfolgen. Dies können Kabelverteilerschränke des örtlichen Energieversorgers, eine bereits in einem Gebäude vorhandene Stromversorgung oder auch ein Stromerzeuger sein. Ab dem </w:t>
      </w:r>
      <w:r>
        <w:t>Anschlusspunkt</w:t>
      </w:r>
      <w:r w:rsidRPr="00151354">
        <w:rPr>
          <w:vertAlign w:val="superscript"/>
        </w:rPr>
        <w:footnoteReference w:id="1"/>
      </w:r>
      <w:r w:rsidRPr="00151354">
        <w:t xml:space="preserve"> von der Energieversorgung zu einer Energieverteilung gelten jedoch erhöhte Anforderungen im Hinblick auf die besonderen Gefahren und Belastungen, die auf alle elektrischen Einrichtungen einwirken, die auf Baustellen verwendet und betrieben werden.</w:t>
      </w:r>
    </w:p>
    <w:p w14:paraId="1DE42CA2" w14:textId="77777777" w:rsidR="00AC5F34" w:rsidRPr="00151354" w:rsidRDefault="00AC5F34" w:rsidP="00AC5F34">
      <w:pPr>
        <w:spacing w:after="0"/>
        <w:jc w:val="both"/>
        <w:rPr>
          <w:b/>
        </w:rPr>
      </w:pPr>
    </w:p>
    <w:p w14:paraId="5590F2F4" w14:textId="77777777" w:rsidR="00AC5F34" w:rsidRPr="00151354" w:rsidRDefault="00AC5F34" w:rsidP="00AC5F34">
      <w:pPr>
        <w:spacing w:after="0"/>
        <w:jc w:val="both"/>
        <w:rPr>
          <w:b/>
          <w:u w:val="single"/>
        </w:rPr>
      </w:pPr>
      <w:r w:rsidRPr="00151354">
        <w:rPr>
          <w:b/>
          <w:u w:val="single"/>
        </w:rPr>
        <w:t>Energieverteilung</w:t>
      </w:r>
    </w:p>
    <w:p w14:paraId="34C56C02" w14:textId="77777777" w:rsidR="00AC5F34" w:rsidRPr="00151354" w:rsidRDefault="00AC5F34" w:rsidP="00AC5F34">
      <w:pPr>
        <w:spacing w:after="0"/>
        <w:jc w:val="both"/>
      </w:pPr>
    </w:p>
    <w:p w14:paraId="14CD5BC0" w14:textId="7CCB2E59" w:rsidR="00AC5F34" w:rsidRPr="00151354" w:rsidRDefault="00AC5F34" w:rsidP="00AC5F34">
      <w:pPr>
        <w:spacing w:after="0"/>
        <w:jc w:val="both"/>
      </w:pPr>
      <w:r w:rsidRPr="00151354">
        <w:t xml:space="preserve">Energieverteilungen für Baustellen, z.B. klassische Baustromverteiler oder mobile Stromverteiler mit Steckdosen, die an eine Energieversorgung angeschlossen werden, müssen ab dem Übergabepunkt unbedingt den Umgebungsbedingungen gerecht werden. Dies bedeutet </w:t>
      </w:r>
      <w:r w:rsidR="00015461" w:rsidRPr="00151354">
        <w:t>z.B.,</w:t>
      </w:r>
      <w:r w:rsidRPr="00151354">
        <w:t xml:space="preserve"> dass nur schwere Gummischlauchleitung (Typenkurzzeichen H07RN-F) oder gleichwertig verwendet werden darf und alle Energieverteiler einen erhöhten Schutz gegen Fremdkörper und Spritzwasser aus allen Richtungen (IP 44) aufweisen müssen.</w:t>
      </w:r>
    </w:p>
    <w:p w14:paraId="2545921E" w14:textId="4B636B48" w:rsidR="00AC5F34" w:rsidRPr="00151354" w:rsidRDefault="00AC5F34" w:rsidP="00AC5F34">
      <w:pPr>
        <w:spacing w:after="0"/>
        <w:jc w:val="both"/>
      </w:pPr>
    </w:p>
    <w:p w14:paraId="790359AB" w14:textId="19BDFD07" w:rsidR="00AC5F34" w:rsidRPr="00151354" w:rsidRDefault="00AC5F34" w:rsidP="00AC5F34">
      <w:pPr>
        <w:spacing w:after="0"/>
        <w:jc w:val="both"/>
      </w:pPr>
      <w:r w:rsidRPr="00151354">
        <w:t>Zusätzlich müssen alle Energieverteiler eine Fehlerstrom-Schutzeinrichtung (RCD/FI) besitzen, um beim direkten oder indirekten Berühren von unter Spannung stehenden Teilen einen wirksamen Personenschutz zu gewährleisten. Dabei gilt:</w:t>
      </w:r>
    </w:p>
    <w:p w14:paraId="1093EDFC" w14:textId="77777777" w:rsidR="00AC5F34" w:rsidRPr="00151354" w:rsidRDefault="00AC5F34" w:rsidP="00AC5F34">
      <w:pPr>
        <w:spacing w:after="0"/>
        <w:jc w:val="both"/>
      </w:pPr>
    </w:p>
    <w:p w14:paraId="161D8F93" w14:textId="28A0B037" w:rsidR="00AC5F34" w:rsidRPr="00151354" w:rsidRDefault="00AC5F34" w:rsidP="00AC5F34">
      <w:pPr>
        <w:numPr>
          <w:ilvl w:val="0"/>
          <w:numId w:val="48"/>
        </w:numPr>
        <w:spacing w:after="0"/>
        <w:ind w:left="284" w:hanging="284"/>
        <w:jc w:val="both"/>
      </w:pPr>
      <w:r w:rsidRPr="00151354">
        <w:t>Stromkreise mit oder ohne Steckdosen (auch Drehstromsteckdosen) deren Sicherung einen Nennstrom von 32 Ampere nicht übersteigt, dürfen generell nur mit einer Fehlerstrom-Schutzeinrichtung (R</w:t>
      </w:r>
      <w:bookmarkStart w:id="0" w:name="_GoBack"/>
      <w:bookmarkEnd w:id="0"/>
      <w:r w:rsidRPr="00151354">
        <w:t>CD/FI) mit einem Nennfehlerstrom (maximaler Auslösestrom) von nicht größer als 30 mA betrieben werden.</w:t>
      </w:r>
    </w:p>
    <w:p w14:paraId="0719C8A2" w14:textId="77777777" w:rsidR="00AC5F34" w:rsidRPr="00151354" w:rsidRDefault="00AC5F34" w:rsidP="00AC5F34">
      <w:pPr>
        <w:spacing w:after="0"/>
        <w:ind w:left="284" w:hanging="284"/>
        <w:jc w:val="both"/>
      </w:pPr>
    </w:p>
    <w:p w14:paraId="0332943F" w14:textId="3794EA13" w:rsidR="00AC5F34" w:rsidRPr="00151354" w:rsidRDefault="00AC5F34" w:rsidP="00AC5F34">
      <w:pPr>
        <w:numPr>
          <w:ilvl w:val="0"/>
          <w:numId w:val="48"/>
        </w:numPr>
        <w:spacing w:after="0"/>
        <w:ind w:left="284" w:hanging="284"/>
        <w:jc w:val="both"/>
      </w:pPr>
      <w:r w:rsidRPr="00151354">
        <w:t>Stromkreise mit Steckdosen deren Nennstrom 32 Ampere übersteigt, sind durch eine Fehlerstrom-Schutzeinrichtung (RCD/FI) mit einem Nennfehlerstrom (maximaler Auslösestrom) von nicht größer als 500 mA zu schützen.</w:t>
      </w:r>
    </w:p>
    <w:p w14:paraId="466DDA80" w14:textId="468D63FA" w:rsidR="00AC5F34" w:rsidRPr="00151354" w:rsidRDefault="00AC5F34" w:rsidP="00AC5F34">
      <w:pPr>
        <w:spacing w:after="0"/>
        <w:jc w:val="both"/>
      </w:pPr>
    </w:p>
    <w:p w14:paraId="7F644162" w14:textId="6D198429" w:rsidR="00AC5F34" w:rsidRPr="00151354" w:rsidRDefault="00AC5F34" w:rsidP="00AC5F34">
      <w:pPr>
        <w:spacing w:after="0"/>
        <w:jc w:val="both"/>
      </w:pPr>
      <w:r w:rsidRPr="00151354">
        <w:t xml:space="preserve">Steht </w:t>
      </w:r>
      <w:r w:rsidR="00015461">
        <w:t>I</w:t>
      </w:r>
      <w:r w:rsidRPr="00151354">
        <w:t xml:space="preserve">hnen keine geeignete Energieverteilung zur Verfügung oder können Sie nicht beurteilen, welche Schutzmaßnahmen an einem </w:t>
      </w:r>
      <w:r w:rsidR="00015461">
        <w:t>I</w:t>
      </w:r>
      <w:r w:rsidRPr="00151354">
        <w:t xml:space="preserve">hnen zur Verfügung stehenden Speisepunkt angewandt wurden, sind Schutzverteiler in drei- oder fünfpoliger Ausführung einzusetzen. Diese Schutzverteiler müssen mit einer Fehlerstrom-Schutzeinrichtung PRCD-S (PRCD = Portable Residual </w:t>
      </w:r>
      <w:proofErr w:type="spellStart"/>
      <w:r w:rsidRPr="00151354">
        <w:t>Current</w:t>
      </w:r>
      <w:proofErr w:type="spellEnd"/>
      <w:r w:rsidRPr="00151354">
        <w:t xml:space="preserve"> Device; S = </w:t>
      </w:r>
      <w:proofErr w:type="spellStart"/>
      <w:r w:rsidRPr="00151354">
        <w:t>Safety</w:t>
      </w:r>
      <w:proofErr w:type="spellEnd"/>
      <w:r w:rsidRPr="00151354">
        <w:t>) ausgestattet sein.</w:t>
      </w:r>
    </w:p>
    <w:p w14:paraId="442D3820" w14:textId="77777777" w:rsidR="00AC5F34" w:rsidRPr="00151354" w:rsidRDefault="00AC5F34" w:rsidP="00AC5F34"/>
    <w:p w14:paraId="1A6C76FC" w14:textId="77777777" w:rsidR="007A3BEF" w:rsidRPr="00B10C3D" w:rsidRDefault="007A3BEF" w:rsidP="001E13E5"/>
    <w:sectPr w:rsidR="007A3BEF" w:rsidRPr="00B10C3D"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7018" w14:textId="77777777" w:rsidR="006A7F9E" w:rsidRDefault="006A7F9E" w:rsidP="00826AF7">
      <w:r>
        <w:separator/>
      </w:r>
    </w:p>
    <w:p w14:paraId="5FF72BC6" w14:textId="77777777" w:rsidR="006A7F9E" w:rsidRDefault="006A7F9E" w:rsidP="00826AF7"/>
    <w:p w14:paraId="285729B7" w14:textId="77777777" w:rsidR="006A7F9E" w:rsidRDefault="006A7F9E" w:rsidP="00826AF7"/>
  </w:endnote>
  <w:endnote w:type="continuationSeparator" w:id="0">
    <w:p w14:paraId="0E882956" w14:textId="77777777" w:rsidR="006A7F9E" w:rsidRDefault="006A7F9E" w:rsidP="00826AF7">
      <w:r>
        <w:continuationSeparator/>
      </w:r>
    </w:p>
    <w:p w14:paraId="18A688D5" w14:textId="77777777" w:rsidR="006A7F9E" w:rsidRDefault="006A7F9E" w:rsidP="00826AF7"/>
    <w:p w14:paraId="47DC1CE2" w14:textId="77777777" w:rsidR="006A7F9E" w:rsidRDefault="006A7F9E"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073"/>
      <w:gridCol w:w="1114"/>
      <w:gridCol w:w="1114"/>
      <w:gridCol w:w="1114"/>
      <w:gridCol w:w="1114"/>
    </w:tblGrid>
    <w:tr w:rsidR="00416B4A" w:rsidRPr="000A2296" w14:paraId="473AD86B" w14:textId="77777777" w:rsidTr="007B2609">
      <w:trPr>
        <w:trHeight w:val="132"/>
      </w:trPr>
      <w:tc>
        <w:tcPr>
          <w:tcW w:w="1814" w:type="dxa"/>
          <w:vAlign w:val="center"/>
        </w:tcPr>
        <w:p w14:paraId="3337B54B" w14:textId="77777777" w:rsidR="00416B4A" w:rsidRPr="000A2296" w:rsidRDefault="00416B4A" w:rsidP="002F2634">
          <w:pPr>
            <w:pStyle w:val="Fuzeile"/>
            <w:spacing w:after="0"/>
            <w:ind w:right="-83"/>
            <w:rPr>
              <w:sz w:val="16"/>
              <w:szCs w:val="16"/>
            </w:rPr>
          </w:pPr>
          <w:r w:rsidRPr="000A2296">
            <w:rPr>
              <w:sz w:val="16"/>
              <w:szCs w:val="16"/>
            </w:rPr>
            <w:t>Ausgabe/Revision:</w:t>
          </w:r>
        </w:p>
      </w:tc>
      <w:tc>
        <w:tcPr>
          <w:tcW w:w="1113" w:type="dxa"/>
          <w:vAlign w:val="center"/>
        </w:tcPr>
        <w:p w14:paraId="7B32C354" w14:textId="77777777" w:rsidR="00416B4A" w:rsidRPr="002E1D90" w:rsidRDefault="00416B4A" w:rsidP="002F2634">
          <w:pPr>
            <w:pStyle w:val="Fuzeile"/>
            <w:spacing w:after="0"/>
            <w:ind w:right="-83"/>
            <w:rPr>
              <w:sz w:val="16"/>
              <w:szCs w:val="16"/>
            </w:rPr>
          </w:pPr>
          <w:r w:rsidRPr="002E1D90">
            <w:rPr>
              <w:sz w:val="16"/>
              <w:szCs w:val="16"/>
            </w:rPr>
            <w:t>0</w:t>
          </w:r>
        </w:p>
      </w:tc>
      <w:tc>
        <w:tcPr>
          <w:tcW w:w="1155" w:type="dxa"/>
          <w:vAlign w:val="center"/>
        </w:tcPr>
        <w:p w14:paraId="657C597C" w14:textId="262C76A5" w:rsidR="00416B4A" w:rsidRPr="000A2296" w:rsidRDefault="00015461" w:rsidP="002F2634">
          <w:pPr>
            <w:pStyle w:val="Fuzeile"/>
            <w:spacing w:after="0"/>
            <w:ind w:right="-83"/>
            <w:rPr>
              <w:sz w:val="16"/>
              <w:szCs w:val="16"/>
            </w:rPr>
          </w:pPr>
          <w:r>
            <w:rPr>
              <w:sz w:val="16"/>
              <w:szCs w:val="16"/>
            </w:rPr>
            <w:t>1</w:t>
          </w:r>
        </w:p>
      </w:tc>
      <w:tc>
        <w:tcPr>
          <w:tcW w:w="1073" w:type="dxa"/>
          <w:vAlign w:val="center"/>
        </w:tcPr>
        <w:p w14:paraId="6E81E082" w14:textId="77777777" w:rsidR="00416B4A" w:rsidRPr="000A2296" w:rsidRDefault="00416B4A" w:rsidP="002F2634">
          <w:pPr>
            <w:pStyle w:val="Fuzeile"/>
            <w:spacing w:after="0"/>
            <w:ind w:right="-83"/>
            <w:rPr>
              <w:sz w:val="16"/>
              <w:szCs w:val="16"/>
            </w:rPr>
          </w:pPr>
        </w:p>
      </w:tc>
      <w:tc>
        <w:tcPr>
          <w:tcW w:w="1114" w:type="dxa"/>
          <w:vAlign w:val="center"/>
        </w:tcPr>
        <w:p w14:paraId="078EBBBD" w14:textId="77777777" w:rsidR="00416B4A" w:rsidRPr="000A2296" w:rsidRDefault="00416B4A" w:rsidP="002F2634">
          <w:pPr>
            <w:pStyle w:val="Fuzeile"/>
            <w:spacing w:after="0"/>
            <w:ind w:right="-83"/>
            <w:rPr>
              <w:sz w:val="16"/>
              <w:szCs w:val="16"/>
            </w:rPr>
          </w:pPr>
        </w:p>
      </w:tc>
      <w:tc>
        <w:tcPr>
          <w:tcW w:w="1114" w:type="dxa"/>
          <w:vAlign w:val="center"/>
        </w:tcPr>
        <w:p w14:paraId="09C4F357" w14:textId="77777777" w:rsidR="00416B4A" w:rsidRPr="000A2296" w:rsidRDefault="00416B4A" w:rsidP="002F2634">
          <w:pPr>
            <w:pStyle w:val="Fuzeile"/>
            <w:spacing w:after="0"/>
            <w:ind w:right="-83"/>
            <w:rPr>
              <w:sz w:val="16"/>
              <w:szCs w:val="16"/>
            </w:rPr>
          </w:pPr>
        </w:p>
      </w:tc>
      <w:tc>
        <w:tcPr>
          <w:tcW w:w="1114" w:type="dxa"/>
          <w:vAlign w:val="center"/>
        </w:tcPr>
        <w:p w14:paraId="63B8147D" w14:textId="77777777" w:rsidR="00416B4A" w:rsidRPr="000A2296" w:rsidRDefault="00416B4A" w:rsidP="002F2634">
          <w:pPr>
            <w:pStyle w:val="Fuzeile"/>
            <w:spacing w:after="0"/>
            <w:ind w:right="-83"/>
            <w:rPr>
              <w:sz w:val="16"/>
              <w:szCs w:val="16"/>
            </w:rPr>
          </w:pPr>
          <w:r w:rsidRPr="000A2296">
            <w:rPr>
              <w:sz w:val="16"/>
              <w:szCs w:val="16"/>
            </w:rPr>
            <w:t>Seite:</w:t>
          </w:r>
        </w:p>
      </w:tc>
      <w:tc>
        <w:tcPr>
          <w:tcW w:w="1114" w:type="dxa"/>
          <w:vAlign w:val="center"/>
        </w:tcPr>
        <w:p w14:paraId="27F6EEFB" w14:textId="77777777" w:rsidR="00416B4A" w:rsidRPr="000A2296" w:rsidRDefault="00416B4A" w:rsidP="002F2634">
          <w:pPr>
            <w:pStyle w:val="Fuzeile"/>
            <w:spacing w:after="0"/>
            <w:ind w:right="-83"/>
            <w:rPr>
              <w:sz w:val="16"/>
              <w:szCs w:val="16"/>
            </w:rPr>
          </w:pPr>
          <w:r w:rsidRPr="000A2296">
            <w:rPr>
              <w:sz w:val="16"/>
              <w:szCs w:val="16"/>
            </w:rPr>
            <w:fldChar w:fldCharType="begin"/>
          </w:r>
          <w:r w:rsidRPr="000A2296">
            <w:rPr>
              <w:sz w:val="16"/>
              <w:szCs w:val="16"/>
            </w:rPr>
            <w:instrText xml:space="preserve"> PAGE  \* Arabic  \* MERGEFORMAT </w:instrText>
          </w:r>
          <w:r w:rsidRPr="000A2296">
            <w:rPr>
              <w:sz w:val="16"/>
              <w:szCs w:val="16"/>
            </w:rPr>
            <w:fldChar w:fldCharType="separate"/>
          </w:r>
          <w:r w:rsidR="00103028">
            <w:rPr>
              <w:noProof/>
              <w:sz w:val="16"/>
              <w:szCs w:val="16"/>
            </w:rPr>
            <w:t>1</w:t>
          </w:r>
          <w:r w:rsidRPr="000A2296">
            <w:rPr>
              <w:sz w:val="16"/>
              <w:szCs w:val="16"/>
            </w:rPr>
            <w:fldChar w:fldCharType="end"/>
          </w:r>
          <w:r w:rsidRPr="000A2296">
            <w:rPr>
              <w:sz w:val="16"/>
              <w:szCs w:val="16"/>
            </w:rPr>
            <w:t xml:space="preserve"> von </w:t>
          </w:r>
          <w:r w:rsidRPr="000A2296">
            <w:rPr>
              <w:sz w:val="16"/>
              <w:szCs w:val="16"/>
            </w:rPr>
            <w:fldChar w:fldCharType="begin"/>
          </w:r>
          <w:r w:rsidRPr="000A2296">
            <w:rPr>
              <w:sz w:val="16"/>
              <w:szCs w:val="16"/>
            </w:rPr>
            <w:instrText xml:space="preserve"> NUMPAGES  \* Arabic  \* MERGEFORMAT </w:instrText>
          </w:r>
          <w:r w:rsidRPr="000A2296">
            <w:rPr>
              <w:sz w:val="16"/>
              <w:szCs w:val="16"/>
            </w:rPr>
            <w:fldChar w:fldCharType="separate"/>
          </w:r>
          <w:r w:rsidR="00103028">
            <w:rPr>
              <w:noProof/>
              <w:sz w:val="16"/>
              <w:szCs w:val="16"/>
            </w:rPr>
            <w:t>1</w:t>
          </w:r>
          <w:r w:rsidRPr="000A2296">
            <w:rPr>
              <w:sz w:val="16"/>
              <w:szCs w:val="16"/>
            </w:rPr>
            <w:fldChar w:fldCharType="end"/>
          </w:r>
        </w:p>
      </w:tc>
    </w:tr>
    <w:tr w:rsidR="00416B4A" w:rsidRPr="000A2296" w14:paraId="13D1CDA7" w14:textId="77777777" w:rsidTr="007B2609">
      <w:tc>
        <w:tcPr>
          <w:tcW w:w="1814" w:type="dxa"/>
          <w:vAlign w:val="center"/>
        </w:tcPr>
        <w:p w14:paraId="378D546B" w14:textId="77777777" w:rsidR="00416B4A" w:rsidRPr="000A2296" w:rsidRDefault="00416B4A" w:rsidP="002F2634">
          <w:pPr>
            <w:pStyle w:val="Fuzeile"/>
            <w:spacing w:after="0"/>
            <w:ind w:right="-83"/>
            <w:rPr>
              <w:sz w:val="16"/>
              <w:szCs w:val="16"/>
            </w:rPr>
          </w:pPr>
          <w:r w:rsidRPr="000A2296">
            <w:rPr>
              <w:sz w:val="16"/>
              <w:szCs w:val="16"/>
            </w:rPr>
            <w:t>Datum:</w:t>
          </w:r>
        </w:p>
      </w:tc>
      <w:tc>
        <w:tcPr>
          <w:tcW w:w="1113" w:type="dxa"/>
          <w:vAlign w:val="center"/>
        </w:tcPr>
        <w:p w14:paraId="43EC54A7" w14:textId="4ADAD05C" w:rsidR="00416B4A" w:rsidRPr="002E1D90" w:rsidRDefault="000A2296" w:rsidP="002F2634">
          <w:pPr>
            <w:pStyle w:val="Fuzeile"/>
            <w:spacing w:after="0"/>
            <w:ind w:right="-83"/>
            <w:rPr>
              <w:sz w:val="16"/>
              <w:szCs w:val="16"/>
            </w:rPr>
          </w:pPr>
          <w:r w:rsidRPr="002E1D90">
            <w:rPr>
              <w:sz w:val="16"/>
              <w:szCs w:val="16"/>
            </w:rPr>
            <w:t>12</w:t>
          </w:r>
          <w:r w:rsidR="00416B4A" w:rsidRPr="002E1D90">
            <w:rPr>
              <w:sz w:val="16"/>
              <w:szCs w:val="16"/>
            </w:rPr>
            <w:t>.2015</w:t>
          </w:r>
        </w:p>
      </w:tc>
      <w:tc>
        <w:tcPr>
          <w:tcW w:w="1155" w:type="dxa"/>
          <w:vAlign w:val="center"/>
        </w:tcPr>
        <w:p w14:paraId="5C7864F5" w14:textId="3821F977" w:rsidR="00416B4A" w:rsidRPr="000A2296" w:rsidRDefault="00015461" w:rsidP="002F2634">
          <w:pPr>
            <w:pStyle w:val="Fuzeile"/>
            <w:spacing w:after="0"/>
            <w:ind w:right="-83"/>
            <w:rPr>
              <w:sz w:val="16"/>
              <w:szCs w:val="16"/>
            </w:rPr>
          </w:pPr>
          <w:r>
            <w:rPr>
              <w:sz w:val="16"/>
              <w:szCs w:val="16"/>
            </w:rPr>
            <w:t>08.2019</w:t>
          </w:r>
        </w:p>
      </w:tc>
      <w:tc>
        <w:tcPr>
          <w:tcW w:w="1073" w:type="dxa"/>
          <w:vAlign w:val="center"/>
        </w:tcPr>
        <w:p w14:paraId="11C5E020" w14:textId="77777777" w:rsidR="00416B4A" w:rsidRPr="000A2296" w:rsidRDefault="00416B4A" w:rsidP="002F2634">
          <w:pPr>
            <w:pStyle w:val="Fuzeile"/>
            <w:spacing w:after="0"/>
            <w:ind w:right="-83"/>
            <w:rPr>
              <w:sz w:val="16"/>
              <w:szCs w:val="16"/>
            </w:rPr>
          </w:pPr>
        </w:p>
      </w:tc>
      <w:tc>
        <w:tcPr>
          <w:tcW w:w="1114" w:type="dxa"/>
          <w:vAlign w:val="center"/>
        </w:tcPr>
        <w:p w14:paraId="6F33EC49" w14:textId="77777777" w:rsidR="00416B4A" w:rsidRPr="000A2296" w:rsidRDefault="00416B4A" w:rsidP="002F2634">
          <w:pPr>
            <w:pStyle w:val="Fuzeile"/>
            <w:spacing w:after="0"/>
            <w:ind w:right="-83"/>
            <w:rPr>
              <w:sz w:val="16"/>
              <w:szCs w:val="16"/>
            </w:rPr>
          </w:pPr>
        </w:p>
      </w:tc>
      <w:tc>
        <w:tcPr>
          <w:tcW w:w="1114" w:type="dxa"/>
          <w:vAlign w:val="center"/>
        </w:tcPr>
        <w:p w14:paraId="35FCA35B" w14:textId="77777777" w:rsidR="00416B4A" w:rsidRPr="000A2296" w:rsidRDefault="00416B4A" w:rsidP="002F2634">
          <w:pPr>
            <w:pStyle w:val="Fuzeile"/>
            <w:spacing w:after="0"/>
            <w:ind w:right="-83"/>
            <w:rPr>
              <w:sz w:val="16"/>
              <w:szCs w:val="16"/>
            </w:rPr>
          </w:pPr>
        </w:p>
      </w:tc>
      <w:tc>
        <w:tcPr>
          <w:tcW w:w="1114" w:type="dxa"/>
          <w:vAlign w:val="center"/>
        </w:tcPr>
        <w:p w14:paraId="3813B732" w14:textId="77777777" w:rsidR="00416B4A" w:rsidRPr="000A2296" w:rsidRDefault="00416B4A" w:rsidP="002F2634">
          <w:pPr>
            <w:pStyle w:val="Fuzeile"/>
            <w:spacing w:after="0"/>
            <w:ind w:right="-83"/>
            <w:rPr>
              <w:sz w:val="16"/>
              <w:szCs w:val="16"/>
            </w:rPr>
          </w:pPr>
          <w:r w:rsidRPr="000A2296">
            <w:rPr>
              <w:sz w:val="16"/>
              <w:szCs w:val="16"/>
            </w:rPr>
            <w:t>Gültig ab:</w:t>
          </w:r>
        </w:p>
      </w:tc>
      <w:tc>
        <w:tcPr>
          <w:tcW w:w="1114" w:type="dxa"/>
          <w:vAlign w:val="center"/>
        </w:tcPr>
        <w:p w14:paraId="6767CA89" w14:textId="77777777" w:rsidR="00416B4A" w:rsidRPr="000A2296" w:rsidRDefault="00416B4A" w:rsidP="002F2634">
          <w:pPr>
            <w:pStyle w:val="Fuzeile"/>
            <w:spacing w:after="0"/>
            <w:ind w:right="-83"/>
            <w:rPr>
              <w:sz w:val="16"/>
              <w:szCs w:val="16"/>
            </w:rPr>
          </w:pPr>
        </w:p>
      </w:tc>
    </w:tr>
    <w:tr w:rsidR="00416B4A" w:rsidRPr="000A2296" w14:paraId="48EB829D" w14:textId="77777777" w:rsidTr="007B2609">
      <w:tc>
        <w:tcPr>
          <w:tcW w:w="1814" w:type="dxa"/>
          <w:vAlign w:val="center"/>
        </w:tcPr>
        <w:p w14:paraId="72CB3803" w14:textId="77777777" w:rsidR="00416B4A" w:rsidRPr="000A2296" w:rsidRDefault="00416B4A" w:rsidP="002F2634">
          <w:pPr>
            <w:pStyle w:val="Fuzeile"/>
            <w:spacing w:after="0"/>
            <w:ind w:right="-83"/>
            <w:rPr>
              <w:sz w:val="16"/>
              <w:szCs w:val="16"/>
            </w:rPr>
          </w:pPr>
          <w:r w:rsidRPr="000A2296">
            <w:rPr>
              <w:sz w:val="16"/>
              <w:szCs w:val="16"/>
            </w:rPr>
            <w:t>Erstellt/geändert:</w:t>
          </w:r>
        </w:p>
      </w:tc>
      <w:tc>
        <w:tcPr>
          <w:tcW w:w="1113" w:type="dxa"/>
          <w:vAlign w:val="center"/>
        </w:tcPr>
        <w:p w14:paraId="7930BBB4" w14:textId="729E15AD" w:rsidR="00416B4A" w:rsidRPr="002E1D90" w:rsidRDefault="00416B4A" w:rsidP="002F2634">
          <w:pPr>
            <w:pStyle w:val="Fuzeile"/>
            <w:spacing w:after="0"/>
            <w:ind w:right="-83"/>
            <w:rPr>
              <w:sz w:val="16"/>
              <w:szCs w:val="16"/>
            </w:rPr>
          </w:pPr>
          <w:proofErr w:type="spellStart"/>
          <w:r w:rsidRPr="002E1D90">
            <w:rPr>
              <w:sz w:val="16"/>
              <w:szCs w:val="16"/>
            </w:rPr>
            <w:t>R.O.E.GmbH</w:t>
          </w:r>
          <w:proofErr w:type="spellEnd"/>
        </w:p>
      </w:tc>
      <w:tc>
        <w:tcPr>
          <w:tcW w:w="1155" w:type="dxa"/>
          <w:vAlign w:val="center"/>
        </w:tcPr>
        <w:p w14:paraId="5D9DE8E4" w14:textId="35B29578" w:rsidR="00416B4A" w:rsidRPr="000A2296" w:rsidRDefault="00015461" w:rsidP="002F2634">
          <w:pPr>
            <w:pStyle w:val="Fuzeile"/>
            <w:spacing w:after="0"/>
            <w:ind w:right="-83"/>
            <w:rPr>
              <w:sz w:val="16"/>
              <w:szCs w:val="16"/>
            </w:rPr>
          </w:pPr>
          <w:proofErr w:type="spellStart"/>
          <w:r>
            <w:rPr>
              <w:sz w:val="16"/>
              <w:szCs w:val="16"/>
            </w:rPr>
            <w:t>R.O.E.GmbH</w:t>
          </w:r>
          <w:proofErr w:type="spellEnd"/>
        </w:p>
      </w:tc>
      <w:tc>
        <w:tcPr>
          <w:tcW w:w="1073" w:type="dxa"/>
          <w:vAlign w:val="center"/>
        </w:tcPr>
        <w:p w14:paraId="0DFC6074" w14:textId="77777777" w:rsidR="00416B4A" w:rsidRPr="000A2296" w:rsidRDefault="00416B4A" w:rsidP="002F2634">
          <w:pPr>
            <w:pStyle w:val="Fuzeile"/>
            <w:spacing w:after="0"/>
            <w:ind w:right="-83"/>
            <w:rPr>
              <w:sz w:val="16"/>
              <w:szCs w:val="16"/>
            </w:rPr>
          </w:pPr>
        </w:p>
      </w:tc>
      <w:tc>
        <w:tcPr>
          <w:tcW w:w="1114" w:type="dxa"/>
          <w:vAlign w:val="center"/>
        </w:tcPr>
        <w:p w14:paraId="260CEBA7" w14:textId="77777777" w:rsidR="00416B4A" w:rsidRPr="000A2296" w:rsidRDefault="00416B4A" w:rsidP="002F2634">
          <w:pPr>
            <w:pStyle w:val="Fuzeile"/>
            <w:spacing w:after="0"/>
            <w:ind w:right="-83"/>
            <w:rPr>
              <w:sz w:val="16"/>
              <w:szCs w:val="16"/>
            </w:rPr>
          </w:pPr>
        </w:p>
      </w:tc>
      <w:tc>
        <w:tcPr>
          <w:tcW w:w="1114" w:type="dxa"/>
          <w:vAlign w:val="center"/>
        </w:tcPr>
        <w:p w14:paraId="58B93145" w14:textId="77777777" w:rsidR="00416B4A" w:rsidRPr="000A2296" w:rsidRDefault="00416B4A" w:rsidP="002F2634">
          <w:pPr>
            <w:pStyle w:val="Fuzeile"/>
            <w:spacing w:after="0"/>
            <w:ind w:right="-83"/>
            <w:rPr>
              <w:sz w:val="16"/>
              <w:szCs w:val="16"/>
            </w:rPr>
          </w:pPr>
        </w:p>
      </w:tc>
      <w:tc>
        <w:tcPr>
          <w:tcW w:w="1114" w:type="dxa"/>
          <w:shd w:val="clear" w:color="auto" w:fill="auto"/>
          <w:vAlign w:val="center"/>
        </w:tcPr>
        <w:p w14:paraId="53A40878" w14:textId="77777777" w:rsidR="00416B4A" w:rsidRPr="000A2296" w:rsidRDefault="00416B4A" w:rsidP="002F2634">
          <w:pPr>
            <w:pStyle w:val="Fuzeile"/>
            <w:spacing w:after="0"/>
            <w:ind w:right="-83"/>
            <w:rPr>
              <w:sz w:val="16"/>
              <w:szCs w:val="16"/>
            </w:rPr>
          </w:pPr>
        </w:p>
      </w:tc>
      <w:tc>
        <w:tcPr>
          <w:tcW w:w="1114" w:type="dxa"/>
          <w:vAlign w:val="center"/>
        </w:tcPr>
        <w:p w14:paraId="56E5CCB8" w14:textId="77777777" w:rsidR="00416B4A" w:rsidRPr="000A2296" w:rsidRDefault="00416B4A" w:rsidP="002F2634">
          <w:pPr>
            <w:pStyle w:val="Fuzeile"/>
            <w:spacing w:after="0"/>
            <w:ind w:right="-83"/>
            <w:rPr>
              <w:sz w:val="16"/>
              <w:szCs w:val="16"/>
            </w:rPr>
          </w:pPr>
        </w:p>
      </w:tc>
    </w:tr>
    <w:tr w:rsidR="00416B4A" w:rsidRPr="000A2296" w14:paraId="6BE78A85" w14:textId="77777777" w:rsidTr="007B2609">
      <w:tc>
        <w:tcPr>
          <w:tcW w:w="1814" w:type="dxa"/>
          <w:vAlign w:val="center"/>
        </w:tcPr>
        <w:p w14:paraId="0DFE9DBA" w14:textId="77777777" w:rsidR="00416B4A" w:rsidRPr="000A2296" w:rsidRDefault="00416B4A" w:rsidP="002F2634">
          <w:pPr>
            <w:pStyle w:val="Fuzeile"/>
            <w:spacing w:after="0"/>
            <w:ind w:right="-83"/>
            <w:rPr>
              <w:sz w:val="16"/>
              <w:szCs w:val="16"/>
            </w:rPr>
          </w:pPr>
          <w:r w:rsidRPr="000A2296">
            <w:rPr>
              <w:sz w:val="16"/>
              <w:szCs w:val="16"/>
            </w:rPr>
            <w:t>Genehmigt:</w:t>
          </w:r>
        </w:p>
      </w:tc>
      <w:tc>
        <w:tcPr>
          <w:tcW w:w="1113" w:type="dxa"/>
          <w:vAlign w:val="center"/>
        </w:tcPr>
        <w:p w14:paraId="7BF59021" w14:textId="77777777" w:rsidR="00416B4A" w:rsidRPr="002E1D90" w:rsidRDefault="00416B4A" w:rsidP="002F2634">
          <w:pPr>
            <w:pStyle w:val="Fuzeile"/>
            <w:spacing w:after="0"/>
            <w:ind w:right="-83"/>
            <w:rPr>
              <w:sz w:val="16"/>
              <w:szCs w:val="16"/>
            </w:rPr>
          </w:pPr>
        </w:p>
      </w:tc>
      <w:tc>
        <w:tcPr>
          <w:tcW w:w="1155" w:type="dxa"/>
          <w:vAlign w:val="center"/>
        </w:tcPr>
        <w:p w14:paraId="16A73E99" w14:textId="77777777" w:rsidR="00416B4A" w:rsidRPr="000A2296" w:rsidRDefault="00416B4A" w:rsidP="002F2634">
          <w:pPr>
            <w:pStyle w:val="Fuzeile"/>
            <w:spacing w:after="0"/>
            <w:ind w:right="-83"/>
            <w:rPr>
              <w:sz w:val="16"/>
              <w:szCs w:val="16"/>
            </w:rPr>
          </w:pPr>
        </w:p>
      </w:tc>
      <w:tc>
        <w:tcPr>
          <w:tcW w:w="1073" w:type="dxa"/>
          <w:vAlign w:val="center"/>
        </w:tcPr>
        <w:p w14:paraId="291929C2" w14:textId="77777777" w:rsidR="00416B4A" w:rsidRPr="000A2296" w:rsidRDefault="00416B4A" w:rsidP="002F2634">
          <w:pPr>
            <w:pStyle w:val="Fuzeile"/>
            <w:spacing w:after="0"/>
            <w:ind w:right="-83"/>
            <w:rPr>
              <w:sz w:val="16"/>
              <w:szCs w:val="16"/>
            </w:rPr>
          </w:pPr>
        </w:p>
      </w:tc>
      <w:tc>
        <w:tcPr>
          <w:tcW w:w="1114" w:type="dxa"/>
          <w:vAlign w:val="center"/>
        </w:tcPr>
        <w:p w14:paraId="4563B777" w14:textId="77777777" w:rsidR="00416B4A" w:rsidRPr="000A2296" w:rsidRDefault="00416B4A" w:rsidP="002F2634">
          <w:pPr>
            <w:pStyle w:val="Fuzeile"/>
            <w:spacing w:after="0"/>
            <w:ind w:right="-83"/>
            <w:rPr>
              <w:sz w:val="16"/>
              <w:szCs w:val="16"/>
            </w:rPr>
          </w:pPr>
        </w:p>
      </w:tc>
      <w:tc>
        <w:tcPr>
          <w:tcW w:w="1114" w:type="dxa"/>
          <w:vAlign w:val="center"/>
        </w:tcPr>
        <w:p w14:paraId="1D822EB8" w14:textId="77777777" w:rsidR="00416B4A" w:rsidRPr="000A2296" w:rsidRDefault="00416B4A" w:rsidP="002F2634">
          <w:pPr>
            <w:pStyle w:val="Fuzeile"/>
            <w:spacing w:after="0"/>
            <w:ind w:right="-83"/>
            <w:rPr>
              <w:sz w:val="16"/>
              <w:szCs w:val="16"/>
            </w:rPr>
          </w:pPr>
        </w:p>
      </w:tc>
      <w:tc>
        <w:tcPr>
          <w:tcW w:w="1114" w:type="dxa"/>
          <w:shd w:val="clear" w:color="auto" w:fill="auto"/>
          <w:vAlign w:val="center"/>
        </w:tcPr>
        <w:p w14:paraId="2646FE32" w14:textId="77777777" w:rsidR="00416B4A" w:rsidRPr="000A2296" w:rsidRDefault="00416B4A" w:rsidP="002F2634">
          <w:pPr>
            <w:pStyle w:val="Fuzeile"/>
            <w:spacing w:after="0"/>
            <w:ind w:right="-83"/>
            <w:rPr>
              <w:sz w:val="16"/>
              <w:szCs w:val="16"/>
            </w:rPr>
          </w:pPr>
        </w:p>
      </w:tc>
      <w:tc>
        <w:tcPr>
          <w:tcW w:w="1114" w:type="dxa"/>
          <w:vAlign w:val="center"/>
        </w:tcPr>
        <w:p w14:paraId="0C92843B" w14:textId="77777777" w:rsidR="00416B4A" w:rsidRPr="000A2296" w:rsidRDefault="00416B4A" w:rsidP="002F2634">
          <w:pPr>
            <w:pStyle w:val="Fuzeile"/>
            <w:spacing w:after="0"/>
            <w:ind w:right="-83"/>
            <w:rPr>
              <w:sz w:val="16"/>
              <w:szCs w:val="16"/>
            </w:rPr>
          </w:pPr>
        </w:p>
      </w:tc>
    </w:tr>
  </w:tbl>
  <w:p w14:paraId="55B38982" w14:textId="78C253F1" w:rsidR="00330719" w:rsidRPr="000A2296" w:rsidRDefault="00416B4A" w:rsidP="00416B4A">
    <w:pPr>
      <w:spacing w:before="60"/>
    </w:pPr>
    <w:r w:rsidRPr="000A2296">
      <w:rPr>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8873" w14:textId="77777777" w:rsidR="006A7F9E" w:rsidRDefault="006A7F9E" w:rsidP="00826AF7">
      <w:r>
        <w:separator/>
      </w:r>
    </w:p>
    <w:p w14:paraId="03C55BC1" w14:textId="77777777" w:rsidR="006A7F9E" w:rsidRDefault="006A7F9E" w:rsidP="00826AF7"/>
    <w:p w14:paraId="455DA287" w14:textId="77777777" w:rsidR="006A7F9E" w:rsidRDefault="006A7F9E" w:rsidP="00826AF7"/>
  </w:footnote>
  <w:footnote w:type="continuationSeparator" w:id="0">
    <w:p w14:paraId="3924582C" w14:textId="77777777" w:rsidR="006A7F9E" w:rsidRDefault="006A7F9E" w:rsidP="00826AF7">
      <w:r>
        <w:continuationSeparator/>
      </w:r>
    </w:p>
    <w:p w14:paraId="425773F0" w14:textId="77777777" w:rsidR="006A7F9E" w:rsidRDefault="006A7F9E" w:rsidP="00826AF7"/>
    <w:p w14:paraId="3007A3DE" w14:textId="77777777" w:rsidR="006A7F9E" w:rsidRDefault="006A7F9E" w:rsidP="00826AF7"/>
  </w:footnote>
  <w:footnote w:id="1">
    <w:p w14:paraId="5F895DAE" w14:textId="77777777" w:rsidR="00AC5F34" w:rsidRPr="004F3AF0" w:rsidRDefault="00AC5F34" w:rsidP="00AC5F34">
      <w:pPr>
        <w:autoSpaceDE w:val="0"/>
        <w:autoSpaceDN w:val="0"/>
        <w:rPr>
          <w:sz w:val="18"/>
          <w:szCs w:val="24"/>
        </w:rPr>
      </w:pPr>
      <w:r w:rsidRPr="004F3AF0">
        <w:rPr>
          <w:rStyle w:val="Funotenzeichen"/>
          <w:sz w:val="18"/>
        </w:rPr>
        <w:footnoteRef/>
      </w:r>
      <w:r w:rsidRPr="004F3AF0">
        <w:rPr>
          <w:sz w:val="18"/>
        </w:rPr>
        <w:t xml:space="preserve"> </w:t>
      </w:r>
      <w:r w:rsidRPr="004F3AF0">
        <w:rPr>
          <w:color w:val="000000"/>
          <w:sz w:val="18"/>
          <w:szCs w:val="24"/>
        </w:rPr>
        <w:t>Punkt, an dem elektrische Energie in die elektrische Anlage der Bau- oder Montagestelle eingespeist wird.</w:t>
      </w:r>
    </w:p>
    <w:p w14:paraId="33DBCEB4" w14:textId="77777777" w:rsidR="00AC5F34" w:rsidRDefault="00AC5F34" w:rsidP="00AC5F3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16B4A" w:rsidRPr="000A2296" w14:paraId="42FDB060" w14:textId="77777777" w:rsidTr="007B2609">
      <w:trPr>
        <w:trHeight w:val="841"/>
      </w:trPr>
      <w:tc>
        <w:tcPr>
          <w:tcW w:w="2349" w:type="dxa"/>
          <w:vAlign w:val="center"/>
        </w:tcPr>
        <w:p w14:paraId="55E03528" w14:textId="396F1200" w:rsidR="00416B4A" w:rsidRPr="000A2296" w:rsidRDefault="002E1D90" w:rsidP="002F2634">
          <w:pPr>
            <w:pStyle w:val="KeinLeerraum"/>
            <w:jc w:val="center"/>
            <w:rPr>
              <w:b/>
              <w:sz w:val="18"/>
            </w:rPr>
          </w:pPr>
          <w:r>
            <w:rPr>
              <w:noProof/>
            </w:rPr>
            <w:drawing>
              <wp:inline distT="0" distB="0" distL="0" distR="0" wp14:anchorId="1B27CE58" wp14:editId="6123CF06">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156423B7" w14:textId="77777777" w:rsidR="00416B4A" w:rsidRPr="000A2296" w:rsidRDefault="00416B4A" w:rsidP="002F2634">
          <w:pPr>
            <w:jc w:val="center"/>
            <w:rPr>
              <w:b/>
              <w:sz w:val="36"/>
              <w:szCs w:val="36"/>
            </w:rPr>
          </w:pPr>
          <w:r w:rsidRPr="000A2296">
            <w:rPr>
              <w:b/>
              <w:sz w:val="36"/>
              <w:szCs w:val="36"/>
            </w:rPr>
            <w:t>Elektro-Tipp</w:t>
          </w:r>
        </w:p>
      </w:tc>
      <w:tc>
        <w:tcPr>
          <w:tcW w:w="2236" w:type="dxa"/>
          <w:vAlign w:val="center"/>
        </w:tcPr>
        <w:p w14:paraId="3DBAD156" w14:textId="77777777" w:rsidR="00416B4A" w:rsidRPr="000A2296" w:rsidRDefault="00416B4A" w:rsidP="002F2634">
          <w:pPr>
            <w:jc w:val="center"/>
          </w:pPr>
          <w:r w:rsidRPr="000A2296">
            <w:t>Firmenlogo</w:t>
          </w:r>
        </w:p>
      </w:tc>
    </w:tr>
    <w:tr w:rsidR="00416B4A" w:rsidRPr="000A2296" w14:paraId="52C147D6" w14:textId="77777777" w:rsidTr="007B2609">
      <w:trPr>
        <w:trHeight w:val="832"/>
      </w:trPr>
      <w:tc>
        <w:tcPr>
          <w:tcW w:w="2349" w:type="dxa"/>
          <w:vAlign w:val="center"/>
        </w:tcPr>
        <w:p w14:paraId="19642E71" w14:textId="1DA81671" w:rsidR="00416B4A" w:rsidRPr="000A2296" w:rsidRDefault="00416B4A" w:rsidP="002F2634">
          <w:pPr>
            <w:jc w:val="center"/>
          </w:pPr>
          <w:r w:rsidRPr="000A2296">
            <w:rPr>
              <w:b/>
            </w:rPr>
            <w:t>UW_ET_0</w:t>
          </w:r>
          <w:r w:rsidR="000A2296" w:rsidRPr="000A2296">
            <w:rPr>
              <w:b/>
            </w:rPr>
            <w:t>6</w:t>
          </w:r>
        </w:p>
      </w:tc>
      <w:tc>
        <w:tcPr>
          <w:tcW w:w="5026" w:type="dxa"/>
          <w:vAlign w:val="center"/>
        </w:tcPr>
        <w:p w14:paraId="0EAC2ACD" w14:textId="77777777" w:rsidR="000A2296" w:rsidRPr="000A2296" w:rsidRDefault="000A2296" w:rsidP="000A2296">
          <w:pPr>
            <w:spacing w:after="0"/>
            <w:jc w:val="center"/>
            <w:rPr>
              <w:sz w:val="28"/>
              <w:szCs w:val="28"/>
            </w:rPr>
          </w:pPr>
          <w:r w:rsidRPr="000A2296">
            <w:rPr>
              <w:sz w:val="28"/>
              <w:szCs w:val="28"/>
            </w:rPr>
            <w:t>Sichere Energieversorgung auf</w:t>
          </w:r>
        </w:p>
        <w:p w14:paraId="3356572E" w14:textId="3B7BEC7E" w:rsidR="00416B4A" w:rsidRPr="000A2296" w:rsidRDefault="000A2296" w:rsidP="000A2296">
          <w:pPr>
            <w:spacing w:after="0"/>
            <w:jc w:val="center"/>
            <w:rPr>
              <w:sz w:val="28"/>
              <w:szCs w:val="28"/>
            </w:rPr>
          </w:pPr>
          <w:r w:rsidRPr="000A2296">
            <w:rPr>
              <w:sz w:val="28"/>
              <w:szCs w:val="28"/>
            </w:rPr>
            <w:t>Bau-</w:t>
          </w:r>
          <w:r w:rsidR="00015461">
            <w:rPr>
              <w:sz w:val="28"/>
              <w:szCs w:val="28"/>
            </w:rPr>
            <w:t xml:space="preserve"> </w:t>
          </w:r>
          <w:r w:rsidRPr="000A2296">
            <w:rPr>
              <w:sz w:val="28"/>
              <w:szCs w:val="28"/>
            </w:rPr>
            <w:t>und Montagestellen</w:t>
          </w:r>
        </w:p>
      </w:tc>
      <w:tc>
        <w:tcPr>
          <w:tcW w:w="2236" w:type="dxa"/>
          <w:vAlign w:val="center"/>
        </w:tcPr>
        <w:p w14:paraId="125B470C" w14:textId="77777777" w:rsidR="00416B4A" w:rsidRPr="000A2296" w:rsidRDefault="00416B4A" w:rsidP="002F2634">
          <w:pPr>
            <w:jc w:val="center"/>
          </w:pPr>
        </w:p>
      </w:tc>
    </w:tr>
  </w:tbl>
  <w:p w14:paraId="7E86F936" w14:textId="05DC2CF1" w:rsidR="00330719" w:rsidRPr="00416B4A" w:rsidRDefault="00330719" w:rsidP="00416B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6179D5"/>
    <w:multiLevelType w:val="hybridMultilevel"/>
    <w:tmpl w:val="3FF4C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F02BBC"/>
    <w:multiLevelType w:val="hybridMultilevel"/>
    <w:tmpl w:val="F4E0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F0C22"/>
    <w:multiLevelType w:val="hybridMultilevel"/>
    <w:tmpl w:val="450C53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9"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522ED3"/>
    <w:multiLevelType w:val="hybridMultilevel"/>
    <w:tmpl w:val="158CF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B3542"/>
    <w:multiLevelType w:val="hybridMultilevel"/>
    <w:tmpl w:val="B9C2F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7"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6"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9"/>
  </w:num>
  <w:num w:numId="4">
    <w:abstractNumId w:val="2"/>
  </w:num>
  <w:num w:numId="5">
    <w:abstractNumId w:val="17"/>
  </w:num>
  <w:num w:numId="6">
    <w:abstractNumId w:val="37"/>
  </w:num>
  <w:num w:numId="7">
    <w:abstractNumId w:val="24"/>
  </w:num>
  <w:num w:numId="8">
    <w:abstractNumId w:val="33"/>
  </w:num>
  <w:num w:numId="9">
    <w:abstractNumId w:val="21"/>
  </w:num>
  <w:num w:numId="10">
    <w:abstractNumId w:val="32"/>
  </w:num>
  <w:num w:numId="11">
    <w:abstractNumId w:val="6"/>
  </w:num>
  <w:num w:numId="12">
    <w:abstractNumId w:val="11"/>
  </w:num>
  <w:num w:numId="13">
    <w:abstractNumId w:val="36"/>
  </w:num>
  <w:num w:numId="14">
    <w:abstractNumId w:val="7"/>
  </w:num>
  <w:num w:numId="15">
    <w:abstractNumId w:val="20"/>
  </w:num>
  <w:num w:numId="16">
    <w:abstractNumId w:val="31"/>
  </w:num>
  <w:num w:numId="17">
    <w:abstractNumId w:val="16"/>
  </w:num>
  <w:num w:numId="18">
    <w:abstractNumId w:val="12"/>
  </w:num>
  <w:num w:numId="19">
    <w:abstractNumId w:val="9"/>
  </w:num>
  <w:num w:numId="20">
    <w:abstractNumId w:val="27"/>
  </w:num>
  <w:num w:numId="21">
    <w:abstractNumId w:val="23"/>
  </w:num>
  <w:num w:numId="22">
    <w:abstractNumId w:val="2"/>
  </w:num>
  <w:num w:numId="23">
    <w:abstractNumId w:val="2"/>
  </w:num>
  <w:num w:numId="24">
    <w:abstractNumId w:val="2"/>
  </w:num>
  <w:num w:numId="25">
    <w:abstractNumId w:val="29"/>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8"/>
  </w:num>
  <w:num w:numId="33">
    <w:abstractNumId w:val="3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num>
  <w:num w:numId="37">
    <w:abstractNumId w:val="8"/>
  </w:num>
  <w:num w:numId="38">
    <w:abstractNumId w:val="1"/>
  </w:num>
  <w:num w:numId="39">
    <w:abstractNumId w:val="0"/>
  </w:num>
  <w:num w:numId="40">
    <w:abstractNumId w:val="14"/>
  </w:num>
  <w:num w:numId="41">
    <w:abstractNumId w:val="5"/>
  </w:num>
  <w:num w:numId="42">
    <w:abstractNumId w:val="34"/>
  </w:num>
  <w:num w:numId="43">
    <w:abstractNumId w:val="4"/>
  </w:num>
  <w:num w:numId="44">
    <w:abstractNumId w:val="25"/>
  </w:num>
  <w:num w:numId="45">
    <w:abstractNumId w:val="13"/>
  </w:num>
  <w:num w:numId="46">
    <w:abstractNumId w:val="10"/>
  </w:num>
  <w:num w:numId="47">
    <w:abstractNumId w:val="22"/>
  </w:num>
  <w:num w:numId="4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5461"/>
    <w:rsid w:val="00016152"/>
    <w:rsid w:val="00023FB9"/>
    <w:rsid w:val="000242FC"/>
    <w:rsid w:val="00024838"/>
    <w:rsid w:val="00033B20"/>
    <w:rsid w:val="00037B1A"/>
    <w:rsid w:val="000400C8"/>
    <w:rsid w:val="00040C81"/>
    <w:rsid w:val="0007316A"/>
    <w:rsid w:val="00083141"/>
    <w:rsid w:val="00090781"/>
    <w:rsid w:val="00091A2C"/>
    <w:rsid w:val="00091DDC"/>
    <w:rsid w:val="00097DE6"/>
    <w:rsid w:val="000A2296"/>
    <w:rsid w:val="000A2981"/>
    <w:rsid w:val="000A2C61"/>
    <w:rsid w:val="000A7617"/>
    <w:rsid w:val="000B1ED1"/>
    <w:rsid w:val="000C13D0"/>
    <w:rsid w:val="000C55CC"/>
    <w:rsid w:val="000C6A29"/>
    <w:rsid w:val="000E1425"/>
    <w:rsid w:val="000E70B5"/>
    <w:rsid w:val="000F4359"/>
    <w:rsid w:val="00100DC9"/>
    <w:rsid w:val="00103028"/>
    <w:rsid w:val="00113431"/>
    <w:rsid w:val="00121339"/>
    <w:rsid w:val="00121416"/>
    <w:rsid w:val="00137832"/>
    <w:rsid w:val="001402C3"/>
    <w:rsid w:val="00152A3E"/>
    <w:rsid w:val="00154449"/>
    <w:rsid w:val="00160054"/>
    <w:rsid w:val="0016037D"/>
    <w:rsid w:val="001638CC"/>
    <w:rsid w:val="0016471F"/>
    <w:rsid w:val="00165E35"/>
    <w:rsid w:val="00171F84"/>
    <w:rsid w:val="00182075"/>
    <w:rsid w:val="00194762"/>
    <w:rsid w:val="001A46D5"/>
    <w:rsid w:val="001B10E1"/>
    <w:rsid w:val="001D2245"/>
    <w:rsid w:val="001E13E5"/>
    <w:rsid w:val="001E2C1F"/>
    <w:rsid w:val="001E5B55"/>
    <w:rsid w:val="00206522"/>
    <w:rsid w:val="00216CD4"/>
    <w:rsid w:val="00226D01"/>
    <w:rsid w:val="002303AC"/>
    <w:rsid w:val="00242DCD"/>
    <w:rsid w:val="00243D09"/>
    <w:rsid w:val="00244302"/>
    <w:rsid w:val="002577EA"/>
    <w:rsid w:val="00257A91"/>
    <w:rsid w:val="0026486F"/>
    <w:rsid w:val="002667FA"/>
    <w:rsid w:val="00290A87"/>
    <w:rsid w:val="002A0674"/>
    <w:rsid w:val="002A63CB"/>
    <w:rsid w:val="002A6A64"/>
    <w:rsid w:val="002C7507"/>
    <w:rsid w:val="002D08AD"/>
    <w:rsid w:val="002D5E17"/>
    <w:rsid w:val="002E00A9"/>
    <w:rsid w:val="002E1D90"/>
    <w:rsid w:val="002E7496"/>
    <w:rsid w:val="002F3BB5"/>
    <w:rsid w:val="00303E39"/>
    <w:rsid w:val="00304F23"/>
    <w:rsid w:val="00305438"/>
    <w:rsid w:val="00317C3B"/>
    <w:rsid w:val="0032016F"/>
    <w:rsid w:val="00330719"/>
    <w:rsid w:val="0033379C"/>
    <w:rsid w:val="00343F20"/>
    <w:rsid w:val="003579E2"/>
    <w:rsid w:val="003654E8"/>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16B4A"/>
    <w:rsid w:val="0042405C"/>
    <w:rsid w:val="00427102"/>
    <w:rsid w:val="0043041C"/>
    <w:rsid w:val="00431B8C"/>
    <w:rsid w:val="004424BB"/>
    <w:rsid w:val="004446A0"/>
    <w:rsid w:val="00445BD0"/>
    <w:rsid w:val="004510F0"/>
    <w:rsid w:val="004523E8"/>
    <w:rsid w:val="004639D8"/>
    <w:rsid w:val="00464A09"/>
    <w:rsid w:val="00483692"/>
    <w:rsid w:val="00486FAC"/>
    <w:rsid w:val="004917C9"/>
    <w:rsid w:val="004B0A6F"/>
    <w:rsid w:val="004B38B5"/>
    <w:rsid w:val="004C32B1"/>
    <w:rsid w:val="004C533D"/>
    <w:rsid w:val="004D164C"/>
    <w:rsid w:val="004F2B84"/>
    <w:rsid w:val="00501116"/>
    <w:rsid w:val="00504630"/>
    <w:rsid w:val="005202B9"/>
    <w:rsid w:val="00520C47"/>
    <w:rsid w:val="00521379"/>
    <w:rsid w:val="00525C0B"/>
    <w:rsid w:val="005327E8"/>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F0979"/>
    <w:rsid w:val="005F19BE"/>
    <w:rsid w:val="006152E4"/>
    <w:rsid w:val="0063364D"/>
    <w:rsid w:val="00635C90"/>
    <w:rsid w:val="0065508F"/>
    <w:rsid w:val="00660648"/>
    <w:rsid w:val="00683232"/>
    <w:rsid w:val="006A7F9E"/>
    <w:rsid w:val="006B4AAD"/>
    <w:rsid w:val="006C09B8"/>
    <w:rsid w:val="006C138E"/>
    <w:rsid w:val="006C2A23"/>
    <w:rsid w:val="006C3D6A"/>
    <w:rsid w:val="006C4F04"/>
    <w:rsid w:val="006D6005"/>
    <w:rsid w:val="006E14F7"/>
    <w:rsid w:val="0070668F"/>
    <w:rsid w:val="00715779"/>
    <w:rsid w:val="00717290"/>
    <w:rsid w:val="00727689"/>
    <w:rsid w:val="00732424"/>
    <w:rsid w:val="00742859"/>
    <w:rsid w:val="00750F34"/>
    <w:rsid w:val="0077037F"/>
    <w:rsid w:val="00771EE2"/>
    <w:rsid w:val="00775D61"/>
    <w:rsid w:val="00786983"/>
    <w:rsid w:val="007933E6"/>
    <w:rsid w:val="00794EDC"/>
    <w:rsid w:val="007A3BEF"/>
    <w:rsid w:val="007B175C"/>
    <w:rsid w:val="007B2609"/>
    <w:rsid w:val="007C253F"/>
    <w:rsid w:val="007F6562"/>
    <w:rsid w:val="00801234"/>
    <w:rsid w:val="00803EC7"/>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D0E83"/>
    <w:rsid w:val="008E44FA"/>
    <w:rsid w:val="008E52FB"/>
    <w:rsid w:val="008F6219"/>
    <w:rsid w:val="0090442A"/>
    <w:rsid w:val="00907E0F"/>
    <w:rsid w:val="0091020D"/>
    <w:rsid w:val="00923062"/>
    <w:rsid w:val="00927059"/>
    <w:rsid w:val="00941E5D"/>
    <w:rsid w:val="00961422"/>
    <w:rsid w:val="0097720B"/>
    <w:rsid w:val="009826DD"/>
    <w:rsid w:val="009945E6"/>
    <w:rsid w:val="009A3A63"/>
    <w:rsid w:val="009B3F1D"/>
    <w:rsid w:val="009B6050"/>
    <w:rsid w:val="009B69C5"/>
    <w:rsid w:val="009C22CC"/>
    <w:rsid w:val="009D5922"/>
    <w:rsid w:val="009E07E4"/>
    <w:rsid w:val="009E0D93"/>
    <w:rsid w:val="009F314C"/>
    <w:rsid w:val="009F69EF"/>
    <w:rsid w:val="00A014A0"/>
    <w:rsid w:val="00A13A43"/>
    <w:rsid w:val="00A176DB"/>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C5F34"/>
    <w:rsid w:val="00AE13E1"/>
    <w:rsid w:val="00AE242E"/>
    <w:rsid w:val="00AE7059"/>
    <w:rsid w:val="00AE7FAF"/>
    <w:rsid w:val="00AF799F"/>
    <w:rsid w:val="00B0299F"/>
    <w:rsid w:val="00B05CB5"/>
    <w:rsid w:val="00B10C3D"/>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E7F2C"/>
    <w:rsid w:val="00C128C5"/>
    <w:rsid w:val="00C274A8"/>
    <w:rsid w:val="00C33C84"/>
    <w:rsid w:val="00C34213"/>
    <w:rsid w:val="00C37C0D"/>
    <w:rsid w:val="00C45973"/>
    <w:rsid w:val="00C7265B"/>
    <w:rsid w:val="00C74287"/>
    <w:rsid w:val="00C948C7"/>
    <w:rsid w:val="00C97F95"/>
    <w:rsid w:val="00CA5634"/>
    <w:rsid w:val="00CA7C93"/>
    <w:rsid w:val="00CB5431"/>
    <w:rsid w:val="00CD56A7"/>
    <w:rsid w:val="00CE452B"/>
    <w:rsid w:val="00D2005D"/>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7FE1"/>
    <w:rsid w:val="00E11197"/>
    <w:rsid w:val="00E377BE"/>
    <w:rsid w:val="00E546E6"/>
    <w:rsid w:val="00E54D77"/>
    <w:rsid w:val="00E720A4"/>
    <w:rsid w:val="00E82621"/>
    <w:rsid w:val="00E82C90"/>
    <w:rsid w:val="00E86225"/>
    <w:rsid w:val="00E96A4B"/>
    <w:rsid w:val="00E9739E"/>
    <w:rsid w:val="00EC6C9F"/>
    <w:rsid w:val="00EE0586"/>
    <w:rsid w:val="00EE12FB"/>
    <w:rsid w:val="00EE6106"/>
    <w:rsid w:val="00F078A2"/>
    <w:rsid w:val="00F16A65"/>
    <w:rsid w:val="00F31CAF"/>
    <w:rsid w:val="00F40E6B"/>
    <w:rsid w:val="00F44710"/>
    <w:rsid w:val="00F50CAE"/>
    <w:rsid w:val="00F84A6A"/>
    <w:rsid w:val="00FA4E65"/>
    <w:rsid w:val="00FB0D3A"/>
    <w:rsid w:val="00FB3FAC"/>
    <w:rsid w:val="00FC0A36"/>
    <w:rsid w:val="00FC1C9A"/>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FE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26909445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4237-5B2D-394C-9658-4C439ADA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2269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3</cp:revision>
  <cp:lastPrinted>2014-01-08T08:58:00Z</cp:lastPrinted>
  <dcterms:created xsi:type="dcterms:W3CDTF">2019-08-09T07:05:00Z</dcterms:created>
  <dcterms:modified xsi:type="dcterms:W3CDTF">2019-08-09T07:05:00Z</dcterms:modified>
</cp:coreProperties>
</file>