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139F2DE4"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2272F8">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D5FB59C" w:rsidR="00F1424D" w:rsidRPr="00443CAA" w:rsidRDefault="00427547" w:rsidP="003E4420">
            <w:pPr>
              <w:spacing w:before="120"/>
              <w:ind w:left="72"/>
              <w:jc w:val="center"/>
              <w:rPr>
                <w:rFonts w:ascii="Arial" w:hAnsi="Arial" w:cs="Arial"/>
              </w:rPr>
            </w:pPr>
            <w:r>
              <w:rPr>
                <w:noProof/>
              </w:rPr>
              <w:drawing>
                <wp:inline distT="0" distB="0" distL="0" distR="0" wp14:anchorId="45A7771B" wp14:editId="449114CF">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2920DF51" w:rsidR="002272F8" w:rsidRPr="00443CAA" w:rsidRDefault="002272F8" w:rsidP="006F55D9">
            <w:pPr>
              <w:jc w:val="center"/>
              <w:rPr>
                <w:rFonts w:ascii="Arial" w:hAnsi="Arial" w:cs="Arial"/>
                <w:b/>
                <w:sz w:val="24"/>
                <w:szCs w:val="24"/>
              </w:rPr>
            </w:pPr>
            <w:r w:rsidRPr="002272F8">
              <w:rPr>
                <w:rFonts w:ascii="Arial" w:hAnsi="Arial" w:cs="Arial"/>
                <w:b/>
                <w:color w:val="000000" w:themeColor="text1"/>
                <w:sz w:val="24"/>
                <w:szCs w:val="24"/>
              </w:rPr>
              <w:t>Austausch von elektrischen Komponenten und Motoren</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2272F8"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2272F8" w:rsidRPr="00443CAA" w:rsidRDefault="002272F8" w:rsidP="00A25DF1">
            <w:pPr>
              <w:jc w:val="center"/>
              <w:rPr>
                <w:rFonts w:ascii="Arial" w:hAnsi="Arial" w:cs="Arial"/>
                <w:b/>
                <w:color w:val="000000" w:themeColor="text1"/>
                <w:sz w:val="24"/>
              </w:rPr>
            </w:pPr>
            <w:r>
              <w:rPr>
                <w:rFonts w:ascii="Arial" w:hAnsi="Arial"/>
                <w:b/>
                <w:sz w:val="24"/>
              </w:rPr>
              <w:t>Anwendungsbereich</w:t>
            </w:r>
          </w:p>
        </w:tc>
      </w:tr>
      <w:tr w:rsidR="002272F8"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2272F8" w:rsidRPr="00443CAA" w:rsidRDefault="002272F8"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A475311" w14:textId="77777777" w:rsidR="008C3B72" w:rsidRPr="008C3B72" w:rsidRDefault="008C3B72" w:rsidP="008C3B72">
            <w:pPr>
              <w:pStyle w:val="Listenabsatz"/>
              <w:numPr>
                <w:ilvl w:val="0"/>
                <w:numId w:val="1"/>
              </w:numPr>
              <w:ind w:left="355"/>
              <w:rPr>
                <w:rFonts w:ascii="Arial" w:hAnsi="Arial" w:cs="Arial"/>
              </w:rPr>
            </w:pPr>
            <w:r w:rsidRPr="008C3B72">
              <w:rPr>
                <w:rFonts w:ascii="Arial" w:hAnsi="Arial" w:cs="Arial"/>
              </w:rPr>
              <w:t>Komponententausch</w:t>
            </w:r>
          </w:p>
          <w:p w14:paraId="39AACE74" w14:textId="1D4AB601" w:rsidR="002272F8" w:rsidRPr="00443CAA" w:rsidRDefault="008C3B72" w:rsidP="008C3B72">
            <w:pPr>
              <w:pStyle w:val="Listenabsatz"/>
              <w:numPr>
                <w:ilvl w:val="0"/>
                <w:numId w:val="1"/>
              </w:numPr>
              <w:ind w:left="355"/>
              <w:rPr>
                <w:rFonts w:ascii="Arial" w:hAnsi="Arial" w:cs="Arial"/>
              </w:rPr>
            </w:pPr>
            <w:r w:rsidRPr="008C3B72">
              <w:rPr>
                <w:rFonts w:ascii="Arial" w:hAnsi="Arial" w:cs="Arial"/>
              </w:rPr>
              <w:t>Motortausch</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2272F8" w:rsidRPr="00443CAA" w:rsidRDefault="002272F8" w:rsidP="003E4420">
            <w:pPr>
              <w:jc w:val="center"/>
              <w:rPr>
                <w:rFonts w:ascii="Arial" w:hAnsi="Arial" w:cs="Arial"/>
              </w:rPr>
            </w:pPr>
          </w:p>
        </w:tc>
      </w:tr>
      <w:tr w:rsidR="002272F8"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2272F8" w:rsidRPr="00443CAA" w:rsidRDefault="002272F8"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2272F8"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1952BCF5" w:rsidR="002272F8" w:rsidRPr="00443CAA" w:rsidRDefault="008C3B72" w:rsidP="00AF55A0">
            <w:pPr>
              <w:ind w:hanging="70"/>
              <w:jc w:val="center"/>
              <w:rPr>
                <w:rFonts w:ascii="Arial" w:hAnsi="Arial" w:cs="Arial"/>
              </w:rPr>
            </w:pPr>
            <w:r w:rsidRPr="004325D1">
              <w:rPr>
                <w:rFonts w:ascii="Arial" w:hAnsi="Arial"/>
                <w:noProof/>
              </w:rPr>
              <w:drawing>
                <wp:inline distT="0" distB="0" distL="0" distR="0" wp14:anchorId="1627BDD3" wp14:editId="0DAA11AF">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2272F8"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36796A3A" w14:textId="2EE6F9C8" w:rsidR="008C3B72" w:rsidRPr="008C3B72" w:rsidRDefault="008C3B72" w:rsidP="008C3B72">
            <w:pPr>
              <w:pStyle w:val="Listenabsatz"/>
              <w:numPr>
                <w:ilvl w:val="0"/>
                <w:numId w:val="1"/>
              </w:numPr>
              <w:ind w:left="355"/>
              <w:rPr>
                <w:rFonts w:ascii="Arial" w:hAnsi="Arial" w:cs="Arial"/>
              </w:rPr>
            </w:pPr>
            <w:r w:rsidRPr="008C3B72">
              <w:rPr>
                <w:rFonts w:ascii="Arial" w:hAnsi="Arial" w:cs="Arial"/>
              </w:rPr>
              <w:t xml:space="preserve">Elektrische </w:t>
            </w:r>
            <w:proofErr w:type="spellStart"/>
            <w:r w:rsidRPr="008C3B72">
              <w:rPr>
                <w:rFonts w:ascii="Arial" w:hAnsi="Arial" w:cs="Arial"/>
              </w:rPr>
              <w:t>Körperdurchströmung</w:t>
            </w:r>
            <w:proofErr w:type="spellEnd"/>
            <w:r w:rsidRPr="008C3B72">
              <w:rPr>
                <w:rFonts w:ascii="Arial" w:hAnsi="Arial" w:cs="Arial"/>
              </w:rPr>
              <w:t xml:space="preserve"> durch Berührung </w:t>
            </w:r>
            <w:r w:rsidR="00427547">
              <w:rPr>
                <w:rFonts w:ascii="Arial" w:hAnsi="Arial" w:cs="Arial"/>
              </w:rPr>
              <w:t>s</w:t>
            </w:r>
            <w:r w:rsidRPr="008C3B72">
              <w:rPr>
                <w:rFonts w:ascii="Arial" w:hAnsi="Arial" w:cs="Arial"/>
              </w:rPr>
              <w:t>pannung</w:t>
            </w:r>
            <w:r w:rsidR="00427547">
              <w:rPr>
                <w:rFonts w:ascii="Arial" w:hAnsi="Arial" w:cs="Arial"/>
              </w:rPr>
              <w:t>s</w:t>
            </w:r>
            <w:r w:rsidRPr="008C3B72">
              <w:rPr>
                <w:rFonts w:ascii="Arial" w:hAnsi="Arial" w:cs="Arial"/>
              </w:rPr>
              <w:t>führender Teile.</w:t>
            </w:r>
          </w:p>
          <w:p w14:paraId="6AECFBD3" w14:textId="77777777" w:rsidR="008C3B72" w:rsidRPr="008C3B72" w:rsidRDefault="008C3B72" w:rsidP="008C3B72">
            <w:pPr>
              <w:pStyle w:val="Listenabsatz"/>
              <w:numPr>
                <w:ilvl w:val="0"/>
                <w:numId w:val="1"/>
              </w:numPr>
              <w:ind w:left="355"/>
              <w:rPr>
                <w:rFonts w:ascii="Arial" w:hAnsi="Arial" w:cs="Arial"/>
              </w:rPr>
            </w:pPr>
            <w:r w:rsidRPr="008C3B72">
              <w:rPr>
                <w:rFonts w:ascii="Arial" w:hAnsi="Arial" w:cs="Arial"/>
              </w:rPr>
              <w:t>Verbrennungsgefahr durch Lichtbogen.</w:t>
            </w:r>
          </w:p>
          <w:p w14:paraId="5F161544" w14:textId="2085B5CE" w:rsidR="002272F8" w:rsidRPr="00443CAA" w:rsidRDefault="008C3B72" w:rsidP="008C3B72">
            <w:pPr>
              <w:pStyle w:val="Listenabsatz"/>
              <w:numPr>
                <w:ilvl w:val="0"/>
                <w:numId w:val="1"/>
              </w:numPr>
              <w:ind w:left="355"/>
              <w:rPr>
                <w:rFonts w:ascii="Arial" w:hAnsi="Arial" w:cs="Arial"/>
              </w:rPr>
            </w:pPr>
            <w:r w:rsidRPr="008C3B72">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2272F8" w:rsidRPr="00443CAA" w:rsidRDefault="002272F8" w:rsidP="00AF55A0">
            <w:pPr>
              <w:jc w:val="center"/>
              <w:rPr>
                <w:rFonts w:ascii="Arial" w:hAnsi="Arial" w:cs="Arial"/>
              </w:rPr>
            </w:pPr>
          </w:p>
        </w:tc>
      </w:tr>
      <w:tr w:rsidR="002272F8"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2272F8" w:rsidRPr="00443CAA" w:rsidRDefault="002272F8"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2272F8"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2272F8" w:rsidRPr="00443CAA" w:rsidRDefault="002272F8"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608A9B2" w14:textId="32AA6701" w:rsidR="008C3B72" w:rsidRDefault="008C3B72" w:rsidP="008C3B72">
            <w:pPr>
              <w:pStyle w:val="StandardfrTabelle10"/>
              <w:numPr>
                <w:ilvl w:val="0"/>
                <w:numId w:val="1"/>
              </w:numPr>
              <w:ind w:left="355"/>
              <w:rPr>
                <w:rFonts w:cs="Arial"/>
              </w:rPr>
            </w:pPr>
            <w:r>
              <w:rPr>
                <w:rFonts w:cs="Arial"/>
              </w:rPr>
              <w:t>Für ausreichenden Arbeitsraum sorgen</w:t>
            </w:r>
            <w:r w:rsidR="00427547">
              <w:rPr>
                <w:rFonts w:cs="Arial"/>
              </w:rPr>
              <w:t>.</w:t>
            </w:r>
          </w:p>
          <w:p w14:paraId="3562D9D2" w14:textId="77777777" w:rsidR="008C3B72" w:rsidRDefault="008C3B72" w:rsidP="008C3B72">
            <w:pPr>
              <w:pStyle w:val="StandardfrTabelle10"/>
              <w:numPr>
                <w:ilvl w:val="0"/>
                <w:numId w:val="1"/>
              </w:numPr>
              <w:ind w:left="355"/>
              <w:rPr>
                <w:rFonts w:cs="Arial"/>
              </w:rPr>
            </w:pPr>
            <w:r>
              <w:rPr>
                <w:rFonts w:cs="Arial"/>
              </w:rPr>
              <w:t>Die Tätigkeit darf grundsätzlich nur im spannungsfreien Zustand durchgeführt werden.</w:t>
            </w:r>
          </w:p>
          <w:p w14:paraId="2C4B240F" w14:textId="4AF70352" w:rsidR="008C3B72" w:rsidRDefault="008C3B72" w:rsidP="008C3B72">
            <w:pPr>
              <w:pStyle w:val="StandardfrTabelle10"/>
              <w:numPr>
                <w:ilvl w:val="0"/>
                <w:numId w:val="1"/>
              </w:numPr>
              <w:ind w:left="355"/>
              <w:rPr>
                <w:rFonts w:cs="Arial"/>
              </w:rPr>
            </w:pPr>
            <w:r>
              <w:rPr>
                <w:rFonts w:cs="Arial"/>
              </w:rPr>
              <w:t>Vor Beginn der Arbeiten sind der Arbeitsplatz und der Gefahrenbereich zu kennzeichnen und ggf. Absperrmaßnahmen durch</w:t>
            </w:r>
            <w:r w:rsidR="00427547">
              <w:rPr>
                <w:rFonts w:cs="Arial"/>
              </w:rPr>
              <w:t>zu</w:t>
            </w:r>
            <w:r>
              <w:rPr>
                <w:rFonts w:cs="Arial"/>
              </w:rPr>
              <w:t>führen.</w:t>
            </w:r>
          </w:p>
          <w:p w14:paraId="59B313F6" w14:textId="77777777" w:rsidR="008C3B72" w:rsidRDefault="008C3B72" w:rsidP="008C3B72">
            <w:pPr>
              <w:pStyle w:val="StandardfrTabelle10"/>
              <w:numPr>
                <w:ilvl w:val="0"/>
                <w:numId w:val="1"/>
              </w:numPr>
              <w:ind w:left="355"/>
              <w:rPr>
                <w:rFonts w:cs="Arial"/>
              </w:rPr>
            </w:pPr>
            <w:r>
              <w:rPr>
                <w:rFonts w:cs="Arial"/>
              </w:rPr>
              <w:t>Entsprechende Arbeiten im Geltungsbereich dieser Arbeitsanweisung dürfen nur nach einer schriftlichen Freigabe der Arbeitsstelle durch den Anlagenverantwortlichen durchgeführt werden.</w:t>
            </w:r>
          </w:p>
          <w:p w14:paraId="4611AD44" w14:textId="77777777" w:rsidR="008C3B72" w:rsidRDefault="008C3B72" w:rsidP="008C3B72">
            <w:pPr>
              <w:pStyle w:val="StandardfrTabelle10"/>
              <w:numPr>
                <w:ilvl w:val="0"/>
                <w:numId w:val="1"/>
              </w:numPr>
              <w:ind w:left="355"/>
              <w:rPr>
                <w:rFonts w:cs="Arial"/>
              </w:rPr>
            </w:pPr>
            <w:r>
              <w:rPr>
                <w:rFonts w:cs="Arial"/>
              </w:rPr>
              <w:t>Die verwendeten Arbeitsmittel wie Werkzeuge, technische Geräte oder Hilfsmittel und persönlichen Schutzausrüstungen müssen für die durchzuführenden Arbeiten geeignet und zugelassen sein. Arbeitsmittel sind bestimmungsgemäß zu benutzen und in bestimmten Zeitabständen gemäß der Gefährdungsbeurteilung nach §3 BetrSichV zu Prüfen.</w:t>
            </w:r>
          </w:p>
          <w:p w14:paraId="2F30EEEF" w14:textId="77777777" w:rsidR="008C3B72" w:rsidRPr="00AF2E77" w:rsidRDefault="008C3B72" w:rsidP="008C3B72">
            <w:pPr>
              <w:pStyle w:val="StandardfrTabelle10"/>
              <w:numPr>
                <w:ilvl w:val="0"/>
                <w:numId w:val="1"/>
              </w:numPr>
              <w:ind w:left="355"/>
              <w:rPr>
                <w:rFonts w:cs="Arial"/>
              </w:rPr>
            </w:pPr>
            <w:r w:rsidRPr="00AF2E77">
              <w:rPr>
                <w:rFonts w:cs="Arial"/>
              </w:rPr>
              <w:t>Die fünf Sicherheitsregeln beachten:</w:t>
            </w:r>
          </w:p>
          <w:p w14:paraId="034B0984" w14:textId="6E094791" w:rsidR="008C3B72" w:rsidRPr="00AF2E77" w:rsidRDefault="00427547" w:rsidP="008C3B72">
            <w:pPr>
              <w:pStyle w:val="StandardfrTabelle10"/>
              <w:numPr>
                <w:ilvl w:val="0"/>
                <w:numId w:val="13"/>
              </w:numPr>
              <w:rPr>
                <w:rFonts w:cs="Arial"/>
              </w:rPr>
            </w:pPr>
            <w:r>
              <w:rPr>
                <w:rFonts w:cs="Arial"/>
              </w:rPr>
              <w:t>Freischalten</w:t>
            </w:r>
          </w:p>
          <w:p w14:paraId="70B8B364" w14:textId="77777777" w:rsidR="008C3B72" w:rsidRPr="00AF2E77" w:rsidRDefault="008C3B72" w:rsidP="008C3B72">
            <w:pPr>
              <w:pStyle w:val="StandardfrTabelle10"/>
              <w:numPr>
                <w:ilvl w:val="0"/>
                <w:numId w:val="13"/>
              </w:numPr>
              <w:rPr>
                <w:rFonts w:cs="Arial"/>
              </w:rPr>
            </w:pPr>
            <w:r w:rsidRPr="00AF2E77">
              <w:rPr>
                <w:rFonts w:cs="Arial"/>
              </w:rPr>
              <w:t>Gegen Wiedereinschalten sichern</w:t>
            </w:r>
          </w:p>
          <w:p w14:paraId="78C6E422" w14:textId="77777777" w:rsidR="008C3B72" w:rsidRPr="00AF2E77" w:rsidRDefault="008C3B72" w:rsidP="008C3B72">
            <w:pPr>
              <w:pStyle w:val="StandardfrTabelle10"/>
              <w:numPr>
                <w:ilvl w:val="0"/>
                <w:numId w:val="13"/>
              </w:numPr>
              <w:rPr>
                <w:rFonts w:cs="Arial"/>
              </w:rPr>
            </w:pPr>
            <w:r w:rsidRPr="00AF2E77">
              <w:rPr>
                <w:rFonts w:cs="Arial"/>
              </w:rPr>
              <w:t>Spannungsfreiheit feststellen</w:t>
            </w:r>
          </w:p>
          <w:p w14:paraId="012AF759" w14:textId="77777777" w:rsidR="008C3B72" w:rsidRPr="00AF2E77" w:rsidRDefault="008C3B72" w:rsidP="008C3B72">
            <w:pPr>
              <w:pStyle w:val="StandardfrTabelle10"/>
              <w:numPr>
                <w:ilvl w:val="0"/>
                <w:numId w:val="13"/>
              </w:numPr>
              <w:rPr>
                <w:rFonts w:cs="Arial"/>
              </w:rPr>
            </w:pPr>
            <w:r w:rsidRPr="00AF2E77">
              <w:rPr>
                <w:rFonts w:cs="Arial"/>
              </w:rPr>
              <w:t>Erden und Kurzschließen</w:t>
            </w:r>
          </w:p>
          <w:p w14:paraId="6FA4DBE6" w14:textId="2133093B" w:rsidR="002272F8" w:rsidRPr="00443CAA" w:rsidRDefault="008C3B72" w:rsidP="008C3B72">
            <w:pPr>
              <w:pStyle w:val="StandardfrTabelle10"/>
              <w:numPr>
                <w:ilvl w:val="0"/>
                <w:numId w:val="13"/>
              </w:numPr>
              <w:rPr>
                <w:rFonts w:cs="Arial"/>
              </w:rPr>
            </w:pPr>
            <w:r w:rsidRPr="00AF2E77">
              <w:rPr>
                <w:rFonts w:cs="Arial"/>
              </w:rPr>
              <w:t>Benachb</w:t>
            </w:r>
            <w:r w:rsidRPr="008C3B72">
              <w:rPr>
                <w:rFonts w:cs="Arial"/>
              </w:rPr>
              <w:t xml:space="preserve">arte, unter Spannung stehende Teile </w:t>
            </w:r>
            <w:r w:rsidR="00427547">
              <w:rPr>
                <w:rFonts w:cs="Arial"/>
              </w:rPr>
              <w:t>a</w:t>
            </w:r>
            <w:r w:rsidRPr="008C3B72">
              <w:rPr>
                <w:rFonts w:cs="Arial"/>
              </w:rPr>
              <w:t xml:space="preserve">bdecken oder </w:t>
            </w:r>
            <w:proofErr w:type="spellStart"/>
            <w:r w:rsidR="00427547">
              <w:rPr>
                <w:rFonts w:cs="Arial"/>
              </w:rPr>
              <w:t>a</w:t>
            </w:r>
            <w:r w:rsidRPr="008C3B72">
              <w:rPr>
                <w:rFonts w:cs="Arial"/>
              </w:rPr>
              <w:t>bschranken</w:t>
            </w:r>
            <w:proofErr w:type="spellEnd"/>
          </w:p>
        </w:tc>
        <w:tc>
          <w:tcPr>
            <w:tcW w:w="1245" w:type="dxa"/>
            <w:tcBorders>
              <w:top w:val="single" w:sz="48" w:space="0" w:color="FFFF00"/>
              <w:bottom w:val="single" w:sz="48" w:space="0" w:color="FFFF00"/>
              <w:right w:val="single" w:sz="48" w:space="0" w:color="FFFF00"/>
            </w:tcBorders>
            <w:vAlign w:val="center"/>
          </w:tcPr>
          <w:p w14:paraId="229503B0" w14:textId="2E4ACAE3" w:rsidR="002272F8" w:rsidRPr="00443CAA" w:rsidRDefault="002272F8" w:rsidP="003E4420">
            <w:pPr>
              <w:jc w:val="center"/>
              <w:rPr>
                <w:rFonts w:ascii="Arial" w:hAnsi="Arial" w:cs="Arial"/>
              </w:rPr>
            </w:pPr>
          </w:p>
        </w:tc>
      </w:tr>
      <w:tr w:rsidR="002272F8"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2272F8" w:rsidRPr="00443CAA" w:rsidRDefault="002272F8" w:rsidP="00427C2E">
            <w:pPr>
              <w:jc w:val="center"/>
              <w:rPr>
                <w:rFonts w:ascii="Arial" w:hAnsi="Arial" w:cs="Arial"/>
                <w:b/>
                <w:color w:val="000000" w:themeColor="text1"/>
                <w:sz w:val="24"/>
              </w:rPr>
            </w:pPr>
            <w:r>
              <w:rPr>
                <w:rFonts w:ascii="Arial" w:hAnsi="Arial"/>
                <w:b/>
                <w:sz w:val="24"/>
              </w:rPr>
              <w:t>Verhalten bei Unregelmäßigkeiten</w:t>
            </w:r>
          </w:p>
        </w:tc>
      </w:tr>
      <w:tr w:rsidR="002272F8"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2272F8" w:rsidRPr="00443CAA" w:rsidRDefault="002272F8"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5D82D423" w14:textId="1DBF6695" w:rsidR="002272F8" w:rsidRPr="00320E3B" w:rsidRDefault="00427547" w:rsidP="00320E3B">
            <w:pPr>
              <w:numPr>
                <w:ilvl w:val="0"/>
                <w:numId w:val="12"/>
              </w:numPr>
              <w:autoSpaceDE w:val="0"/>
              <w:autoSpaceDN w:val="0"/>
              <w:adjustRightInd w:val="0"/>
              <w:rPr>
                <w:rFonts w:ascii="Arial" w:hAnsi="Arial" w:cs="Arial"/>
                <w:color w:val="000000"/>
              </w:rPr>
            </w:pPr>
            <w:r>
              <w:rPr>
                <w:rFonts w:ascii="Arial" w:hAnsi="Arial" w:cs="Arial"/>
                <w:color w:val="000000"/>
              </w:rPr>
              <w:br/>
              <w:t xml:space="preserve">Erstellung einer ergänzenden Gefährdungsbeurteilung (PC_ORG_08) bzw. Last Minute Risk Analysis (LMRA) vor Beginn der </w:t>
            </w:r>
            <w:proofErr w:type="spellStart"/>
            <w:r>
              <w:rPr>
                <w:rFonts w:ascii="Arial" w:hAnsi="Arial" w:cs="Arial"/>
                <w:color w:val="000000"/>
              </w:rPr>
              <w:t>Arbeit.</w:t>
            </w:r>
            <w:r w:rsidR="002272F8" w:rsidRPr="00320E3B">
              <w:rPr>
                <w:rFonts w:ascii="Arial" w:hAnsi="Arial" w:cs="Arial"/>
                <w:color w:val="000000"/>
              </w:rPr>
              <w:t>Tel</w:t>
            </w:r>
            <w:proofErr w:type="spellEnd"/>
            <w:r w:rsidR="002272F8" w:rsidRPr="00320E3B">
              <w:rPr>
                <w:rFonts w:ascii="Arial" w:hAnsi="Arial" w:cs="Arial"/>
                <w:color w:val="000000"/>
              </w:rPr>
              <w:t xml:space="preserve">.: </w:t>
            </w:r>
            <w:r w:rsidR="002272F8" w:rsidRPr="00320E3B">
              <w:rPr>
                <w:rFonts w:ascii="Arial" w:hAnsi="Arial" w:cs="Arial"/>
                <w:color w:val="000000"/>
              </w:rPr>
              <w:fldChar w:fldCharType="begin">
                <w:ffData>
                  <w:name w:val="Text11"/>
                  <w:enabled/>
                  <w:calcOnExit w:val="0"/>
                  <w:textInput/>
                </w:ffData>
              </w:fldChar>
            </w:r>
            <w:r w:rsidR="002272F8" w:rsidRPr="00320E3B">
              <w:rPr>
                <w:rFonts w:ascii="Arial" w:hAnsi="Arial" w:cs="Arial"/>
                <w:color w:val="000000"/>
              </w:rPr>
              <w:instrText xml:space="preserve"> FORMTEXT </w:instrText>
            </w:r>
            <w:r w:rsidR="002272F8" w:rsidRPr="00320E3B">
              <w:rPr>
                <w:rFonts w:ascii="Arial" w:hAnsi="Arial" w:cs="Arial"/>
                <w:color w:val="000000"/>
              </w:rPr>
            </w:r>
            <w:r w:rsidR="002272F8" w:rsidRPr="00320E3B">
              <w:rPr>
                <w:rFonts w:ascii="Arial" w:hAnsi="Arial" w:cs="Arial"/>
                <w:color w:val="000000"/>
              </w:rPr>
              <w:fldChar w:fldCharType="separate"/>
            </w:r>
            <w:r w:rsidR="002272F8">
              <w:rPr>
                <w:rFonts w:ascii="Arial" w:hAnsi="Arial" w:cs="Arial"/>
                <w:noProof/>
                <w:color w:val="000000"/>
              </w:rPr>
              <w:t> </w:t>
            </w:r>
            <w:r w:rsidR="002272F8">
              <w:rPr>
                <w:rFonts w:ascii="Arial" w:hAnsi="Arial" w:cs="Arial"/>
                <w:noProof/>
                <w:color w:val="000000"/>
              </w:rPr>
              <w:t> </w:t>
            </w:r>
            <w:r w:rsidR="002272F8">
              <w:rPr>
                <w:rFonts w:ascii="Arial" w:hAnsi="Arial" w:cs="Arial"/>
                <w:noProof/>
                <w:color w:val="000000"/>
              </w:rPr>
              <w:t> </w:t>
            </w:r>
            <w:r w:rsidR="002272F8">
              <w:rPr>
                <w:rFonts w:ascii="Arial" w:hAnsi="Arial" w:cs="Arial"/>
                <w:noProof/>
                <w:color w:val="000000"/>
              </w:rPr>
              <w:t> </w:t>
            </w:r>
            <w:r w:rsidR="002272F8">
              <w:rPr>
                <w:rFonts w:ascii="Arial" w:hAnsi="Arial" w:cs="Arial"/>
                <w:noProof/>
                <w:color w:val="000000"/>
              </w:rPr>
              <w:t> </w:t>
            </w:r>
            <w:r w:rsidR="002272F8" w:rsidRPr="00320E3B">
              <w:rPr>
                <w:rFonts w:ascii="Arial" w:hAnsi="Arial" w:cs="Arial"/>
                <w:color w:val="000000"/>
              </w:rPr>
              <w:fldChar w:fldCharType="end"/>
            </w:r>
          </w:p>
          <w:p w14:paraId="6A50AE5E" w14:textId="6E5A0305" w:rsidR="002272F8" w:rsidRPr="00443CAA"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427547">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2272F8" w:rsidRPr="00443CAA" w:rsidRDefault="002272F8" w:rsidP="00427C2E">
            <w:pPr>
              <w:jc w:val="center"/>
              <w:rPr>
                <w:rFonts w:ascii="Arial" w:hAnsi="Arial" w:cs="Arial"/>
              </w:rPr>
            </w:pPr>
          </w:p>
        </w:tc>
      </w:tr>
    </w:tbl>
    <w:p w14:paraId="607C23AA" w14:textId="77777777" w:rsidR="008C3B72" w:rsidRDefault="008C3B72">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2272F8"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33ABCA49" w:rsidR="002272F8" w:rsidRPr="00443CAA" w:rsidRDefault="002272F8" w:rsidP="00427C2E">
            <w:pPr>
              <w:jc w:val="center"/>
              <w:rPr>
                <w:rFonts w:ascii="Arial" w:hAnsi="Arial" w:cs="Arial"/>
                <w:b/>
                <w:color w:val="000000" w:themeColor="text1"/>
                <w:sz w:val="24"/>
              </w:rPr>
            </w:pPr>
            <w:r>
              <w:rPr>
                <w:rFonts w:ascii="Arial" w:hAnsi="Arial"/>
                <w:b/>
                <w:sz w:val="24"/>
              </w:rPr>
              <w:lastRenderedPageBreak/>
              <w:t>Verhalten bei Unfällen</w:t>
            </w:r>
          </w:p>
        </w:tc>
      </w:tr>
      <w:tr w:rsidR="002272F8"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2272F8" w:rsidRPr="00443CAA" w:rsidRDefault="002272F8"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0E32CC28"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427547">
              <w:rPr>
                <w:rFonts w:ascii="Arial" w:hAnsi="Arial" w:cs="Arial"/>
                <w:color w:val="000000"/>
              </w:rPr>
              <w:t>Sicherstellung</w:t>
            </w:r>
            <w:r w:rsidR="00427547" w:rsidRPr="00320E3B">
              <w:rPr>
                <w:rFonts w:ascii="Arial" w:hAnsi="Arial" w:cs="Arial"/>
                <w:color w:val="000000"/>
              </w:rPr>
              <w:t xml:space="preserve"> </w:t>
            </w:r>
            <w:r w:rsidRPr="00320E3B">
              <w:rPr>
                <w:rFonts w:ascii="Arial" w:hAnsi="Arial" w:cs="Arial"/>
                <w:color w:val="000000"/>
              </w:rPr>
              <w:t>der erforderlichen Schutzmaßnahmen.</w:t>
            </w:r>
          </w:p>
          <w:p w14:paraId="72D58884" w14:textId="4DCEDF64"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427547">
              <w:rPr>
                <w:rFonts w:ascii="Arial" w:hAnsi="Arial" w:cs="Arial"/>
                <w:color w:val="000000"/>
              </w:rPr>
              <w:t>Fremdschutz</w:t>
            </w:r>
            <w:r w:rsidRPr="00320E3B">
              <w:rPr>
                <w:rFonts w:ascii="Arial" w:hAnsi="Arial" w:cs="Arial"/>
                <w:color w:val="000000"/>
              </w:rPr>
              <w:t>.</w:t>
            </w:r>
          </w:p>
          <w:p w14:paraId="04E32A8A"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847500D"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2272F8" w:rsidRPr="00443CAA"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2272F8" w:rsidRPr="00443CAA" w:rsidRDefault="002272F8"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2272F8"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2272F8" w:rsidRPr="00443CAA" w:rsidRDefault="002272F8" w:rsidP="00427C2E">
            <w:pPr>
              <w:jc w:val="center"/>
              <w:rPr>
                <w:rFonts w:ascii="Arial" w:hAnsi="Arial" w:cs="Arial"/>
                <w:b/>
                <w:color w:val="000000" w:themeColor="text1"/>
                <w:sz w:val="24"/>
              </w:rPr>
            </w:pPr>
            <w:r>
              <w:rPr>
                <w:rFonts w:ascii="Arial" w:hAnsi="Arial"/>
                <w:b/>
                <w:sz w:val="24"/>
              </w:rPr>
              <w:t>Kontrollen des Arbeitsverantwortlichen</w:t>
            </w:r>
          </w:p>
        </w:tc>
      </w:tr>
      <w:tr w:rsidR="002272F8"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2272F8" w:rsidRPr="00443CAA" w:rsidRDefault="002272F8"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33704F89"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427547">
              <w:rPr>
                <w:rFonts w:ascii="Arial" w:hAnsi="Arial" w:cs="Arial"/>
                <w:color w:val="000000"/>
              </w:rPr>
              <w:t xml:space="preserve"> oder der Verwendung zu entziehen</w:t>
            </w:r>
            <w:r w:rsidRPr="00320E3B">
              <w:rPr>
                <w:rFonts w:ascii="Arial" w:hAnsi="Arial" w:cs="Arial"/>
                <w:color w:val="000000"/>
              </w:rPr>
              <w:t>.</w:t>
            </w:r>
          </w:p>
          <w:p w14:paraId="0FF5800E" w14:textId="77777777" w:rsidR="002272F8"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727A2E18" w:rsidR="00427547" w:rsidRPr="00427547" w:rsidRDefault="00427547" w:rsidP="00427547">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2272F8" w:rsidRPr="00443CAA" w:rsidRDefault="002272F8" w:rsidP="00427C2E">
            <w:pPr>
              <w:jc w:val="center"/>
              <w:rPr>
                <w:rFonts w:ascii="Arial" w:hAnsi="Arial" w:cs="Arial"/>
              </w:rPr>
            </w:pPr>
          </w:p>
        </w:tc>
      </w:tr>
      <w:tr w:rsidR="002272F8"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2272F8" w:rsidRPr="00443CAA" w:rsidRDefault="002272F8" w:rsidP="00427C2E">
            <w:pPr>
              <w:jc w:val="center"/>
              <w:rPr>
                <w:rFonts w:ascii="Arial" w:hAnsi="Arial" w:cs="Arial"/>
                <w:b/>
                <w:color w:val="000000" w:themeColor="text1"/>
                <w:sz w:val="24"/>
              </w:rPr>
            </w:pPr>
            <w:r>
              <w:rPr>
                <w:rFonts w:ascii="Arial" w:hAnsi="Arial"/>
                <w:b/>
                <w:sz w:val="24"/>
              </w:rPr>
              <w:t>Arbeitsablauf und Sicherheitsmaßnahmen</w:t>
            </w:r>
          </w:p>
        </w:tc>
      </w:tr>
      <w:tr w:rsidR="002272F8"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2272F8" w:rsidRPr="00443CAA" w:rsidRDefault="002272F8" w:rsidP="00427C2E">
            <w:pPr>
              <w:jc w:val="center"/>
              <w:rPr>
                <w:rFonts w:ascii="Arial" w:hAnsi="Arial" w:cs="Arial"/>
              </w:rPr>
            </w:pPr>
          </w:p>
        </w:tc>
        <w:tc>
          <w:tcPr>
            <w:tcW w:w="8222" w:type="dxa"/>
            <w:tcBorders>
              <w:top w:val="single" w:sz="48" w:space="0" w:color="FFFF00"/>
              <w:bottom w:val="single" w:sz="48" w:space="0" w:color="FFFF00"/>
            </w:tcBorders>
            <w:vAlign w:val="center"/>
          </w:tcPr>
          <w:p w14:paraId="1A119EFC" w14:textId="77777777" w:rsidR="008C3B72" w:rsidRPr="008C3B72" w:rsidRDefault="008C3B72" w:rsidP="008C3B72">
            <w:pPr>
              <w:rPr>
                <w:rFonts w:ascii="Arial" w:hAnsi="Arial" w:cs="Arial"/>
                <w:i/>
                <w:u w:val="single"/>
              </w:rPr>
            </w:pPr>
            <w:r w:rsidRPr="008C3B72">
              <w:rPr>
                <w:rFonts w:ascii="Arial" w:hAnsi="Arial" w:cs="Arial"/>
                <w:i/>
                <w:u w:val="single"/>
              </w:rPr>
              <w:t>Generell gilt:</w:t>
            </w:r>
          </w:p>
          <w:p w14:paraId="310CF3CD" w14:textId="76A8168E" w:rsidR="008C3B72" w:rsidRPr="00D74696" w:rsidRDefault="008C3B72" w:rsidP="008C3B72">
            <w:pPr>
              <w:pStyle w:val="Listenabsatz"/>
              <w:numPr>
                <w:ilvl w:val="0"/>
                <w:numId w:val="1"/>
              </w:numPr>
              <w:ind w:left="355"/>
              <w:rPr>
                <w:rFonts w:ascii="Arial" w:hAnsi="Arial" w:cs="Arial"/>
              </w:rPr>
            </w:pPr>
            <w:r w:rsidRPr="00D74696">
              <w:rPr>
                <w:rFonts w:ascii="Arial" w:hAnsi="Arial" w:cs="Arial"/>
              </w:rPr>
              <w:t>Benutzen der erforderlichen PSA</w:t>
            </w:r>
            <w:r w:rsidR="00427547">
              <w:rPr>
                <w:rFonts w:ascii="Arial" w:hAnsi="Arial" w:cs="Arial"/>
              </w:rPr>
              <w:t>.</w:t>
            </w:r>
          </w:p>
          <w:p w14:paraId="58F1D989" w14:textId="77777777" w:rsidR="008C3B72" w:rsidRPr="00D74696" w:rsidRDefault="008C3B72" w:rsidP="008C3B72">
            <w:pPr>
              <w:pStyle w:val="Listenabsatz"/>
              <w:numPr>
                <w:ilvl w:val="0"/>
                <w:numId w:val="1"/>
              </w:numPr>
              <w:ind w:left="355"/>
              <w:rPr>
                <w:rFonts w:ascii="Arial" w:hAnsi="Arial" w:cs="Arial"/>
              </w:rPr>
            </w:pPr>
            <w:r w:rsidRPr="00D74696">
              <w:rPr>
                <w:rFonts w:ascii="Arial" w:hAnsi="Arial" w:cs="Arial"/>
              </w:rPr>
              <w:t>Sicherhei</w:t>
            </w:r>
            <w:r>
              <w:rPr>
                <w:rFonts w:ascii="Arial" w:hAnsi="Arial" w:cs="Arial"/>
              </w:rPr>
              <w:t>t am Arbeitsplatz gewährleisten:</w:t>
            </w:r>
          </w:p>
          <w:p w14:paraId="51334358" w14:textId="77777777" w:rsidR="008C3B72" w:rsidRPr="00D74696" w:rsidRDefault="008C3B72" w:rsidP="008C3B72">
            <w:pPr>
              <w:pStyle w:val="Listenabsatz"/>
              <w:numPr>
                <w:ilvl w:val="0"/>
                <w:numId w:val="15"/>
              </w:numPr>
              <w:rPr>
                <w:rFonts w:ascii="Arial" w:hAnsi="Arial" w:cs="Arial"/>
              </w:rPr>
            </w:pPr>
            <w:r w:rsidRPr="00D74696">
              <w:rPr>
                <w:rFonts w:ascii="Arial" w:hAnsi="Arial" w:cs="Arial"/>
              </w:rPr>
              <w:t>Beleuchtung</w:t>
            </w:r>
          </w:p>
          <w:p w14:paraId="36AB7A5C" w14:textId="77777777" w:rsidR="008C3B72" w:rsidRPr="00D74696" w:rsidRDefault="008C3B72" w:rsidP="008C3B72">
            <w:pPr>
              <w:pStyle w:val="Listenabsatz"/>
              <w:numPr>
                <w:ilvl w:val="0"/>
                <w:numId w:val="15"/>
              </w:numPr>
              <w:rPr>
                <w:rFonts w:ascii="Arial" w:hAnsi="Arial" w:cs="Arial"/>
              </w:rPr>
            </w:pPr>
            <w:r w:rsidRPr="00D74696">
              <w:rPr>
                <w:rFonts w:ascii="Arial" w:hAnsi="Arial" w:cs="Arial"/>
              </w:rPr>
              <w:t>Bewegungsfreiheit</w:t>
            </w:r>
          </w:p>
          <w:p w14:paraId="6B81EAC5" w14:textId="77777777" w:rsidR="008C3B72" w:rsidRPr="00D74696" w:rsidRDefault="008C3B72" w:rsidP="008C3B72">
            <w:pPr>
              <w:pStyle w:val="Listenabsatz"/>
              <w:numPr>
                <w:ilvl w:val="0"/>
                <w:numId w:val="15"/>
              </w:numPr>
              <w:rPr>
                <w:rFonts w:ascii="Arial" w:hAnsi="Arial" w:cs="Arial"/>
              </w:rPr>
            </w:pPr>
            <w:r w:rsidRPr="00D74696">
              <w:rPr>
                <w:rFonts w:ascii="Arial" w:hAnsi="Arial" w:cs="Arial"/>
              </w:rPr>
              <w:t>Standsicherheit</w:t>
            </w:r>
          </w:p>
          <w:p w14:paraId="72186F1D" w14:textId="77777777" w:rsidR="008C3B72" w:rsidRPr="00D74696" w:rsidRDefault="008C3B72" w:rsidP="008C3B72">
            <w:pPr>
              <w:pStyle w:val="Listenabsatz"/>
              <w:numPr>
                <w:ilvl w:val="0"/>
                <w:numId w:val="15"/>
              </w:numPr>
              <w:rPr>
                <w:rFonts w:ascii="Arial" w:hAnsi="Arial" w:cs="Arial"/>
              </w:rPr>
            </w:pPr>
            <w:r w:rsidRPr="00D74696">
              <w:rPr>
                <w:rFonts w:ascii="Arial" w:hAnsi="Arial" w:cs="Arial"/>
              </w:rPr>
              <w:t>Absperrung</w:t>
            </w:r>
          </w:p>
          <w:p w14:paraId="2E6BACF0" w14:textId="77777777" w:rsidR="008C3B72" w:rsidRPr="00D74696" w:rsidRDefault="008C3B72" w:rsidP="008C3B72">
            <w:pPr>
              <w:pStyle w:val="Listenabsatz"/>
              <w:numPr>
                <w:ilvl w:val="0"/>
                <w:numId w:val="15"/>
              </w:numPr>
              <w:rPr>
                <w:rFonts w:ascii="Arial" w:hAnsi="Arial" w:cs="Arial"/>
              </w:rPr>
            </w:pPr>
            <w:r w:rsidRPr="00D74696">
              <w:rPr>
                <w:rFonts w:ascii="Arial" w:hAnsi="Arial" w:cs="Arial"/>
              </w:rPr>
              <w:t>Fluchtweg</w:t>
            </w:r>
          </w:p>
          <w:p w14:paraId="73D64156" w14:textId="77777777" w:rsidR="008C3B72" w:rsidRPr="002C741E" w:rsidRDefault="008C3B72" w:rsidP="008C3B72">
            <w:pPr>
              <w:ind w:left="-5"/>
              <w:rPr>
                <w:rFonts w:ascii="Arial" w:hAnsi="Arial" w:cs="Arial"/>
              </w:rPr>
            </w:pPr>
          </w:p>
          <w:p w14:paraId="7D956B63" w14:textId="77777777" w:rsidR="008C3B72" w:rsidRPr="008C3B72" w:rsidRDefault="008C3B72" w:rsidP="008C3B72">
            <w:pPr>
              <w:rPr>
                <w:rFonts w:ascii="Arial" w:hAnsi="Arial" w:cs="Arial"/>
                <w:i/>
                <w:u w:val="single"/>
              </w:rPr>
            </w:pPr>
            <w:r w:rsidRPr="008C3B72">
              <w:rPr>
                <w:rFonts w:ascii="Arial" w:hAnsi="Arial" w:cs="Arial"/>
                <w:i/>
                <w:u w:val="single"/>
              </w:rPr>
              <w:t>Komponententausch:</w:t>
            </w:r>
          </w:p>
          <w:p w14:paraId="6845AB93" w14:textId="77777777" w:rsidR="008C3B72" w:rsidRDefault="008C3B72" w:rsidP="008C3B72">
            <w:pPr>
              <w:pStyle w:val="Listenabsatz"/>
              <w:numPr>
                <w:ilvl w:val="0"/>
                <w:numId w:val="1"/>
              </w:numPr>
              <w:ind w:left="355"/>
              <w:rPr>
                <w:rFonts w:ascii="Arial" w:hAnsi="Arial" w:cs="Arial"/>
              </w:rPr>
            </w:pPr>
            <w:r w:rsidRPr="002C741E">
              <w:rPr>
                <w:rFonts w:ascii="Arial" w:hAnsi="Arial" w:cs="Arial"/>
              </w:rPr>
              <w:t>Die Komponente darf nur gegen eine identische Komponente getauscht werden. Hierzu sind die Typenschilder der alten und der ne</w:t>
            </w:r>
            <w:r>
              <w:rPr>
                <w:rFonts w:ascii="Arial" w:hAnsi="Arial" w:cs="Arial"/>
              </w:rPr>
              <w:t>uen Komponenten zu vergleichen.</w:t>
            </w:r>
          </w:p>
          <w:p w14:paraId="53D414EC" w14:textId="145CD666"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 xml:space="preserve">Generell ist die Bedienungsanleitung zu </w:t>
            </w:r>
            <w:proofErr w:type="gramStart"/>
            <w:r w:rsidR="00C64D63">
              <w:rPr>
                <w:rFonts w:ascii="Arial" w:hAnsi="Arial" w:cs="Arial"/>
              </w:rPr>
              <w:t>L</w:t>
            </w:r>
            <w:r w:rsidRPr="002C741E">
              <w:rPr>
                <w:rFonts w:ascii="Arial" w:hAnsi="Arial" w:cs="Arial"/>
              </w:rPr>
              <w:t>esen</w:t>
            </w:r>
            <w:proofErr w:type="gramEnd"/>
            <w:r w:rsidRPr="002C741E">
              <w:rPr>
                <w:rFonts w:ascii="Arial" w:hAnsi="Arial" w:cs="Arial"/>
              </w:rPr>
              <w:t xml:space="preserve"> um Besonderheiten bei der Erstinbetriebnahme der Komponente berücksichtigen zu können.</w:t>
            </w:r>
          </w:p>
          <w:p w14:paraId="0A337881" w14:textId="77777777" w:rsidR="008C3B72" w:rsidRDefault="008C3B72" w:rsidP="008C3B72">
            <w:pPr>
              <w:pStyle w:val="Listenabsatz"/>
              <w:numPr>
                <w:ilvl w:val="0"/>
                <w:numId w:val="1"/>
              </w:numPr>
              <w:ind w:left="355"/>
              <w:rPr>
                <w:rFonts w:ascii="Arial" w:hAnsi="Arial" w:cs="Arial"/>
              </w:rPr>
            </w:pPr>
            <w:r w:rsidRPr="00C82E4D">
              <w:rPr>
                <w:rFonts w:ascii="Arial" w:hAnsi="Arial" w:cs="Arial"/>
              </w:rPr>
              <w:t>Eventuelle Einstellungen von z.B. Potentiometern oder DIP - Schaltern sind analog der getauschten Komponente vorzunehmen.</w:t>
            </w:r>
            <w:r>
              <w:rPr>
                <w:rFonts w:ascii="Arial" w:hAnsi="Arial" w:cs="Arial"/>
              </w:rPr>
              <w:t xml:space="preserve"> </w:t>
            </w:r>
          </w:p>
          <w:p w14:paraId="73A2AD60" w14:textId="77777777" w:rsidR="008C3B72" w:rsidRPr="00C82E4D" w:rsidRDefault="008C3B72" w:rsidP="008C3B72">
            <w:pPr>
              <w:pStyle w:val="Listenabsatz"/>
              <w:numPr>
                <w:ilvl w:val="0"/>
                <w:numId w:val="1"/>
              </w:numPr>
              <w:ind w:left="355"/>
              <w:rPr>
                <w:rFonts w:ascii="Arial" w:hAnsi="Arial" w:cs="Arial"/>
              </w:rPr>
            </w:pPr>
            <w:r w:rsidRPr="00C82E4D">
              <w:rPr>
                <w:rFonts w:ascii="Arial" w:hAnsi="Arial" w:cs="Arial"/>
              </w:rPr>
              <w:t>Die elektrischen Leitungen sind an der neuen Komponente wieder 1:1 anzuschließen.</w:t>
            </w:r>
          </w:p>
          <w:p w14:paraId="42E224C6" w14:textId="77777777" w:rsidR="008C3B72" w:rsidRDefault="008C3B72" w:rsidP="008C3B72">
            <w:pPr>
              <w:pStyle w:val="Listenabsatz"/>
              <w:numPr>
                <w:ilvl w:val="0"/>
                <w:numId w:val="1"/>
              </w:numPr>
              <w:ind w:left="355"/>
              <w:rPr>
                <w:rFonts w:ascii="Arial" w:hAnsi="Arial" w:cs="Arial"/>
              </w:rPr>
            </w:pPr>
            <w:r>
              <w:rPr>
                <w:rFonts w:ascii="Arial" w:hAnsi="Arial" w:cs="Arial"/>
              </w:rPr>
              <w:t>Die neue Komponente ist mit dem gleichen Betriebsmittelkennzeichen zu versehen, wie die alte Komponente.</w:t>
            </w:r>
          </w:p>
          <w:p w14:paraId="78A9A528" w14:textId="77777777" w:rsidR="008C3B72" w:rsidRDefault="008C3B72" w:rsidP="008C3B72">
            <w:pPr>
              <w:pStyle w:val="Listenabsatz"/>
              <w:numPr>
                <w:ilvl w:val="0"/>
                <w:numId w:val="1"/>
              </w:numPr>
              <w:ind w:left="355"/>
              <w:rPr>
                <w:rFonts w:ascii="Arial" w:hAnsi="Arial" w:cs="Arial"/>
              </w:rPr>
            </w:pPr>
            <w:r>
              <w:rPr>
                <w:rFonts w:ascii="Arial" w:hAnsi="Arial" w:cs="Arial"/>
              </w:rPr>
              <w:t>Auf Beschädigung der Aderisolation ist unbedingt zu achten! Ist die Isolation beschädigt, muss die Leitung neu abgesetzt werden.</w:t>
            </w:r>
          </w:p>
          <w:p w14:paraId="1F31D895" w14:textId="26129D5F" w:rsidR="008C3B72" w:rsidRDefault="008C3B72" w:rsidP="008C3B72">
            <w:pPr>
              <w:pStyle w:val="Listenabsatz"/>
              <w:numPr>
                <w:ilvl w:val="0"/>
                <w:numId w:val="1"/>
              </w:numPr>
              <w:ind w:left="355"/>
              <w:rPr>
                <w:rFonts w:ascii="Arial" w:hAnsi="Arial" w:cs="Arial"/>
              </w:rPr>
            </w:pPr>
            <w:r>
              <w:rPr>
                <w:rFonts w:ascii="Arial" w:hAnsi="Arial" w:cs="Arial"/>
              </w:rPr>
              <w:t>Wird die Komponente über Schraubverbindungen angeschlossen, so sind bei flexiblen Zuleitungen Aderendhülsen zu verwenden, bei sogenannten Schnellmontageklemmen an den Betriebsmitteln</w:t>
            </w:r>
            <w:r w:rsidR="00C64D63">
              <w:rPr>
                <w:rFonts w:ascii="Arial" w:hAnsi="Arial" w:cs="Arial"/>
              </w:rPr>
              <w:t>,</w:t>
            </w:r>
            <w:r>
              <w:rPr>
                <w:rFonts w:ascii="Arial" w:hAnsi="Arial" w:cs="Arial"/>
              </w:rPr>
              <w:t xml:space="preserve"> muss jedoch auf die Aderendhülse verzichtet werden.</w:t>
            </w:r>
          </w:p>
          <w:p w14:paraId="564E9914" w14:textId="77777777" w:rsidR="008C3B72" w:rsidRDefault="008C3B72" w:rsidP="008C3B72">
            <w:pPr>
              <w:pStyle w:val="Listenabsatz"/>
              <w:numPr>
                <w:ilvl w:val="0"/>
                <w:numId w:val="1"/>
              </w:numPr>
              <w:ind w:left="355"/>
              <w:rPr>
                <w:rFonts w:ascii="Arial" w:hAnsi="Arial" w:cs="Arial"/>
              </w:rPr>
            </w:pPr>
            <w:r>
              <w:rPr>
                <w:rFonts w:ascii="Arial" w:hAnsi="Arial" w:cs="Arial"/>
              </w:rPr>
              <w:t>Die Aderendhülse ist bündig an die Aderisolation oder den Quetschverbinder zu schieben, blanke Leiter dürfen nicht sichtbar sein.</w:t>
            </w:r>
          </w:p>
          <w:p w14:paraId="20538303" w14:textId="332BFC96" w:rsidR="008C3B72" w:rsidRDefault="008C3B72" w:rsidP="008C3B72">
            <w:pPr>
              <w:pStyle w:val="Listenabsatz"/>
              <w:numPr>
                <w:ilvl w:val="0"/>
                <w:numId w:val="1"/>
              </w:numPr>
              <w:ind w:left="355"/>
              <w:rPr>
                <w:rFonts w:ascii="Arial" w:hAnsi="Arial" w:cs="Arial"/>
              </w:rPr>
            </w:pPr>
            <w:r>
              <w:rPr>
                <w:rFonts w:ascii="Arial" w:hAnsi="Arial" w:cs="Arial"/>
              </w:rPr>
              <w:t>Nach dem Austausch der Komponente und vor dem Einschalten der Spannungsversorgung, ist die Niederohmigkeit aller mit der Komponente verbundenen Schutzleiter mittels eines dafür vorgesehenen Messgeräts, welches einen Prüfstrom von mindestens 200</w:t>
            </w:r>
            <w:r w:rsidR="00C64D63">
              <w:rPr>
                <w:rFonts w:ascii="Arial" w:hAnsi="Arial" w:cs="Arial"/>
              </w:rPr>
              <w:t xml:space="preserve"> </w:t>
            </w:r>
            <w:r>
              <w:rPr>
                <w:rFonts w:ascii="Arial" w:hAnsi="Arial" w:cs="Arial"/>
              </w:rPr>
              <w:t>mA liefern kann, nachzuweisen und zu dokumentieren!</w:t>
            </w:r>
          </w:p>
          <w:p w14:paraId="3ED5CF66" w14:textId="27E8C7B1" w:rsidR="008C3B72" w:rsidRDefault="008C3B72" w:rsidP="008C3B72">
            <w:pPr>
              <w:pStyle w:val="Listenabsatz"/>
              <w:numPr>
                <w:ilvl w:val="0"/>
                <w:numId w:val="1"/>
              </w:numPr>
              <w:ind w:left="355"/>
              <w:rPr>
                <w:rFonts w:ascii="Arial" w:hAnsi="Arial" w:cs="Arial"/>
              </w:rPr>
            </w:pPr>
            <w:r>
              <w:rPr>
                <w:rFonts w:ascii="Arial" w:hAnsi="Arial" w:cs="Arial"/>
              </w:rPr>
              <w:t>Die Prüfung ist zu dokumentieren (</w:t>
            </w:r>
            <w:r>
              <w:rPr>
                <w:rFonts w:ascii="Arial" w:hAnsi="Arial" w:cs="Arial"/>
                <w:i/>
              </w:rPr>
              <w:t>PC_GP_06</w:t>
            </w:r>
            <w:r w:rsidRPr="00277308">
              <w:rPr>
                <w:rFonts w:ascii="Arial" w:hAnsi="Arial" w:cs="Arial"/>
                <w:i/>
              </w:rPr>
              <w:t xml:space="preserve"> Prüfprotokoll Betriebsmitteltausch</w:t>
            </w:r>
            <w:r>
              <w:rPr>
                <w:rFonts w:ascii="Arial" w:hAnsi="Arial" w:cs="Arial"/>
              </w:rPr>
              <w:t>).</w:t>
            </w:r>
          </w:p>
          <w:p w14:paraId="2841A2E6" w14:textId="77777777" w:rsidR="002272F8" w:rsidRPr="008C3B72" w:rsidRDefault="008C3B72" w:rsidP="0018364F">
            <w:pPr>
              <w:pStyle w:val="Listenabsatz"/>
              <w:numPr>
                <w:ilvl w:val="0"/>
                <w:numId w:val="1"/>
              </w:numPr>
              <w:ind w:left="355"/>
              <w:rPr>
                <w:rFonts w:ascii="Arial" w:hAnsi="Arial" w:cs="Arial"/>
                <w:color w:val="000000"/>
              </w:rPr>
            </w:pPr>
            <w:r w:rsidRPr="00C82E4D">
              <w:rPr>
                <w:rFonts w:ascii="Arial" w:hAnsi="Arial" w:cs="Arial"/>
              </w:rPr>
              <w:t>Ist</w:t>
            </w:r>
            <w:bookmarkStart w:id="1" w:name="_GoBack"/>
            <w:bookmarkEnd w:id="1"/>
            <w:r w:rsidRPr="00C82E4D">
              <w:rPr>
                <w:rFonts w:ascii="Arial" w:hAnsi="Arial" w:cs="Arial"/>
              </w:rPr>
              <w:t xml:space="preserve"> die Schutzmaßnahme gegeben, darf der Anlagenteil nach Rücksprache und Freigabe durch den Anlagenverantwortlichen wi</w:t>
            </w:r>
            <w:r>
              <w:rPr>
                <w:rFonts w:ascii="Arial" w:hAnsi="Arial" w:cs="Arial"/>
              </w:rPr>
              <w:t>eder in Betrieb genommen werden.</w:t>
            </w:r>
          </w:p>
          <w:p w14:paraId="12C3B278" w14:textId="77777777" w:rsidR="008C3B72" w:rsidRDefault="008C3B72" w:rsidP="008C3B72">
            <w:pPr>
              <w:rPr>
                <w:rFonts w:ascii="Arial" w:hAnsi="Arial" w:cs="Arial"/>
                <w:b/>
              </w:rPr>
            </w:pPr>
          </w:p>
          <w:p w14:paraId="359BBC37" w14:textId="77777777" w:rsidR="008C3B72" w:rsidRPr="008C3B72" w:rsidRDefault="008C3B72" w:rsidP="008C3B72">
            <w:pPr>
              <w:rPr>
                <w:rFonts w:ascii="Arial" w:hAnsi="Arial" w:cs="Arial"/>
                <w:i/>
                <w:u w:val="single"/>
              </w:rPr>
            </w:pPr>
            <w:r w:rsidRPr="008C3B72">
              <w:rPr>
                <w:rFonts w:ascii="Arial" w:hAnsi="Arial" w:cs="Arial"/>
                <w:i/>
                <w:u w:val="single"/>
              </w:rPr>
              <w:t>Motortausch:</w:t>
            </w:r>
          </w:p>
          <w:p w14:paraId="32905536"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Es sind die Brücken am Motorklemmbrett auf richtige Montage (Stern / Dreieck) zu überprüfen.</w:t>
            </w:r>
          </w:p>
          <w:p w14:paraId="6621BA2D"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Der neue Antrieb ist mit dem gleichen Betriebsmittelkennzeichen zu versehen, wie der alte Antrieb.</w:t>
            </w:r>
          </w:p>
          <w:p w14:paraId="36F04E14"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lastRenderedPageBreak/>
              <w:t>Auf Beschädigung der Ader- und Mantelisolation ist zu achten; ist die Isolation beschädigt, muss die Leitung neu abgesetzt werden.</w:t>
            </w:r>
          </w:p>
          <w:p w14:paraId="3BF0272A"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Kabeldurchführung auf Beschädigung prüfen; beschädigte Kabeldurchführungen sind gegen identische zu ersetzen. Kabeldurchführungen ordnungsgemäß festziehen.</w:t>
            </w:r>
          </w:p>
          <w:p w14:paraId="071B3E31" w14:textId="297632FC"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Wird der Antrieb mit Quetschverbindern an einem Motorklemmbrett angeschlossen, so sind die Quetschverbinder parallel zueinander anzuordnen</w:t>
            </w:r>
            <w:r w:rsidR="00427547">
              <w:rPr>
                <w:rFonts w:ascii="Arial" w:hAnsi="Arial" w:cs="Arial"/>
              </w:rPr>
              <w:t>,</w:t>
            </w:r>
            <w:r w:rsidRPr="002C741E">
              <w:rPr>
                <w:rFonts w:ascii="Arial" w:hAnsi="Arial" w:cs="Arial"/>
              </w:rPr>
              <w:t xml:space="preserve"> um die vorgegebenen Mindestabstände zwischen den Außenleiten nicht zu unterschreiten.</w:t>
            </w:r>
          </w:p>
          <w:p w14:paraId="3B2D9FAA" w14:textId="77777777" w:rsidR="008C3B72" w:rsidRDefault="008C3B72" w:rsidP="008C3B72">
            <w:pPr>
              <w:pStyle w:val="Listenabsatz"/>
              <w:numPr>
                <w:ilvl w:val="0"/>
                <w:numId w:val="1"/>
              </w:numPr>
              <w:ind w:left="355"/>
              <w:rPr>
                <w:rFonts w:ascii="Arial" w:hAnsi="Arial" w:cs="Arial"/>
              </w:rPr>
            </w:pPr>
            <w:r w:rsidRPr="002C741E">
              <w:rPr>
                <w:rFonts w:ascii="Arial" w:hAnsi="Arial" w:cs="Arial"/>
              </w:rPr>
              <w:t>Wird der Antrieb mit Klemmen angeschlossen, sind bei flexiblen Zuleitungen Aderendhülsen zu verwenden, die mit einer geeigneten Aderendhülsenzange gekrimpt werden müssen.</w:t>
            </w:r>
          </w:p>
          <w:p w14:paraId="605309A2"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Die Aderendhülse bündig an die Aderisolation oder den Quetschverbinder schieben; blanke Leiter dürfen nicht sichtbar sein.</w:t>
            </w:r>
          </w:p>
          <w:p w14:paraId="6CA573A0" w14:textId="4899BD14"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Nach dem Austausch des Antriebs und vor dem Einschalten der Spannungsversorgung, ist die Niederohmigkeit aller mit dem Antrieb verbundenen Schutzleiter mittels eine</w:t>
            </w:r>
            <w:r w:rsidR="00C64D63">
              <w:rPr>
                <w:rFonts w:ascii="Arial" w:hAnsi="Arial" w:cs="Arial"/>
              </w:rPr>
              <w:t>s</w:t>
            </w:r>
            <w:r w:rsidRPr="002C741E">
              <w:rPr>
                <w:rFonts w:ascii="Arial" w:hAnsi="Arial" w:cs="Arial"/>
              </w:rPr>
              <w:t xml:space="preserve"> dafür vorgesehenen Messgerät</w:t>
            </w:r>
            <w:r w:rsidR="00C64D63">
              <w:rPr>
                <w:rFonts w:ascii="Arial" w:hAnsi="Arial" w:cs="Arial"/>
              </w:rPr>
              <w:t>s</w:t>
            </w:r>
            <w:r w:rsidRPr="002C741E">
              <w:rPr>
                <w:rFonts w:ascii="Arial" w:hAnsi="Arial" w:cs="Arial"/>
              </w:rPr>
              <w:t>, welches einen Prüfstrom von mindestens 200</w:t>
            </w:r>
            <w:r w:rsidR="00C64D63">
              <w:rPr>
                <w:rFonts w:ascii="Arial" w:hAnsi="Arial" w:cs="Arial"/>
              </w:rPr>
              <w:t xml:space="preserve"> </w:t>
            </w:r>
            <w:r w:rsidRPr="002C741E">
              <w:rPr>
                <w:rFonts w:ascii="Arial" w:hAnsi="Arial" w:cs="Arial"/>
              </w:rPr>
              <w:t>mA liefern kann</w:t>
            </w:r>
            <w:r w:rsidR="00427547">
              <w:rPr>
                <w:rFonts w:ascii="Arial" w:hAnsi="Arial" w:cs="Arial"/>
              </w:rPr>
              <w:t>,</w:t>
            </w:r>
            <w:r w:rsidRPr="002C741E">
              <w:rPr>
                <w:rFonts w:ascii="Arial" w:hAnsi="Arial" w:cs="Arial"/>
              </w:rPr>
              <w:t xml:space="preserve"> nachzuweisen.</w:t>
            </w:r>
          </w:p>
          <w:p w14:paraId="2251B0EC"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Die Einstellung des vorgelagerten Schutzorgans ist zu überprüfen.</w:t>
            </w:r>
          </w:p>
          <w:p w14:paraId="32FD0183" w14:textId="77777777" w:rsidR="008C3B72" w:rsidRPr="002C741E" w:rsidRDefault="008C3B72" w:rsidP="008C3B72">
            <w:pPr>
              <w:pStyle w:val="Listenabsatz"/>
              <w:numPr>
                <w:ilvl w:val="0"/>
                <w:numId w:val="1"/>
              </w:numPr>
              <w:ind w:left="355"/>
              <w:rPr>
                <w:rFonts w:ascii="Arial" w:hAnsi="Arial" w:cs="Arial"/>
              </w:rPr>
            </w:pPr>
            <w:r w:rsidRPr="002C741E">
              <w:rPr>
                <w:rFonts w:ascii="Arial" w:hAnsi="Arial" w:cs="Arial"/>
              </w:rPr>
              <w:t>Es ist die Drehrichtung des Antriebs zu überprüfen.</w:t>
            </w:r>
          </w:p>
          <w:p w14:paraId="2F2FC5C6" w14:textId="368EA884" w:rsidR="008C3B72" w:rsidRDefault="008C3B72" w:rsidP="008C3B72">
            <w:pPr>
              <w:pStyle w:val="Listenabsatz"/>
              <w:numPr>
                <w:ilvl w:val="0"/>
                <w:numId w:val="1"/>
              </w:numPr>
              <w:ind w:left="355"/>
              <w:rPr>
                <w:rFonts w:ascii="Arial" w:hAnsi="Arial" w:cs="Arial"/>
              </w:rPr>
            </w:pPr>
            <w:r>
              <w:rPr>
                <w:rFonts w:ascii="Arial" w:hAnsi="Arial" w:cs="Arial"/>
              </w:rPr>
              <w:t>Die Prüfung ist zu dokumentieren (PC_GP_06</w:t>
            </w:r>
            <w:r w:rsidRPr="008C3B72">
              <w:rPr>
                <w:rFonts w:ascii="Arial" w:hAnsi="Arial" w:cs="Arial"/>
              </w:rPr>
              <w:t xml:space="preserve"> Prüfprotokoll Betriebsmitteltausch</w:t>
            </w:r>
            <w:r>
              <w:rPr>
                <w:rFonts w:ascii="Arial" w:hAnsi="Arial" w:cs="Arial"/>
              </w:rPr>
              <w:t>)</w:t>
            </w:r>
            <w:r w:rsidR="00427547">
              <w:rPr>
                <w:rFonts w:ascii="Arial" w:hAnsi="Arial" w:cs="Arial"/>
              </w:rPr>
              <w:t>.</w:t>
            </w:r>
          </w:p>
          <w:p w14:paraId="3D9250C2" w14:textId="4CF780AE" w:rsidR="008C3B72" w:rsidRPr="0018364F" w:rsidRDefault="008C3B72" w:rsidP="008C3B72">
            <w:pPr>
              <w:pStyle w:val="Listenabsatz"/>
              <w:numPr>
                <w:ilvl w:val="0"/>
                <w:numId w:val="1"/>
              </w:numPr>
              <w:ind w:left="355"/>
              <w:rPr>
                <w:rFonts w:ascii="Arial" w:hAnsi="Arial" w:cs="Arial"/>
              </w:rPr>
            </w:pPr>
            <w:r w:rsidRPr="0018364F">
              <w:rPr>
                <w:rFonts w:ascii="Arial" w:hAnsi="Arial" w:cs="Arial"/>
              </w:rPr>
              <w:t>Ist die Schutzmaßnahme gegeben, darf der Antrieb nach Rücksprache und Freigabe durch den Anlagenverantwortlichen wieder in Betrieb genommen werden.</w:t>
            </w:r>
          </w:p>
        </w:tc>
        <w:tc>
          <w:tcPr>
            <w:tcW w:w="1245" w:type="dxa"/>
            <w:tcBorders>
              <w:top w:val="single" w:sz="48" w:space="0" w:color="FFFF00"/>
              <w:bottom w:val="single" w:sz="48" w:space="0" w:color="FFFF00"/>
              <w:right w:val="single" w:sz="48" w:space="0" w:color="FFFF00"/>
            </w:tcBorders>
            <w:vAlign w:val="center"/>
          </w:tcPr>
          <w:p w14:paraId="31310396" w14:textId="77777777" w:rsidR="002272F8" w:rsidRPr="00443CAA" w:rsidRDefault="002272F8" w:rsidP="00427C2E">
            <w:pPr>
              <w:jc w:val="center"/>
              <w:rPr>
                <w:rFonts w:ascii="Arial" w:hAnsi="Arial" w:cs="Arial"/>
              </w:rPr>
            </w:pPr>
          </w:p>
        </w:tc>
      </w:tr>
      <w:tr w:rsidR="002272F8"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2272F8" w:rsidRPr="00443CAA" w:rsidRDefault="002272F8" w:rsidP="00427C2E">
            <w:pPr>
              <w:jc w:val="center"/>
              <w:rPr>
                <w:rFonts w:ascii="Arial" w:hAnsi="Arial" w:cs="Arial"/>
                <w:b/>
                <w:color w:val="000000" w:themeColor="text1"/>
                <w:sz w:val="24"/>
              </w:rPr>
            </w:pPr>
            <w:r>
              <w:rPr>
                <w:rFonts w:ascii="Arial" w:hAnsi="Arial"/>
                <w:b/>
                <w:sz w:val="24"/>
              </w:rPr>
              <w:t>Abschluss der Arbeiten</w:t>
            </w:r>
          </w:p>
        </w:tc>
      </w:tr>
      <w:tr w:rsidR="002272F8"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2272F8" w:rsidRPr="00443CAA" w:rsidRDefault="002272F8"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2272F8" w:rsidRPr="00B25616" w:rsidRDefault="002272F8" w:rsidP="0018364F">
            <w:pPr>
              <w:pStyle w:val="Listenabsatz"/>
              <w:numPr>
                <w:ilvl w:val="0"/>
                <w:numId w:val="1"/>
              </w:numPr>
              <w:ind w:left="355"/>
              <w:rPr>
                <w:rFonts w:ascii="Arial" w:hAnsi="Arial" w:cs="Arial"/>
              </w:rPr>
            </w:pPr>
            <w:r w:rsidRPr="00B25616">
              <w:rPr>
                <w:rFonts w:ascii="Arial" w:hAnsi="Arial" w:cs="Arial"/>
              </w:rPr>
              <w:t>Herstellen des ordnungsgemäßen und sicheren Anlagenzustands.</w:t>
            </w:r>
          </w:p>
          <w:p w14:paraId="6A411264" w14:textId="77777777" w:rsidR="002272F8" w:rsidRPr="00B25616" w:rsidRDefault="002272F8" w:rsidP="0018364F">
            <w:pPr>
              <w:pStyle w:val="Listenabsatz"/>
              <w:numPr>
                <w:ilvl w:val="0"/>
                <w:numId w:val="1"/>
              </w:numPr>
              <w:ind w:left="355"/>
              <w:rPr>
                <w:rFonts w:ascii="Arial" w:hAnsi="Arial" w:cs="Arial"/>
              </w:rPr>
            </w:pPr>
            <w:r w:rsidRPr="00B25616">
              <w:rPr>
                <w:rFonts w:ascii="Arial" w:hAnsi="Arial" w:cs="Arial"/>
              </w:rPr>
              <w:t>Räumen der Arbeitsstelle.</w:t>
            </w:r>
          </w:p>
          <w:p w14:paraId="5D6B6BA1" w14:textId="66CEB146" w:rsidR="002272F8" w:rsidRPr="00B25616" w:rsidRDefault="002272F8" w:rsidP="0018364F">
            <w:pPr>
              <w:pStyle w:val="Listenabsatz"/>
              <w:numPr>
                <w:ilvl w:val="0"/>
                <w:numId w:val="1"/>
              </w:numPr>
              <w:ind w:left="355"/>
              <w:rPr>
                <w:rFonts w:ascii="Arial" w:hAnsi="Arial" w:cs="Arial"/>
              </w:rPr>
            </w:pPr>
            <w:r w:rsidRPr="00B25616">
              <w:rPr>
                <w:rFonts w:ascii="Arial" w:hAnsi="Arial" w:cs="Arial"/>
              </w:rPr>
              <w:t xml:space="preserve">Mitgebrachte Werkzeuge und Arbeitsmittel sind aus der Schaltanlage zu entfernen, </w:t>
            </w:r>
            <w:r w:rsidR="00427547">
              <w:rPr>
                <w:rFonts w:ascii="Arial" w:hAnsi="Arial" w:cs="Arial"/>
              </w:rPr>
              <w:t xml:space="preserve">zu </w:t>
            </w:r>
            <w:r w:rsidRPr="00B25616">
              <w:rPr>
                <w:rFonts w:ascii="Arial" w:hAnsi="Arial" w:cs="Arial"/>
              </w:rPr>
              <w:t xml:space="preserve">kontrollieren und </w:t>
            </w:r>
            <w:r w:rsidR="00427547">
              <w:rPr>
                <w:rFonts w:ascii="Arial" w:hAnsi="Arial" w:cs="Arial"/>
              </w:rPr>
              <w:t xml:space="preserve">zu </w:t>
            </w:r>
            <w:r w:rsidRPr="00B25616">
              <w:rPr>
                <w:rFonts w:ascii="Arial" w:hAnsi="Arial" w:cs="Arial"/>
              </w:rPr>
              <w:t>reinigen.</w:t>
            </w:r>
          </w:p>
          <w:p w14:paraId="7D0CEF81" w14:textId="77777777" w:rsidR="002272F8" w:rsidRDefault="002272F8" w:rsidP="0018364F">
            <w:pPr>
              <w:pStyle w:val="Listenabsatz"/>
              <w:numPr>
                <w:ilvl w:val="0"/>
                <w:numId w:val="1"/>
              </w:numPr>
              <w:ind w:left="355"/>
              <w:rPr>
                <w:rFonts w:ascii="Arial" w:hAnsi="Arial" w:cs="Arial"/>
              </w:rPr>
            </w:pPr>
            <w:r w:rsidRPr="00B25616">
              <w:rPr>
                <w:rFonts w:ascii="Arial" w:hAnsi="Arial" w:cs="Arial"/>
              </w:rPr>
              <w:t>Sämtliche Änderungen an der bestehenden Verdrahtung oder Programmierung sind grundsätzlich zu dokumentieren.</w:t>
            </w:r>
          </w:p>
          <w:p w14:paraId="0D41DD82" w14:textId="744D16E7" w:rsidR="002272F8" w:rsidRPr="00443CAA" w:rsidRDefault="002272F8" w:rsidP="0018364F">
            <w:pPr>
              <w:pStyle w:val="Listenabsatz"/>
              <w:numPr>
                <w:ilvl w:val="0"/>
                <w:numId w:val="1"/>
              </w:numPr>
              <w:ind w:left="355"/>
              <w:rPr>
                <w:rFonts w:ascii="Arial" w:hAnsi="Arial" w:cs="Arial"/>
                <w:color w:val="000000"/>
              </w:rPr>
            </w:pPr>
            <w:r>
              <w:rPr>
                <w:rFonts w:ascii="Arial" w:hAnsi="Arial" w:cs="Arial"/>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2272F8" w:rsidRPr="00443CAA" w:rsidRDefault="002272F8" w:rsidP="003E4420">
            <w:pPr>
              <w:jc w:val="center"/>
              <w:rPr>
                <w:rFonts w:ascii="Arial" w:hAnsi="Arial" w:cs="Arial"/>
              </w:rPr>
            </w:pPr>
          </w:p>
        </w:tc>
      </w:tr>
      <w:tr w:rsidR="002272F8"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2272F8" w:rsidRPr="00443CAA" w:rsidRDefault="002272F8"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2272F8" w:rsidRPr="00443CAA" w:rsidRDefault="002272F8"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2272F8" w:rsidRPr="00443CAA" w:rsidRDefault="002272F8"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4DD1" w14:textId="77777777" w:rsidR="00373E3D" w:rsidRDefault="00373E3D">
      <w:r>
        <w:separator/>
      </w:r>
    </w:p>
  </w:endnote>
  <w:endnote w:type="continuationSeparator" w:id="0">
    <w:p w14:paraId="039B134B" w14:textId="77777777" w:rsidR="00373E3D" w:rsidRDefault="0037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E663FD0" w:rsidR="00443CAA" w:rsidRPr="00443CAA" w:rsidRDefault="00427547"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8C3B72">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8C3B72">
            <w:rPr>
              <w:rFonts w:ascii="Arial" w:hAnsi="Arial" w:cs="Arial"/>
              <w:noProof/>
              <w:sz w:val="16"/>
              <w:szCs w:val="16"/>
            </w:rPr>
            <w:t>3</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656365AF" w:rsidR="00443CAA" w:rsidRPr="00443CAA" w:rsidRDefault="00427547"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079678F1" w:rsidR="00443CAA" w:rsidRPr="00443CAA" w:rsidRDefault="00427547"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8278" w14:textId="77777777" w:rsidR="00373E3D" w:rsidRDefault="00373E3D">
      <w:r>
        <w:separator/>
      </w:r>
    </w:p>
  </w:footnote>
  <w:footnote w:type="continuationSeparator" w:id="0">
    <w:p w14:paraId="53DF35DA" w14:textId="77777777" w:rsidR="00373E3D" w:rsidRDefault="0037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43F5759"/>
    <w:multiLevelType w:val="hybridMultilevel"/>
    <w:tmpl w:val="851CF9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3A67964"/>
    <w:multiLevelType w:val="hybridMultilevel"/>
    <w:tmpl w:val="64B026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3"/>
  </w:num>
  <w:num w:numId="12">
    <w:abstractNumId w:val="11"/>
  </w:num>
  <w:num w:numId="13">
    <w:abstractNumId w:val="12"/>
  </w:num>
  <w:num w:numId="14">
    <w:abstractNumId w:val="7"/>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8364F"/>
    <w:rsid w:val="001B3D73"/>
    <w:rsid w:val="001C0D86"/>
    <w:rsid w:val="001D13D9"/>
    <w:rsid w:val="002010DD"/>
    <w:rsid w:val="002272F8"/>
    <w:rsid w:val="00243A70"/>
    <w:rsid w:val="002474B6"/>
    <w:rsid w:val="00264541"/>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73E3D"/>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27547"/>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585E"/>
    <w:rsid w:val="00650487"/>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80730"/>
    <w:rsid w:val="008A386C"/>
    <w:rsid w:val="008A7883"/>
    <w:rsid w:val="008B3873"/>
    <w:rsid w:val="008C3B72"/>
    <w:rsid w:val="008C3C6C"/>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64D63"/>
    <w:rsid w:val="00C77FCF"/>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15964"/>
    <w:rsid w:val="00E41A8B"/>
    <w:rsid w:val="00E4448B"/>
    <w:rsid w:val="00E527E9"/>
    <w:rsid w:val="00E751F1"/>
    <w:rsid w:val="00E823BC"/>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C44D-C108-4640-81B7-D3F809DA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2019-07-31T13:24:00Z</dcterms:created>
  <dcterms:modified xsi:type="dcterms:W3CDTF">2019-07-31T13:24:00Z</dcterms:modified>
</cp:coreProperties>
</file>