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1872042" w:rsidR="00F1424D" w:rsidRPr="003F30DD" w:rsidRDefault="00443CAA" w:rsidP="00882E70">
            <w:pPr>
              <w:pStyle w:val="berschrift1"/>
              <w:spacing w:before="120" w:after="120"/>
              <w:rPr>
                <w:rFonts w:cs="Arial"/>
              </w:rPr>
            </w:pPr>
            <w:r w:rsidRPr="003F30DD">
              <w:rPr>
                <w:rFonts w:cs="Arial"/>
                <w:color w:val="000000" w:themeColor="text1"/>
              </w:rPr>
              <w:t>AA_</w:t>
            </w:r>
            <w:r w:rsidR="00ED4BF0">
              <w:rPr>
                <w:rFonts w:cs="Arial"/>
                <w:color w:val="000000" w:themeColor="text1"/>
              </w:rPr>
              <w:t>EFK</w:t>
            </w:r>
            <w:r w:rsidR="003C1133">
              <w:rPr>
                <w:rFonts w:cs="Arial"/>
                <w:color w:val="000000" w:themeColor="text1"/>
              </w:rPr>
              <w:t>_0</w:t>
            </w:r>
            <w:r w:rsidR="00ED4BF0">
              <w:rPr>
                <w:rFonts w:cs="Arial"/>
                <w:color w:val="000000" w:themeColor="text1"/>
              </w:rPr>
              <w:t>8</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665EEA31" w:rsidR="00F1424D" w:rsidRPr="00443CAA" w:rsidRDefault="00F8070F" w:rsidP="003E4420">
            <w:pPr>
              <w:spacing w:before="120"/>
              <w:ind w:left="72"/>
              <w:jc w:val="center"/>
              <w:rPr>
                <w:rFonts w:ascii="Arial" w:hAnsi="Arial" w:cs="Arial"/>
              </w:rPr>
            </w:pPr>
            <w:r>
              <w:rPr>
                <w:rFonts w:ascii="Arial" w:hAnsi="Arial" w:cs="Arial"/>
                <w:noProof/>
              </w:rPr>
              <w:drawing>
                <wp:inline distT="0" distB="0" distL="0" distR="0" wp14:anchorId="624B4E76" wp14:editId="03540849">
                  <wp:extent cx="684924" cy="684924"/>
                  <wp:effectExtent l="0" t="0" r="127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124_ROE_main_anthrazit_RGB_web.jpg"/>
                          <pic:cNvPicPr/>
                        </pic:nvPicPr>
                        <pic:blipFill>
                          <a:blip r:embed="rId8"/>
                          <a:stretch>
                            <a:fillRect/>
                          </a:stretch>
                        </pic:blipFill>
                        <pic:spPr>
                          <a:xfrm>
                            <a:off x="0" y="0"/>
                            <a:ext cx="690230" cy="690230"/>
                          </a:xfrm>
                          <a:prstGeom prst="rect">
                            <a:avLst/>
                          </a:prstGeom>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0D141998" w:rsidR="00443CAA" w:rsidRPr="00443CAA" w:rsidRDefault="004307C5" w:rsidP="00893711">
            <w:pPr>
              <w:jc w:val="center"/>
              <w:rPr>
                <w:rFonts w:ascii="Arial" w:hAnsi="Arial" w:cs="Arial"/>
                <w:b/>
                <w:sz w:val="24"/>
                <w:szCs w:val="24"/>
              </w:rPr>
            </w:pPr>
            <w:r w:rsidRPr="004307C5">
              <w:rPr>
                <w:rFonts w:ascii="Arial" w:hAnsi="Arial" w:cs="Arial"/>
                <w:b/>
                <w:sz w:val="24"/>
                <w:szCs w:val="24"/>
              </w:rPr>
              <w:t>Arbeiten an Prüfplätzen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135D6941" w:rsidR="00443CAA" w:rsidRPr="003F30DD" w:rsidRDefault="00ED4BF0" w:rsidP="00287AB0">
            <w:pPr>
              <w:jc w:val="center"/>
              <w:rPr>
                <w:rFonts w:ascii="Arial" w:hAnsi="Arial" w:cs="Arial"/>
                <w:b/>
                <w:sz w:val="24"/>
                <w:szCs w:val="24"/>
              </w:rPr>
            </w:pPr>
            <w:r>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4307C5">
        <w:trPr>
          <w:trHeight w:val="17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60E4E258" w:rsidR="00714060" w:rsidRPr="00443CAA" w:rsidRDefault="004307C5" w:rsidP="003C1133">
            <w:pPr>
              <w:pStyle w:val="Listenabsatz"/>
              <w:numPr>
                <w:ilvl w:val="0"/>
                <w:numId w:val="1"/>
              </w:numPr>
              <w:ind w:left="355"/>
              <w:rPr>
                <w:rFonts w:ascii="Arial" w:hAnsi="Arial" w:cs="Arial"/>
              </w:rPr>
            </w:pPr>
            <w:r w:rsidRPr="004307C5">
              <w:rPr>
                <w:rFonts w:ascii="Arial" w:hAnsi="Arial" w:cs="Arial"/>
              </w:rPr>
              <w:t>Arbeiten an Prüfplätzen</w:t>
            </w:r>
            <w:r w:rsidR="00BD3FA4">
              <w:rPr>
                <w:rFonts w:ascii="Arial" w:hAnsi="Arial" w:cs="Arial"/>
              </w:rPr>
              <w:t>,</w:t>
            </w:r>
            <w:r w:rsidRPr="004307C5">
              <w:rPr>
                <w:rFonts w:ascii="Arial" w:hAnsi="Arial" w:cs="Arial"/>
              </w:rPr>
              <w:t xml:space="preserve"> ohne zwangsläufigen Berührungsschutz</w:t>
            </w:r>
            <w:r w:rsidR="00BD3FA4">
              <w:rPr>
                <w:rFonts w:ascii="Arial" w:hAnsi="Arial" w:cs="Arial"/>
              </w:rPr>
              <w:t>,</w:t>
            </w:r>
            <w:r w:rsidRPr="004307C5">
              <w:rPr>
                <w:rFonts w:ascii="Arial" w:hAnsi="Arial" w:cs="Arial"/>
              </w:rPr>
              <w:t xml:space="preserve"> bis 1</w:t>
            </w:r>
            <w:r w:rsidR="00353B07">
              <w:rPr>
                <w:rFonts w:ascii="Arial" w:hAnsi="Arial" w:cs="Arial"/>
              </w:rPr>
              <w:t>000</w:t>
            </w:r>
            <w:r w:rsidRPr="004307C5">
              <w:rPr>
                <w:rFonts w:ascii="Arial" w:hAnsi="Arial" w:cs="Arial"/>
              </w:rPr>
              <w:t>V Prüfspannung</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39CAA2CA"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4307C5">
        <w:trPr>
          <w:trHeight w:val="467"/>
        </w:trPr>
        <w:tc>
          <w:tcPr>
            <w:tcW w:w="1276" w:type="dxa"/>
            <w:tcBorders>
              <w:top w:val="single" w:sz="48" w:space="0" w:color="FFFF00"/>
              <w:left w:val="single" w:sz="48" w:space="0" w:color="FFFF00"/>
              <w:bottom w:val="single" w:sz="48" w:space="0" w:color="FFFF00"/>
            </w:tcBorders>
            <w:vAlign w:val="center"/>
          </w:tcPr>
          <w:p w14:paraId="32EB99AF" w14:textId="3D12C60D" w:rsidR="00765E10" w:rsidRPr="00443CAA" w:rsidRDefault="00765E10" w:rsidP="00AF55A0">
            <w:pPr>
              <w:ind w:hanging="70"/>
              <w:jc w:val="center"/>
              <w:rPr>
                <w:rFonts w:ascii="Arial" w:hAnsi="Arial" w:cs="Arial"/>
              </w:rPr>
            </w:pPr>
            <w:r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3348C5D8" w14:textId="1C650A8C"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Elektrische Körperdurchströmung bei Berühren aktiver Teile</w:t>
            </w:r>
          </w:p>
          <w:p w14:paraId="5F161544" w14:textId="09DAC2B8" w:rsidR="00765E10" w:rsidRPr="00714060" w:rsidRDefault="004307C5" w:rsidP="004307C5">
            <w:pPr>
              <w:pStyle w:val="Listenabsatz"/>
              <w:numPr>
                <w:ilvl w:val="0"/>
                <w:numId w:val="1"/>
              </w:numPr>
              <w:ind w:left="355"/>
              <w:rPr>
                <w:rFonts w:ascii="Arial" w:hAnsi="Arial"/>
              </w:rPr>
            </w:pPr>
            <w:r w:rsidRPr="004307C5">
              <w:rPr>
                <w:rFonts w:ascii="Arial" w:hAnsi="Arial" w:cs="Arial"/>
              </w:rPr>
              <w:t>Verbrennungsgefahr durch Lichtbogen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4307C5">
        <w:trPr>
          <w:trHeight w:val="8116"/>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4307C5">
            <w:pPr>
              <w:ind w:hanging="70"/>
              <w:rPr>
                <w:rFonts w:ascii="Arial" w:hAnsi="Arial" w:cs="Arial"/>
              </w:rPr>
            </w:pPr>
          </w:p>
        </w:tc>
        <w:tc>
          <w:tcPr>
            <w:tcW w:w="8222" w:type="dxa"/>
            <w:gridSpan w:val="3"/>
            <w:tcBorders>
              <w:top w:val="single" w:sz="48" w:space="0" w:color="FFFF00"/>
              <w:bottom w:val="single" w:sz="48" w:space="0" w:color="FFFF00"/>
            </w:tcBorders>
            <w:vAlign w:val="center"/>
          </w:tcPr>
          <w:p w14:paraId="2BE69A3D" w14:textId="597BC9A9"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Der Zugang zum Prüfbereich ist nur Elektrofachkräften gestattet.</w:t>
            </w:r>
          </w:p>
          <w:p w14:paraId="48B7ECB4" w14:textId="7F7D973C"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Der Prüfplatz ist vor Beginn der Prüfung abzusichern (z. B. durch Abschrankungen und Anbringen von Verbots- und Hinweisschilder</w:t>
            </w:r>
            <w:r w:rsidR="00BD3FA4">
              <w:rPr>
                <w:rFonts w:ascii="Arial" w:hAnsi="Arial" w:cs="Arial"/>
              </w:rPr>
              <w:t>n</w:t>
            </w:r>
            <w:r w:rsidRPr="004307C5">
              <w:rPr>
                <w:rFonts w:ascii="Arial" w:hAnsi="Arial" w:cs="Arial"/>
              </w:rPr>
              <w:t>.</w:t>
            </w:r>
          </w:p>
          <w:p w14:paraId="5300875D" w14:textId="77777777"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Aufhebung von Sicherungsmaßnahmen nur nach Absprache mit dem Vorgesetzten.</w:t>
            </w:r>
          </w:p>
          <w:p w14:paraId="5C6A3A76" w14:textId="77777777"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Ordnung und Sauberkeit sind im Arbeitsbereich zu gewährleisten.</w:t>
            </w:r>
            <w:r w:rsidRPr="004307C5">
              <w:rPr>
                <w:rFonts w:ascii="Arial" w:hAnsi="Arial" w:cs="Arial"/>
              </w:rPr>
              <w:br/>
              <w:t>Stolperstellen sind unverzüglich zu beseitigen bzw. zu melden.</w:t>
            </w:r>
          </w:p>
          <w:p w14:paraId="7251A51E" w14:textId="5ABFE276"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Offener leitfähiger Schmuck ist grundsätzlich abzulegen</w:t>
            </w:r>
            <w:r w:rsidR="00BD3FA4">
              <w:rPr>
                <w:rFonts w:ascii="Arial" w:hAnsi="Arial" w:cs="Arial"/>
              </w:rPr>
              <w:t>.</w:t>
            </w:r>
          </w:p>
          <w:p w14:paraId="41387173" w14:textId="0E5FB0CC"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Beim Starten von Messungen darf sich nur das eingewiesene Prüfpersonal innerhalb des Prüfbereiches aufhalten</w:t>
            </w:r>
            <w:r w:rsidR="00BD3FA4">
              <w:rPr>
                <w:rFonts w:ascii="Arial" w:hAnsi="Arial" w:cs="Arial"/>
              </w:rPr>
              <w:t>.</w:t>
            </w:r>
          </w:p>
          <w:p w14:paraId="2D6524DE" w14:textId="101FE045"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Keine Teile der Adaption, die mit dem Prüfling bzw. Prüfmittel verbunden sind</w:t>
            </w:r>
            <w:r w:rsidR="00BD3FA4">
              <w:rPr>
                <w:rFonts w:ascii="Arial" w:hAnsi="Arial" w:cs="Arial"/>
              </w:rPr>
              <w:t>, während der laufenden Prüfung berühren</w:t>
            </w:r>
            <w:r w:rsidRPr="004307C5">
              <w:rPr>
                <w:rFonts w:ascii="Arial" w:hAnsi="Arial" w:cs="Arial"/>
              </w:rPr>
              <w:t>.</w:t>
            </w:r>
          </w:p>
          <w:p w14:paraId="1C441531" w14:textId="31EB7A21"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Der Prüfling darf nur bei gestoppte</w:t>
            </w:r>
            <w:r w:rsidR="00BD3FA4">
              <w:rPr>
                <w:rFonts w:ascii="Arial" w:hAnsi="Arial" w:cs="Arial"/>
              </w:rPr>
              <w:t>m</w:t>
            </w:r>
            <w:r w:rsidRPr="004307C5">
              <w:rPr>
                <w:rFonts w:ascii="Arial" w:hAnsi="Arial" w:cs="Arial"/>
              </w:rPr>
              <w:t xml:space="preserve"> Prüfprogramm berührt werden.</w:t>
            </w:r>
          </w:p>
          <w:p w14:paraId="0F5DBEC6" w14:textId="3C5E96CA"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Die Sicherheitseinrichtungen (z.B. Not-Aus und RCDs) sind vor der Verwendung arbeitstäglich durch einen Funktionstest zu prüfen</w:t>
            </w:r>
            <w:r w:rsidR="00BD3FA4">
              <w:rPr>
                <w:rFonts w:ascii="Arial" w:hAnsi="Arial" w:cs="Arial"/>
              </w:rPr>
              <w:t>.</w:t>
            </w:r>
          </w:p>
          <w:p w14:paraId="1A6C60EA" w14:textId="31B90D45"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Ebenfalls erfolgt arbeitstäglich eine Inaugenscheinnahme der Prüfanlage sowie der Messmittel und Verbindungsleitungen</w:t>
            </w:r>
            <w:r w:rsidR="00BD3FA4">
              <w:rPr>
                <w:rFonts w:ascii="Arial" w:hAnsi="Arial" w:cs="Arial"/>
              </w:rPr>
              <w:t xml:space="preserve"> vor der Verwendung.</w:t>
            </w:r>
          </w:p>
          <w:p w14:paraId="4ACEA036" w14:textId="484B749D"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Die Prüfanlage ist vor dem Verlassen vor unbefugter Benutzung zu sperren</w:t>
            </w:r>
            <w:r w:rsidR="00BD3FA4">
              <w:rPr>
                <w:rFonts w:ascii="Arial" w:hAnsi="Arial" w:cs="Arial"/>
              </w:rPr>
              <w:t>.</w:t>
            </w:r>
          </w:p>
          <w:p w14:paraId="73E52216" w14:textId="0DC2013C"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Die rote und grüne Signalleuchten zur Anzeige des Schalt-/Betriebszustand sind zu beachten</w:t>
            </w:r>
            <w:r w:rsidR="00353B07">
              <w:rPr>
                <w:rFonts w:ascii="Arial" w:hAnsi="Arial" w:cs="Arial"/>
              </w:rPr>
              <w:t>.</w:t>
            </w:r>
          </w:p>
          <w:p w14:paraId="3859AA77" w14:textId="77777777"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Die Messmittel dürfen nur mit gültiger Prüfplakette benutzt werden.</w:t>
            </w:r>
          </w:p>
          <w:p w14:paraId="62ED7676" w14:textId="77777777"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Die Steckbuchsen und Mess- und Verbindungsleitungen dürfen nur verwendet werden, wenn diese einen vollständigen Berührungsschutz aufweisen.</w:t>
            </w:r>
          </w:p>
          <w:p w14:paraId="4AE687E6" w14:textId="77777777"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Sicherheitsvorkehrungen dürfen nicht umgangen oder außer Betrieb gesetzt werden.</w:t>
            </w:r>
          </w:p>
          <w:p w14:paraId="08F86623" w14:textId="77777777"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Auf mögliche Spannungsverschleppungen ist zu achten.</w:t>
            </w:r>
          </w:p>
          <w:p w14:paraId="3C730F8D" w14:textId="77777777"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Die Verkehrswege sind freizuhalten. Rettungswege und Notausgänge nicht einengen und stets freihalten.</w:t>
            </w:r>
          </w:p>
          <w:p w14:paraId="0E99FD06" w14:textId="30C6EC08" w:rsidR="00632069" w:rsidRDefault="004307C5" w:rsidP="004307C5">
            <w:pPr>
              <w:pStyle w:val="Listenabsatz"/>
              <w:numPr>
                <w:ilvl w:val="0"/>
                <w:numId w:val="1"/>
              </w:numPr>
              <w:ind w:left="355"/>
              <w:rPr>
                <w:rFonts w:ascii="Arial" w:hAnsi="Arial" w:cs="Arial"/>
              </w:rPr>
            </w:pPr>
            <w:r w:rsidRPr="004307C5">
              <w:rPr>
                <w:rFonts w:ascii="Arial" w:hAnsi="Arial" w:cs="Arial"/>
              </w:rPr>
              <w:t xml:space="preserve">Das Personal in Prüffeldern darf nur </w:t>
            </w:r>
            <w:r w:rsidR="00BD3FA4">
              <w:rPr>
                <w:rFonts w:ascii="Arial" w:hAnsi="Arial" w:cs="Arial"/>
              </w:rPr>
              <w:t xml:space="preserve">unter </w:t>
            </w:r>
            <w:r w:rsidRPr="004307C5">
              <w:rPr>
                <w:rFonts w:ascii="Arial" w:hAnsi="Arial" w:cs="Arial"/>
              </w:rPr>
              <w:t>Aufsicht des Arbeitsverantwortlichen arbeiten</w:t>
            </w:r>
            <w:r w:rsidR="00BD3FA4">
              <w:rPr>
                <w:rFonts w:ascii="Arial" w:hAnsi="Arial" w:cs="Arial"/>
              </w:rPr>
              <w:t>.</w:t>
            </w:r>
          </w:p>
          <w:p w14:paraId="5B862F55" w14:textId="71747FF2" w:rsidR="004307C5" w:rsidRPr="004307C5" w:rsidRDefault="004307C5" w:rsidP="004307C5">
            <w:pPr>
              <w:numPr>
                <w:ilvl w:val="0"/>
                <w:numId w:val="1"/>
              </w:numPr>
              <w:ind w:left="355"/>
              <w:rPr>
                <w:rFonts w:ascii="Arial" w:hAnsi="Arial" w:cs="Arial"/>
              </w:rPr>
            </w:pPr>
            <w:r w:rsidRPr="004307C5">
              <w:rPr>
                <w:rFonts w:ascii="Arial" w:hAnsi="Arial" w:cs="Arial"/>
              </w:rPr>
              <w:t>Der Me</w:t>
            </w:r>
            <w:r w:rsidR="00BD3FA4">
              <w:rPr>
                <w:rFonts w:ascii="Arial" w:hAnsi="Arial" w:cs="Arial"/>
              </w:rPr>
              <w:t>ss</w:t>
            </w:r>
            <w:r w:rsidRPr="004307C5">
              <w:rPr>
                <w:rFonts w:ascii="Arial" w:hAnsi="Arial" w:cs="Arial"/>
              </w:rPr>
              <w:t>aufbau darf in Alleinarbeit erfolgen. Prüftätigkeiten mit Spannungsbeaufschlagung nur durchführen, wenn sich eine zweite Person in Sicht- oder Hörweite befindet</w:t>
            </w:r>
            <w:r w:rsidR="00BD3FA4">
              <w:rPr>
                <w:rFonts w:ascii="Arial" w:hAnsi="Arial" w:cs="Arial"/>
              </w:rPr>
              <w:t>.</w:t>
            </w:r>
          </w:p>
          <w:p w14:paraId="45D2C7EA" w14:textId="6E6B9708" w:rsidR="004307C5" w:rsidRPr="004307C5" w:rsidRDefault="004307C5" w:rsidP="004307C5">
            <w:pPr>
              <w:pStyle w:val="FormatvorlageRegeln"/>
              <w:numPr>
                <w:ilvl w:val="0"/>
                <w:numId w:val="1"/>
              </w:numPr>
              <w:ind w:left="355"/>
              <w:rPr>
                <w:rFonts w:cs="Arial"/>
                <w:sz w:val="20"/>
              </w:rPr>
            </w:pPr>
            <w:r w:rsidRPr="004307C5">
              <w:rPr>
                <w:rFonts w:cs="Arial"/>
                <w:sz w:val="20"/>
              </w:rPr>
              <w:t xml:space="preserve">Prüfaufbauten sind übersichtlich </w:t>
            </w:r>
            <w:r w:rsidR="00BD3FA4">
              <w:rPr>
                <w:rFonts w:cs="Arial"/>
                <w:sz w:val="20"/>
              </w:rPr>
              <w:t xml:space="preserve">zu </w:t>
            </w:r>
            <w:r w:rsidRPr="004307C5">
              <w:rPr>
                <w:rFonts w:cs="Arial"/>
                <w:sz w:val="20"/>
              </w:rPr>
              <w:t xml:space="preserve">gestalten und während der gesamten Prüfung </w:t>
            </w:r>
            <w:r w:rsidR="00BD3FA4">
              <w:rPr>
                <w:rFonts w:cs="Arial"/>
                <w:sz w:val="20"/>
              </w:rPr>
              <w:t xml:space="preserve">zu </w:t>
            </w:r>
            <w:r w:rsidRPr="004307C5">
              <w:rPr>
                <w:rFonts w:cs="Arial"/>
                <w:sz w:val="20"/>
              </w:rPr>
              <w:t>überwachen</w:t>
            </w:r>
          </w:p>
          <w:p w14:paraId="6FA4DBE6" w14:textId="424C3566" w:rsidR="004307C5" w:rsidRPr="004307C5" w:rsidRDefault="004307C5" w:rsidP="004307C5">
            <w:pPr>
              <w:pStyle w:val="Listenabsatz"/>
              <w:numPr>
                <w:ilvl w:val="0"/>
                <w:numId w:val="1"/>
              </w:numPr>
              <w:ind w:left="355"/>
              <w:rPr>
                <w:rFonts w:ascii="Arial" w:hAnsi="Arial" w:cs="Arial"/>
              </w:rPr>
            </w:pPr>
            <w:r w:rsidRPr="004307C5">
              <w:rPr>
                <w:rFonts w:ascii="Arial" w:hAnsi="Arial" w:cs="Arial"/>
              </w:rPr>
              <w:t>Ggf. Restspannungen nach der Prüfung am Prüfling berücksichtigen.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4307C5">
            <w:pPr>
              <w:rPr>
                <w:rFonts w:ascii="Arial" w:hAnsi="Arial" w:cs="Arial"/>
              </w:rPr>
            </w:pPr>
          </w:p>
        </w:tc>
      </w:tr>
    </w:tbl>
    <w:p w14:paraId="5ED6BD2D" w14:textId="77777777" w:rsidR="004307C5" w:rsidRDefault="004307C5">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6"/>
        <w:gridCol w:w="1239"/>
      </w:tblGrid>
      <w:tr w:rsidR="00443CAA" w:rsidRPr="00443CAA" w14:paraId="2CE1E579" w14:textId="77777777" w:rsidTr="002755E7">
        <w:trPr>
          <w:trHeight w:val="13"/>
        </w:trPr>
        <w:tc>
          <w:tcPr>
            <w:tcW w:w="10743" w:type="dxa"/>
            <w:gridSpan w:val="4"/>
            <w:tcBorders>
              <w:top w:val="single" w:sz="48" w:space="0" w:color="FFFF00"/>
              <w:left w:val="single" w:sz="48" w:space="0" w:color="FFFF00"/>
              <w:bottom w:val="single" w:sz="48" w:space="0" w:color="FFFF00"/>
              <w:right w:val="single" w:sz="48" w:space="0" w:color="FFFF00"/>
            </w:tcBorders>
            <w:shd w:val="clear" w:color="auto" w:fill="FFFF00"/>
          </w:tcPr>
          <w:p w14:paraId="0061395A" w14:textId="200444F9"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Unregelmäßigkeiten</w:t>
            </w:r>
          </w:p>
        </w:tc>
      </w:tr>
      <w:tr w:rsidR="00443CAA" w:rsidRPr="00443CAA" w14:paraId="52CAC3F9" w14:textId="77777777" w:rsidTr="004307C5">
        <w:trPr>
          <w:trHeight w:val="1678"/>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79EFBBEE" w14:textId="77777777" w:rsidR="00320E3B" w:rsidRPr="00D769A5" w:rsidRDefault="00320E3B" w:rsidP="00D769A5">
            <w:pPr>
              <w:numPr>
                <w:ilvl w:val="0"/>
                <w:numId w:val="17"/>
              </w:numPr>
              <w:tabs>
                <w:tab w:val="clear" w:pos="720"/>
                <w:tab w:val="num" w:pos="355"/>
              </w:tabs>
              <w:ind w:left="351" w:hanging="357"/>
              <w:rPr>
                <w:rFonts w:ascii="Arial" w:hAnsi="Arial"/>
              </w:rPr>
            </w:pPr>
            <w:r w:rsidRPr="00D769A5">
              <w:rPr>
                <w:rFonts w:ascii="Arial" w:hAnsi="Arial"/>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D769A5">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1D5D4FE4" w:rsidR="00320E3B" w:rsidRPr="003066AD" w:rsidRDefault="00BD3FA4" w:rsidP="003066AD">
            <w:pPr>
              <w:numPr>
                <w:ilvl w:val="0"/>
                <w:numId w:val="6"/>
              </w:numPr>
              <w:autoSpaceDE w:val="0"/>
              <w:autoSpaceDN w:val="0"/>
              <w:adjustRightInd w:val="0"/>
              <w:ind w:left="355" w:hanging="283"/>
              <w:rPr>
                <w:rFonts w:ascii="Arial" w:hAnsi="Arial" w:cs="Arial"/>
                <w:color w:val="000000"/>
              </w:rPr>
            </w:pPr>
            <w:r>
              <w:rPr>
                <w:rFonts w:ascii="Arial" w:hAnsi="Arial"/>
              </w:rPr>
              <w:br/>
            </w: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D769A5">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556C4F31" w:rsidR="00D769A5" w:rsidRPr="00D769A5" w:rsidRDefault="00320E3B" w:rsidP="00D769A5">
            <w:pPr>
              <w:numPr>
                <w:ilvl w:val="0"/>
                <w:numId w:val="17"/>
              </w:numPr>
              <w:tabs>
                <w:tab w:val="clear" w:pos="720"/>
                <w:tab w:val="num" w:pos="355"/>
              </w:tabs>
              <w:ind w:left="351" w:hanging="357"/>
              <w:rPr>
                <w:rFonts w:ascii="Arial" w:hAnsi="Arial" w:cs="Arial"/>
                <w:color w:val="000000"/>
              </w:rPr>
            </w:pPr>
            <w:r w:rsidRPr="00D769A5">
              <w:rPr>
                <w:rFonts w:ascii="Arial" w:hAnsi="Arial"/>
              </w:rPr>
              <w:t>Bei einer Arbeitsunterbrechung ist der Arbeitsplatz so zu sichern, dass keine Gefährdung</w:t>
            </w:r>
            <w:r w:rsidR="00BD3FA4">
              <w:rPr>
                <w:rFonts w:ascii="Arial" w:hAnsi="Arial"/>
              </w:rPr>
              <w:t xml:space="preserve"> entstehen kann.</w:t>
            </w:r>
          </w:p>
        </w:tc>
        <w:tc>
          <w:tcPr>
            <w:tcW w:w="1245" w:type="dxa"/>
            <w:gridSpan w:val="2"/>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4"/>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4307C5">
        <w:trPr>
          <w:trHeight w:val="1743"/>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3726FA38"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BD3FA4">
              <w:rPr>
                <w:rFonts w:ascii="Arial" w:hAnsi="Arial" w:cs="Arial"/>
                <w:color w:val="000000"/>
              </w:rPr>
              <w:t>Sicherstellung</w:t>
            </w:r>
            <w:r w:rsidR="00BD3FA4" w:rsidRPr="00320E3B">
              <w:rPr>
                <w:rFonts w:ascii="Arial" w:hAnsi="Arial" w:cs="Arial"/>
                <w:color w:val="000000"/>
              </w:rPr>
              <w:t xml:space="preserve"> </w:t>
            </w:r>
            <w:r w:rsidRPr="00320E3B">
              <w:rPr>
                <w:rFonts w:ascii="Arial" w:hAnsi="Arial" w:cs="Arial"/>
                <w:color w:val="000000"/>
              </w:rPr>
              <w:t>der erforderlichen Schutzmaßnahmen.</w:t>
            </w:r>
          </w:p>
          <w:p w14:paraId="72D58884" w14:textId="6D5A1400"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BD3FA4">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gridSpan w:val="2"/>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3066AD" w:rsidRPr="00443CAA" w14:paraId="0000C2E2" w14:textId="77777777" w:rsidTr="005347AF">
        <w:trPr>
          <w:trHeight w:val="13"/>
        </w:trPr>
        <w:tc>
          <w:tcPr>
            <w:tcW w:w="10743" w:type="dxa"/>
            <w:gridSpan w:val="4"/>
            <w:tcBorders>
              <w:top w:val="single" w:sz="48" w:space="0" w:color="FFFF00"/>
              <w:left w:val="single" w:sz="48" w:space="0" w:color="FFFF00"/>
              <w:bottom w:val="single" w:sz="48" w:space="0" w:color="FFFF00"/>
              <w:right w:val="single" w:sz="48" w:space="0" w:color="FFFF00"/>
            </w:tcBorders>
            <w:shd w:val="clear" w:color="auto" w:fill="FFFF00"/>
          </w:tcPr>
          <w:p w14:paraId="1078A93A" w14:textId="30385788" w:rsidR="003066AD" w:rsidRPr="00D769A5" w:rsidRDefault="003066AD" w:rsidP="005347AF">
            <w:pPr>
              <w:jc w:val="center"/>
              <w:rPr>
                <w:rFonts w:ascii="Arial" w:hAnsi="Arial"/>
                <w:b/>
                <w:sz w:val="24"/>
              </w:rPr>
            </w:pPr>
            <w:r>
              <w:rPr>
                <w:rFonts w:ascii="Arial" w:hAnsi="Arial"/>
                <w:b/>
                <w:sz w:val="24"/>
              </w:rPr>
              <w:t>Kontrollen des Arbeitsverantwortlichen</w:t>
            </w:r>
          </w:p>
        </w:tc>
      </w:tr>
      <w:tr w:rsidR="003066AD" w:rsidRPr="00443CAA" w14:paraId="32CF103E" w14:textId="77777777" w:rsidTr="003066AD">
        <w:trPr>
          <w:trHeight w:val="775"/>
        </w:trPr>
        <w:tc>
          <w:tcPr>
            <w:tcW w:w="1276" w:type="dxa"/>
            <w:tcBorders>
              <w:top w:val="single" w:sz="48" w:space="0" w:color="FFFF00"/>
              <w:left w:val="single" w:sz="48" w:space="0" w:color="FFFF00"/>
              <w:bottom w:val="single" w:sz="48" w:space="0" w:color="FFFF00"/>
            </w:tcBorders>
            <w:vAlign w:val="center"/>
          </w:tcPr>
          <w:p w14:paraId="70B43665" w14:textId="77777777" w:rsidR="003066AD" w:rsidRPr="00443CAA" w:rsidRDefault="003066AD" w:rsidP="005347AF">
            <w:pPr>
              <w:jc w:val="center"/>
              <w:rPr>
                <w:rFonts w:ascii="Arial" w:hAnsi="Arial" w:cs="Arial"/>
              </w:rPr>
            </w:pPr>
          </w:p>
        </w:tc>
        <w:tc>
          <w:tcPr>
            <w:tcW w:w="8222" w:type="dxa"/>
            <w:tcBorders>
              <w:top w:val="single" w:sz="48" w:space="0" w:color="FFFF00"/>
              <w:bottom w:val="single" w:sz="48" w:space="0" w:color="FFFF00"/>
            </w:tcBorders>
            <w:vAlign w:val="center"/>
          </w:tcPr>
          <w:p w14:paraId="0A27D086" w14:textId="77777777" w:rsidR="003066AD" w:rsidRPr="00320E3B" w:rsidRDefault="003066AD" w:rsidP="003066AD">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521FE754" w14:textId="77777777" w:rsidR="003066AD" w:rsidRDefault="003066AD" w:rsidP="003066AD">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Pr>
                <w:rFonts w:ascii="Arial" w:hAnsi="Arial" w:cs="Arial"/>
                <w:color w:val="000000"/>
              </w:rPr>
              <w:t xml:space="preserve"> oder der Verwendung zu entziehen.</w:t>
            </w:r>
          </w:p>
          <w:p w14:paraId="013A6BDD" w14:textId="447EDE38" w:rsidR="003066AD" w:rsidRPr="003066AD" w:rsidRDefault="003066AD" w:rsidP="003066AD">
            <w:pPr>
              <w:numPr>
                <w:ilvl w:val="0"/>
                <w:numId w:val="6"/>
              </w:numPr>
              <w:autoSpaceDE w:val="0"/>
              <w:autoSpaceDN w:val="0"/>
              <w:adjustRightInd w:val="0"/>
              <w:ind w:left="355" w:hanging="283"/>
              <w:rPr>
                <w:rFonts w:ascii="Arial" w:hAnsi="Arial" w:cs="Arial"/>
                <w:color w:val="000000"/>
              </w:rPr>
            </w:pPr>
            <w:r w:rsidRPr="003066AD">
              <w:rPr>
                <w:rFonts w:ascii="Arial" w:hAnsi="Arial" w:cs="Arial"/>
                <w:color w:val="000000"/>
              </w:rPr>
              <w:t xml:space="preserve">Erstellung einer ergänzenden Gefährdungsbeurteilung (PC_ORG_08) bzw. Last Minute </w:t>
            </w:r>
            <w:proofErr w:type="spellStart"/>
            <w:r w:rsidRPr="003066AD">
              <w:rPr>
                <w:rFonts w:ascii="Arial" w:hAnsi="Arial" w:cs="Arial"/>
                <w:color w:val="000000"/>
              </w:rPr>
              <w:t>Risk</w:t>
            </w:r>
            <w:proofErr w:type="spellEnd"/>
            <w:r w:rsidRPr="003066AD">
              <w:rPr>
                <w:rFonts w:ascii="Arial" w:hAnsi="Arial" w:cs="Arial"/>
                <w:color w:val="000000"/>
              </w:rPr>
              <w:t xml:space="preserve"> Analysis (LMRA) vor Beginn der Arbeit.</w:t>
            </w:r>
          </w:p>
        </w:tc>
        <w:tc>
          <w:tcPr>
            <w:tcW w:w="1245" w:type="dxa"/>
            <w:gridSpan w:val="2"/>
            <w:tcBorders>
              <w:top w:val="single" w:sz="48" w:space="0" w:color="FFFF00"/>
              <w:bottom w:val="single" w:sz="48" w:space="0" w:color="FFFF00"/>
              <w:right w:val="single" w:sz="48" w:space="0" w:color="FFFF00"/>
            </w:tcBorders>
            <w:vAlign w:val="center"/>
          </w:tcPr>
          <w:p w14:paraId="3948A42C" w14:textId="77777777" w:rsidR="003066AD" w:rsidRPr="00443CAA" w:rsidRDefault="003066AD" w:rsidP="005347AF">
            <w:pPr>
              <w:jc w:val="center"/>
              <w:rPr>
                <w:rFonts w:ascii="Arial" w:hAnsi="Arial" w:cs="Arial"/>
              </w:rPr>
            </w:pPr>
          </w:p>
        </w:tc>
      </w:tr>
      <w:tr w:rsidR="00D769A5" w:rsidRPr="00443CAA" w14:paraId="21805F8C" w14:textId="77777777" w:rsidTr="00552641">
        <w:trPr>
          <w:trHeight w:val="13"/>
        </w:trPr>
        <w:tc>
          <w:tcPr>
            <w:tcW w:w="10743" w:type="dxa"/>
            <w:gridSpan w:val="4"/>
            <w:tcBorders>
              <w:top w:val="single" w:sz="48" w:space="0" w:color="FFFF00"/>
              <w:left w:val="single" w:sz="48" w:space="0" w:color="FFFF00"/>
              <w:bottom w:val="single" w:sz="48" w:space="0" w:color="FFFF00"/>
              <w:right w:val="single" w:sz="48" w:space="0" w:color="FFFF00"/>
            </w:tcBorders>
            <w:shd w:val="clear" w:color="auto" w:fill="FFFF00"/>
          </w:tcPr>
          <w:p w14:paraId="2B3EC10A" w14:textId="3F067793" w:rsidR="00BD3FA4" w:rsidRPr="00353B07" w:rsidRDefault="00D769A5" w:rsidP="00353B07">
            <w:pPr>
              <w:jc w:val="center"/>
              <w:rPr>
                <w:rFonts w:ascii="Arial" w:hAnsi="Arial" w:cs="Arial"/>
                <w:b/>
                <w:color w:val="000000" w:themeColor="text1"/>
                <w:sz w:val="24"/>
              </w:rPr>
            </w:pPr>
            <w:r w:rsidRPr="00D769A5">
              <w:rPr>
                <w:rFonts w:ascii="Arial" w:hAnsi="Arial"/>
                <w:b/>
                <w:sz w:val="24"/>
              </w:rPr>
              <w:t>Arbeitsablauf und Sicherheitsmaßnahmen</w:t>
            </w:r>
          </w:p>
        </w:tc>
      </w:tr>
      <w:tr w:rsidR="00D769A5" w:rsidRPr="00443CAA" w14:paraId="0A79DBF9" w14:textId="77777777" w:rsidTr="00552641">
        <w:trPr>
          <w:trHeight w:val="2120"/>
        </w:trPr>
        <w:tc>
          <w:tcPr>
            <w:tcW w:w="1276" w:type="dxa"/>
            <w:tcBorders>
              <w:top w:val="single" w:sz="48" w:space="0" w:color="FFFF00"/>
              <w:left w:val="single" w:sz="48" w:space="0" w:color="FFFF00"/>
              <w:bottom w:val="single" w:sz="48" w:space="0" w:color="FFFF00"/>
            </w:tcBorders>
            <w:vAlign w:val="center"/>
          </w:tcPr>
          <w:p w14:paraId="54DE3934" w14:textId="5226803F" w:rsidR="00D769A5" w:rsidRPr="00443CAA" w:rsidRDefault="00D769A5" w:rsidP="00552641">
            <w:pPr>
              <w:jc w:val="center"/>
              <w:rPr>
                <w:rFonts w:ascii="Arial" w:hAnsi="Arial" w:cs="Arial"/>
              </w:rPr>
            </w:pPr>
          </w:p>
        </w:tc>
        <w:tc>
          <w:tcPr>
            <w:tcW w:w="8222" w:type="dxa"/>
            <w:tcBorders>
              <w:top w:val="single" w:sz="48" w:space="0" w:color="FFFF00"/>
              <w:bottom w:val="single" w:sz="48" w:space="0" w:color="FFFF00"/>
            </w:tcBorders>
            <w:vAlign w:val="center"/>
          </w:tcPr>
          <w:p w14:paraId="3CE0040B" w14:textId="43335133" w:rsidR="004307C5" w:rsidRPr="004307C5" w:rsidRDefault="004307C5" w:rsidP="004307C5">
            <w:pPr>
              <w:numPr>
                <w:ilvl w:val="0"/>
                <w:numId w:val="6"/>
              </w:numPr>
              <w:autoSpaceDE w:val="0"/>
              <w:autoSpaceDN w:val="0"/>
              <w:adjustRightInd w:val="0"/>
              <w:ind w:left="355" w:hanging="283"/>
              <w:rPr>
                <w:rFonts w:ascii="Arial" w:hAnsi="Arial" w:cs="Arial"/>
                <w:color w:val="000000"/>
              </w:rPr>
            </w:pPr>
            <w:r w:rsidRPr="004307C5">
              <w:rPr>
                <w:rFonts w:ascii="Arial" w:hAnsi="Arial" w:cs="Arial"/>
                <w:color w:val="000000"/>
              </w:rPr>
              <w:t>Vor der Prüftätigkeit sind die Verb</w:t>
            </w:r>
            <w:r>
              <w:rPr>
                <w:rFonts w:ascii="Arial" w:hAnsi="Arial" w:cs="Arial"/>
                <w:color w:val="000000"/>
              </w:rPr>
              <w:t>otszonen festzusetzten. Das heiß</w:t>
            </w:r>
            <w:r w:rsidRPr="004307C5">
              <w:rPr>
                <w:rFonts w:ascii="Arial" w:hAnsi="Arial" w:cs="Arial"/>
                <w:color w:val="000000"/>
              </w:rPr>
              <w:t>t die Prüfbereiche müssen von Arbeitsplätzen und Verkehrswegen abgegrenzt sein. Die Abgrenzung muss so ausgeführt sein, dass</w:t>
            </w:r>
          </w:p>
          <w:p w14:paraId="7907F063" w14:textId="77777777" w:rsidR="004307C5" w:rsidRPr="004307C5" w:rsidRDefault="004307C5" w:rsidP="00BA25D4">
            <w:pPr>
              <w:numPr>
                <w:ilvl w:val="1"/>
                <w:numId w:val="27"/>
              </w:numPr>
              <w:autoSpaceDE w:val="0"/>
              <w:autoSpaceDN w:val="0"/>
              <w:adjustRightInd w:val="0"/>
              <w:rPr>
                <w:rFonts w:ascii="Arial" w:hAnsi="Arial" w:cs="Arial"/>
                <w:color w:val="000000"/>
              </w:rPr>
            </w:pPr>
            <w:r w:rsidRPr="004307C5">
              <w:rPr>
                <w:rFonts w:ascii="Arial" w:hAnsi="Arial" w:cs="Arial"/>
                <w:color w:val="000000"/>
              </w:rPr>
              <w:t>der Zutritt anderer Personen, ausgenommen des Prüfenden, zum Prüfbereich verhindert wird,</w:t>
            </w:r>
          </w:p>
          <w:p w14:paraId="409DF05D" w14:textId="77777777" w:rsidR="004307C5" w:rsidRPr="004307C5" w:rsidRDefault="004307C5" w:rsidP="00BA25D4">
            <w:pPr>
              <w:numPr>
                <w:ilvl w:val="1"/>
                <w:numId w:val="27"/>
              </w:numPr>
              <w:autoSpaceDE w:val="0"/>
              <w:autoSpaceDN w:val="0"/>
              <w:adjustRightInd w:val="0"/>
              <w:rPr>
                <w:rFonts w:ascii="Arial" w:hAnsi="Arial" w:cs="Arial"/>
                <w:color w:val="000000"/>
              </w:rPr>
            </w:pPr>
            <w:r w:rsidRPr="004307C5">
              <w:rPr>
                <w:rFonts w:ascii="Arial" w:hAnsi="Arial" w:cs="Arial"/>
                <w:color w:val="000000"/>
              </w:rPr>
              <w:t>die Verbotszone von anderen Personen, ausgenommen des Prüfenden, nicht erreicht werden kann,</w:t>
            </w:r>
          </w:p>
          <w:p w14:paraId="537FC574" w14:textId="3CADAB70" w:rsidR="004307C5" w:rsidRPr="004307C5" w:rsidRDefault="004307C5" w:rsidP="00BA25D4">
            <w:pPr>
              <w:numPr>
                <w:ilvl w:val="1"/>
                <w:numId w:val="27"/>
              </w:numPr>
              <w:autoSpaceDE w:val="0"/>
              <w:autoSpaceDN w:val="0"/>
              <w:adjustRightInd w:val="0"/>
              <w:rPr>
                <w:rFonts w:ascii="Arial" w:hAnsi="Arial" w:cs="Arial"/>
                <w:color w:val="000000"/>
              </w:rPr>
            </w:pPr>
            <w:r w:rsidRPr="004307C5">
              <w:rPr>
                <w:rFonts w:ascii="Arial" w:hAnsi="Arial" w:cs="Arial"/>
                <w:color w:val="000000"/>
              </w:rPr>
              <w:t>die Bedienelemente der Prüfanlage, die sich innerhalb der Abgrenzung befinden, von Personen, die sich außerhalb der Abgrenzung befinden, nicht erreicht werden können.</w:t>
            </w:r>
          </w:p>
          <w:p w14:paraId="42AF7807" w14:textId="59CC57A7" w:rsidR="00BA25D4" w:rsidRDefault="004307C5" w:rsidP="003066AD">
            <w:pPr>
              <w:pStyle w:val="Listenabsatz"/>
              <w:numPr>
                <w:ilvl w:val="0"/>
                <w:numId w:val="6"/>
              </w:numPr>
              <w:autoSpaceDE w:val="0"/>
              <w:autoSpaceDN w:val="0"/>
              <w:adjustRightInd w:val="0"/>
              <w:ind w:left="355" w:hanging="283"/>
              <w:rPr>
                <w:rFonts w:ascii="Arial" w:hAnsi="Arial" w:cs="Arial"/>
                <w:color w:val="000000"/>
              </w:rPr>
            </w:pPr>
            <w:r w:rsidRPr="004307C5">
              <w:rPr>
                <w:rFonts w:ascii="Arial" w:hAnsi="Arial" w:cs="Arial"/>
                <w:color w:val="000000"/>
              </w:rPr>
              <w:t xml:space="preserve">Der Mindestabstand zwischen der Abgrenzung, die den Prüfbereich und die Grenze der Verbotszone </w:t>
            </w:r>
            <w:r w:rsidR="00BD3FA4">
              <w:rPr>
                <w:rFonts w:ascii="Arial" w:hAnsi="Arial" w:cs="Arial"/>
                <w:color w:val="000000"/>
              </w:rPr>
              <w:t>sowie</w:t>
            </w:r>
            <w:r w:rsidR="00BD3FA4" w:rsidRPr="004307C5">
              <w:rPr>
                <w:rFonts w:ascii="Arial" w:hAnsi="Arial" w:cs="Arial"/>
                <w:color w:val="000000"/>
              </w:rPr>
              <w:t xml:space="preserve"> </w:t>
            </w:r>
            <w:r w:rsidRPr="004307C5">
              <w:rPr>
                <w:rFonts w:ascii="Arial" w:hAnsi="Arial" w:cs="Arial"/>
                <w:color w:val="000000"/>
              </w:rPr>
              <w:t>die Bedienungselemente umschließt, ist unter Anwendung von Bild 1 und Tabelle 1 festzulegen. Bei Abgrenzungen aus Gittern muss die Abgrenzung an jeder Öffnung, an der ein Durchgreifen möglich ist, einen Mindestabstand zur Verbotszone nach Tabelle 2 haben</w:t>
            </w:r>
            <w:r w:rsidR="00BD3FA4">
              <w:rPr>
                <w:rFonts w:ascii="Arial" w:hAnsi="Arial" w:cs="Arial"/>
                <w:color w:val="000000"/>
              </w:rPr>
              <w:t>.</w:t>
            </w:r>
          </w:p>
          <w:p w14:paraId="0F4B889F" w14:textId="77777777" w:rsidR="003066AD" w:rsidRPr="003066AD" w:rsidRDefault="003066AD" w:rsidP="003066AD">
            <w:pPr>
              <w:autoSpaceDE w:val="0"/>
              <w:autoSpaceDN w:val="0"/>
              <w:adjustRightInd w:val="0"/>
              <w:ind w:left="72"/>
              <w:rPr>
                <w:rFonts w:ascii="Arial" w:hAnsi="Arial" w:cs="Arial"/>
                <w:color w:val="000000"/>
              </w:rPr>
            </w:pPr>
            <w:bookmarkStart w:id="1" w:name="_GoBack"/>
            <w:bookmarkEnd w:id="1"/>
          </w:p>
          <w:p w14:paraId="0AB2F92F" w14:textId="77777777" w:rsidR="00BA25D4" w:rsidRDefault="00BA25D4" w:rsidP="00BA25D4">
            <w:pPr>
              <w:pStyle w:val="Listenabsatz"/>
              <w:autoSpaceDE w:val="0"/>
              <w:autoSpaceDN w:val="0"/>
              <w:adjustRightInd w:val="0"/>
              <w:ind w:left="355"/>
              <w:rPr>
                <w:rFonts w:ascii="Arial" w:hAnsi="Arial" w:cs="Arial"/>
                <w:color w:val="000000"/>
              </w:rPr>
            </w:pPr>
            <w:r w:rsidRPr="00BA25D4">
              <w:rPr>
                <w:noProof/>
              </w:rPr>
              <w:lastRenderedPageBreak/>
              <w:drawing>
                <wp:inline distT="0" distB="0" distL="0" distR="0" wp14:anchorId="4845F4A8" wp14:editId="21EFF7AB">
                  <wp:extent cx="1542457" cy="2241959"/>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1"/>
                          <a:srcRect/>
                          <a:stretch>
                            <a:fillRect/>
                          </a:stretch>
                        </pic:blipFill>
                        <pic:spPr bwMode="auto">
                          <a:xfrm>
                            <a:off x="0" y="0"/>
                            <a:ext cx="1565303" cy="2275165"/>
                          </a:xfrm>
                          <a:prstGeom prst="rect">
                            <a:avLst/>
                          </a:prstGeom>
                          <a:noFill/>
                          <a:ln w="9525">
                            <a:noFill/>
                            <a:miter lim="800000"/>
                            <a:headEnd/>
                            <a:tailEnd/>
                          </a:ln>
                        </pic:spPr>
                      </pic:pic>
                    </a:graphicData>
                  </a:graphic>
                </wp:inline>
              </w:drawing>
            </w:r>
            <w:r w:rsidRPr="00513960">
              <w:rPr>
                <w:noProof/>
              </w:rPr>
              <w:drawing>
                <wp:inline distT="0" distB="0" distL="0" distR="0" wp14:anchorId="1FB57E88" wp14:editId="2B0FB391">
                  <wp:extent cx="3090672" cy="2248408"/>
                  <wp:effectExtent l="0" t="0" r="0" b="0"/>
                  <wp:docPr id="10"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370" cy="2254008"/>
                          </a:xfrm>
                          <a:prstGeom prst="rect">
                            <a:avLst/>
                          </a:prstGeom>
                          <a:noFill/>
                          <a:ln>
                            <a:noFill/>
                          </a:ln>
                        </pic:spPr>
                      </pic:pic>
                    </a:graphicData>
                  </a:graphic>
                </wp:inline>
              </w:drawing>
            </w:r>
          </w:p>
          <w:p w14:paraId="15B21B65" w14:textId="6A58EBA9" w:rsidR="00BA25D4" w:rsidRDefault="00BA25D4" w:rsidP="00BA25D4">
            <w:pPr>
              <w:pStyle w:val="Listenabsatz"/>
              <w:autoSpaceDE w:val="0"/>
              <w:autoSpaceDN w:val="0"/>
              <w:adjustRightInd w:val="0"/>
              <w:ind w:left="355"/>
              <w:rPr>
                <w:rFonts w:ascii="Arial" w:hAnsi="Arial" w:cs="Arial"/>
                <w:color w:val="000000"/>
              </w:rPr>
            </w:pPr>
            <w:r>
              <w:rPr>
                <w:rFonts w:ascii="Arial" w:hAnsi="Arial" w:cs="Arial"/>
                <w:color w:val="000000"/>
              </w:rPr>
              <w:t>Bild 1                                   Tabelle 1</w:t>
            </w:r>
          </w:p>
          <w:p w14:paraId="70559D8B" w14:textId="54B4E32D" w:rsidR="00BA25D4" w:rsidRDefault="00BA25D4" w:rsidP="00BA25D4">
            <w:pPr>
              <w:pStyle w:val="Listenabsatz"/>
              <w:autoSpaceDE w:val="0"/>
              <w:autoSpaceDN w:val="0"/>
              <w:adjustRightInd w:val="0"/>
              <w:ind w:left="355"/>
              <w:rPr>
                <w:rFonts w:ascii="Arial" w:hAnsi="Arial" w:cs="Arial"/>
                <w:color w:val="000000"/>
              </w:rPr>
            </w:pPr>
            <w:r w:rsidRPr="00513960">
              <w:rPr>
                <w:rFonts w:cs="Arial"/>
                <w:b/>
                <w:noProof/>
                <w:color w:val="FFFFFF"/>
              </w:rPr>
              <w:drawing>
                <wp:inline distT="0" distB="0" distL="0" distR="0" wp14:anchorId="0347F907" wp14:editId="7B29340B">
                  <wp:extent cx="4546600" cy="3111500"/>
                  <wp:effectExtent l="0" t="0" r="0" b="0"/>
                  <wp:docPr id="11"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6600" cy="3111500"/>
                          </a:xfrm>
                          <a:prstGeom prst="rect">
                            <a:avLst/>
                          </a:prstGeom>
                          <a:noFill/>
                          <a:ln>
                            <a:noFill/>
                          </a:ln>
                        </pic:spPr>
                      </pic:pic>
                    </a:graphicData>
                  </a:graphic>
                </wp:inline>
              </w:drawing>
            </w:r>
          </w:p>
          <w:p w14:paraId="3A7C0539" w14:textId="2A5EAF25" w:rsidR="00BA25D4" w:rsidRDefault="00BA25D4" w:rsidP="00BA25D4">
            <w:pPr>
              <w:pStyle w:val="Listenabsatz"/>
              <w:autoSpaceDE w:val="0"/>
              <w:autoSpaceDN w:val="0"/>
              <w:adjustRightInd w:val="0"/>
              <w:ind w:left="355"/>
              <w:rPr>
                <w:rFonts w:ascii="Arial" w:hAnsi="Arial" w:cs="Arial"/>
                <w:color w:val="000000"/>
              </w:rPr>
            </w:pPr>
            <w:r>
              <w:rPr>
                <w:rFonts w:ascii="Arial" w:hAnsi="Arial" w:cs="Arial"/>
                <w:color w:val="000000"/>
              </w:rPr>
              <w:t>Tabelle 2</w:t>
            </w:r>
          </w:p>
          <w:p w14:paraId="557B8BFC" w14:textId="2BF29E5D" w:rsidR="00BA25D4" w:rsidRPr="00BA25D4" w:rsidRDefault="00BA25D4" w:rsidP="00BA25D4">
            <w:pPr>
              <w:pStyle w:val="Listenabsatz"/>
              <w:autoSpaceDE w:val="0"/>
              <w:autoSpaceDN w:val="0"/>
              <w:adjustRightInd w:val="0"/>
              <w:ind w:left="355"/>
              <w:rPr>
                <w:rFonts w:ascii="Arial" w:hAnsi="Arial" w:cs="Arial"/>
                <w:color w:val="000000"/>
              </w:rPr>
            </w:pPr>
          </w:p>
        </w:tc>
        <w:tc>
          <w:tcPr>
            <w:tcW w:w="1245" w:type="dxa"/>
            <w:gridSpan w:val="2"/>
            <w:tcBorders>
              <w:top w:val="single" w:sz="48" w:space="0" w:color="FFFF00"/>
              <w:bottom w:val="single" w:sz="48" w:space="0" w:color="FFFF00"/>
              <w:right w:val="single" w:sz="48" w:space="0" w:color="FFFF00"/>
            </w:tcBorders>
            <w:vAlign w:val="center"/>
          </w:tcPr>
          <w:p w14:paraId="7FB62A18" w14:textId="2A12DC7C" w:rsidR="00D769A5" w:rsidRPr="00443CAA" w:rsidRDefault="00D769A5" w:rsidP="00552641">
            <w:pPr>
              <w:jc w:val="center"/>
              <w:rPr>
                <w:rFonts w:ascii="Arial" w:hAnsi="Arial" w:cs="Arial"/>
              </w:rPr>
            </w:pPr>
          </w:p>
        </w:tc>
      </w:tr>
      <w:tr w:rsidR="00714060" w:rsidRPr="00443CAA" w14:paraId="5B8D1BEE" w14:textId="77777777" w:rsidTr="00600C80">
        <w:trPr>
          <w:trHeight w:val="13"/>
        </w:trPr>
        <w:tc>
          <w:tcPr>
            <w:tcW w:w="10743" w:type="dxa"/>
            <w:gridSpan w:val="4"/>
            <w:tcBorders>
              <w:top w:val="single" w:sz="48" w:space="0" w:color="FFFF00"/>
              <w:left w:val="single" w:sz="48" w:space="0" w:color="FFFF00"/>
              <w:bottom w:val="single" w:sz="48" w:space="0" w:color="FFFF00"/>
              <w:right w:val="single" w:sz="48" w:space="0" w:color="FFFF00"/>
            </w:tcBorders>
            <w:shd w:val="clear" w:color="auto" w:fill="FFFF00"/>
          </w:tcPr>
          <w:p w14:paraId="43B6EC1E" w14:textId="77777777" w:rsidR="00714060" w:rsidRPr="00443CAA" w:rsidRDefault="00714060" w:rsidP="00600C80">
            <w:pPr>
              <w:jc w:val="center"/>
              <w:rPr>
                <w:rFonts w:ascii="Arial" w:hAnsi="Arial" w:cs="Arial"/>
                <w:b/>
                <w:color w:val="000000" w:themeColor="text1"/>
                <w:sz w:val="24"/>
              </w:rPr>
            </w:pPr>
            <w:r>
              <w:rPr>
                <w:rFonts w:ascii="Arial" w:hAnsi="Arial"/>
                <w:b/>
                <w:sz w:val="24"/>
              </w:rPr>
              <w:t>Abschluss der Arbeiten</w:t>
            </w:r>
          </w:p>
        </w:tc>
      </w:tr>
      <w:tr w:rsidR="00714060" w:rsidRPr="00443CAA" w14:paraId="476CAD88" w14:textId="77777777" w:rsidTr="00600C80">
        <w:trPr>
          <w:trHeight w:val="20"/>
        </w:trPr>
        <w:tc>
          <w:tcPr>
            <w:tcW w:w="1276" w:type="dxa"/>
            <w:tcBorders>
              <w:top w:val="single" w:sz="48" w:space="0" w:color="FFFF00"/>
              <w:left w:val="single" w:sz="48" w:space="0" w:color="FFFF00"/>
              <w:bottom w:val="single" w:sz="48" w:space="0" w:color="FFFF00"/>
            </w:tcBorders>
            <w:vAlign w:val="center"/>
          </w:tcPr>
          <w:p w14:paraId="4F755BEB" w14:textId="77777777" w:rsidR="00714060" w:rsidRPr="00443CAA" w:rsidRDefault="00714060" w:rsidP="00600C80">
            <w:pPr>
              <w:jc w:val="center"/>
              <w:rPr>
                <w:rFonts w:ascii="Arial" w:hAnsi="Arial" w:cs="Arial"/>
              </w:rPr>
            </w:pPr>
          </w:p>
        </w:tc>
        <w:tc>
          <w:tcPr>
            <w:tcW w:w="8222" w:type="dxa"/>
            <w:tcBorders>
              <w:top w:val="single" w:sz="48" w:space="0" w:color="FFFF00"/>
              <w:bottom w:val="single" w:sz="48" w:space="0" w:color="FFFF00"/>
            </w:tcBorders>
            <w:vAlign w:val="center"/>
          </w:tcPr>
          <w:p w14:paraId="5FCC4E86" w14:textId="77777777" w:rsidR="0090144F" w:rsidRPr="0090144F" w:rsidRDefault="0090144F" w:rsidP="0090144F">
            <w:pPr>
              <w:numPr>
                <w:ilvl w:val="0"/>
                <w:numId w:val="6"/>
              </w:numPr>
              <w:autoSpaceDE w:val="0"/>
              <w:autoSpaceDN w:val="0"/>
              <w:adjustRightInd w:val="0"/>
              <w:ind w:left="355" w:hanging="283"/>
              <w:rPr>
                <w:rFonts w:ascii="Arial" w:hAnsi="Arial" w:cs="Arial"/>
                <w:color w:val="000000"/>
              </w:rPr>
            </w:pPr>
            <w:r w:rsidRPr="0090144F">
              <w:rPr>
                <w:rFonts w:ascii="Arial" w:hAnsi="Arial" w:cs="Arial"/>
                <w:color w:val="000000"/>
              </w:rPr>
              <w:t>Herstellen des ordnungsgemäßen und sicheren Anlagenzustands.</w:t>
            </w:r>
          </w:p>
          <w:p w14:paraId="3BED5CB9" w14:textId="61A7E16E" w:rsidR="0090144F" w:rsidRPr="0090144F" w:rsidRDefault="0090144F" w:rsidP="0090144F">
            <w:pPr>
              <w:numPr>
                <w:ilvl w:val="0"/>
                <w:numId w:val="6"/>
              </w:numPr>
              <w:autoSpaceDE w:val="0"/>
              <w:autoSpaceDN w:val="0"/>
              <w:adjustRightInd w:val="0"/>
              <w:ind w:left="355" w:hanging="283"/>
              <w:rPr>
                <w:rFonts w:ascii="Arial" w:hAnsi="Arial" w:cs="Arial"/>
                <w:color w:val="000000"/>
              </w:rPr>
            </w:pPr>
            <w:r>
              <w:rPr>
                <w:rFonts w:ascii="Arial" w:hAnsi="Arial" w:cs="Arial"/>
                <w:color w:val="000000"/>
              </w:rPr>
              <w:t>Räumen des Prüfplatzes</w:t>
            </w:r>
            <w:r w:rsidRPr="0090144F">
              <w:rPr>
                <w:rFonts w:ascii="Arial" w:hAnsi="Arial" w:cs="Arial"/>
                <w:color w:val="000000"/>
              </w:rPr>
              <w:t>.</w:t>
            </w:r>
          </w:p>
          <w:p w14:paraId="5536F437" w14:textId="78F563C0" w:rsidR="00714060" w:rsidRPr="0090144F" w:rsidRDefault="0090144F" w:rsidP="0090144F">
            <w:pPr>
              <w:numPr>
                <w:ilvl w:val="0"/>
                <w:numId w:val="6"/>
              </w:numPr>
              <w:autoSpaceDE w:val="0"/>
              <w:autoSpaceDN w:val="0"/>
              <w:adjustRightInd w:val="0"/>
              <w:ind w:left="355" w:hanging="283"/>
              <w:rPr>
                <w:rFonts w:ascii="Arial" w:hAnsi="Arial" w:cs="Arial"/>
              </w:rPr>
            </w:pPr>
            <w:r>
              <w:rPr>
                <w:rFonts w:ascii="Arial" w:hAnsi="Arial" w:cs="Arial"/>
                <w:color w:val="000000"/>
              </w:rPr>
              <w:t>Prüfplatz abschalten.</w:t>
            </w:r>
          </w:p>
          <w:p w14:paraId="4C4B0B6C" w14:textId="76ADEE33" w:rsidR="0090144F" w:rsidRPr="007B0EBB" w:rsidRDefault="0090144F" w:rsidP="0090144F">
            <w:pPr>
              <w:numPr>
                <w:ilvl w:val="0"/>
                <w:numId w:val="6"/>
              </w:numPr>
              <w:autoSpaceDE w:val="0"/>
              <w:autoSpaceDN w:val="0"/>
              <w:adjustRightInd w:val="0"/>
              <w:ind w:left="355" w:hanging="283"/>
              <w:rPr>
                <w:rFonts w:ascii="Arial" w:hAnsi="Arial" w:cs="Arial"/>
              </w:rPr>
            </w:pPr>
            <w:r>
              <w:rPr>
                <w:rFonts w:ascii="Arial" w:hAnsi="Arial" w:cs="Arial"/>
              </w:rPr>
              <w:t>Absperrmaterial entfernen.</w:t>
            </w:r>
          </w:p>
        </w:tc>
        <w:tc>
          <w:tcPr>
            <w:tcW w:w="1245" w:type="dxa"/>
            <w:gridSpan w:val="2"/>
            <w:tcBorders>
              <w:top w:val="single" w:sz="48" w:space="0" w:color="FFFF00"/>
              <w:bottom w:val="single" w:sz="48" w:space="0" w:color="FFFF00"/>
              <w:right w:val="single" w:sz="48" w:space="0" w:color="FFFF00"/>
            </w:tcBorders>
            <w:vAlign w:val="center"/>
          </w:tcPr>
          <w:p w14:paraId="76020AFE" w14:textId="77777777" w:rsidR="00714060" w:rsidRPr="00443CAA" w:rsidRDefault="00714060" w:rsidP="00600C80">
            <w:pPr>
              <w:jc w:val="center"/>
              <w:rPr>
                <w:rFonts w:ascii="Arial" w:hAnsi="Arial" w:cs="Arial"/>
              </w:rPr>
            </w:pPr>
          </w:p>
        </w:tc>
      </w:tr>
      <w:tr w:rsidR="00443CAA" w:rsidRPr="00443CAA" w14:paraId="3840E0FB" w14:textId="77777777" w:rsidTr="003835DD">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8" w:type="dxa"/>
            <w:gridSpan w:val="2"/>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39"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4"/>
      <w:footerReference w:type="default" r:id="rId15"/>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E677A" w14:textId="77777777" w:rsidR="001E3FB0" w:rsidRDefault="001E3FB0">
      <w:r>
        <w:separator/>
      </w:r>
    </w:p>
  </w:endnote>
  <w:endnote w:type="continuationSeparator" w:id="0">
    <w:p w14:paraId="7B51A6FA" w14:textId="77777777" w:rsidR="001E3FB0" w:rsidRDefault="001E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1C1D23E4" w:rsidR="00443CAA" w:rsidRPr="00443CAA" w:rsidRDefault="00BD3FA4"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1B4A5D">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1B4A5D">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003645A" w:rsidR="00443CAA" w:rsidRPr="00443CAA" w:rsidRDefault="00ED4BF0" w:rsidP="00443CAA">
          <w:pPr>
            <w:pStyle w:val="Fuzeile"/>
            <w:rPr>
              <w:rFonts w:ascii="Arial" w:hAnsi="Arial" w:cs="Arial"/>
              <w:sz w:val="16"/>
              <w:szCs w:val="16"/>
            </w:rPr>
          </w:pPr>
          <w:r>
            <w:rPr>
              <w:rFonts w:ascii="Arial" w:hAnsi="Arial" w:cs="Arial"/>
              <w:sz w:val="16"/>
              <w:szCs w:val="16"/>
            </w:rPr>
            <w:t>09</w:t>
          </w:r>
          <w:r w:rsidR="00443CAA" w:rsidRPr="00443CAA">
            <w:rPr>
              <w:rFonts w:ascii="Arial" w:hAnsi="Arial" w:cs="Arial"/>
              <w:sz w:val="16"/>
              <w:szCs w:val="16"/>
            </w:rPr>
            <w:t>.201</w:t>
          </w:r>
          <w:r>
            <w:rPr>
              <w:rFonts w:ascii="Arial" w:hAnsi="Arial" w:cs="Arial"/>
              <w:sz w:val="16"/>
              <w:szCs w:val="16"/>
            </w:rPr>
            <w:t>8</w:t>
          </w:r>
        </w:p>
      </w:tc>
      <w:tc>
        <w:tcPr>
          <w:tcW w:w="1306" w:type="dxa"/>
          <w:vAlign w:val="center"/>
        </w:tcPr>
        <w:p w14:paraId="6A108B5B" w14:textId="084C6BBE" w:rsidR="00443CAA" w:rsidRPr="00443CAA" w:rsidRDefault="00BD3FA4"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28F804D3" w:rsidR="00443CAA" w:rsidRPr="00443CAA" w:rsidRDefault="00BD3FA4"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E0171" w14:textId="77777777" w:rsidR="001E3FB0" w:rsidRDefault="001E3FB0">
      <w:r>
        <w:separator/>
      </w:r>
    </w:p>
  </w:footnote>
  <w:footnote w:type="continuationSeparator" w:id="0">
    <w:p w14:paraId="484801DD" w14:textId="77777777" w:rsidR="001E3FB0" w:rsidRDefault="001E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B7C1193"/>
    <w:multiLevelType w:val="hybridMultilevel"/>
    <w:tmpl w:val="87AE8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5F78EB"/>
    <w:multiLevelType w:val="hybridMultilevel"/>
    <w:tmpl w:val="327C1E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12419CD"/>
    <w:multiLevelType w:val="hybridMultilevel"/>
    <w:tmpl w:val="160E7988"/>
    <w:lvl w:ilvl="0" w:tplc="04070001">
      <w:start w:val="1"/>
      <w:numFmt w:val="bullet"/>
      <w:lvlText w:val=""/>
      <w:lvlJc w:val="left"/>
      <w:pPr>
        <w:ind w:left="792" w:hanging="360"/>
      </w:pPr>
      <w:rPr>
        <w:rFonts w:ascii="Symbol" w:hAnsi="Symbol" w:hint="default"/>
      </w:rPr>
    </w:lvl>
    <w:lvl w:ilvl="1" w:tplc="04070003">
      <w:start w:val="1"/>
      <w:numFmt w:val="bullet"/>
      <w:lvlText w:val="o"/>
      <w:lvlJc w:val="left"/>
      <w:pPr>
        <w:ind w:left="79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5"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F42FF8"/>
    <w:multiLevelType w:val="hybridMultilevel"/>
    <w:tmpl w:val="18804694"/>
    <w:lvl w:ilvl="0" w:tplc="14E608C2">
      <w:start w:val="1"/>
      <w:numFmt w:val="bullet"/>
      <w:lvlText w:val=""/>
      <w:lvlJc w:val="left"/>
      <w:pPr>
        <w:tabs>
          <w:tab w:val="num" w:pos="720"/>
        </w:tabs>
        <w:ind w:left="720" w:hanging="360"/>
      </w:pPr>
      <w:rPr>
        <w:rFonts w:ascii="Wingdings" w:hAnsi="Wingdings" w:hint="default"/>
      </w:rPr>
    </w:lvl>
    <w:lvl w:ilvl="1" w:tplc="4C5A77A4" w:tentative="1">
      <w:start w:val="1"/>
      <w:numFmt w:val="bullet"/>
      <w:lvlText w:val="o"/>
      <w:lvlJc w:val="left"/>
      <w:pPr>
        <w:tabs>
          <w:tab w:val="num" w:pos="1440"/>
        </w:tabs>
        <w:ind w:left="1440" w:hanging="360"/>
      </w:pPr>
      <w:rPr>
        <w:rFonts w:ascii="Courier New" w:hAnsi="Courier New" w:hint="default"/>
      </w:rPr>
    </w:lvl>
    <w:lvl w:ilvl="2" w:tplc="2898C796" w:tentative="1">
      <w:start w:val="1"/>
      <w:numFmt w:val="bullet"/>
      <w:lvlText w:val=""/>
      <w:lvlJc w:val="left"/>
      <w:pPr>
        <w:tabs>
          <w:tab w:val="num" w:pos="2160"/>
        </w:tabs>
        <w:ind w:left="2160" w:hanging="360"/>
      </w:pPr>
      <w:rPr>
        <w:rFonts w:ascii="Wingdings" w:hAnsi="Wingdings" w:hint="default"/>
      </w:rPr>
    </w:lvl>
    <w:lvl w:ilvl="3" w:tplc="7ADCDE94" w:tentative="1">
      <w:start w:val="1"/>
      <w:numFmt w:val="bullet"/>
      <w:lvlText w:val=""/>
      <w:lvlJc w:val="left"/>
      <w:pPr>
        <w:tabs>
          <w:tab w:val="num" w:pos="2880"/>
        </w:tabs>
        <w:ind w:left="2880" w:hanging="360"/>
      </w:pPr>
      <w:rPr>
        <w:rFonts w:ascii="Symbol" w:hAnsi="Symbol" w:hint="default"/>
      </w:rPr>
    </w:lvl>
    <w:lvl w:ilvl="4" w:tplc="7EA060DC" w:tentative="1">
      <w:start w:val="1"/>
      <w:numFmt w:val="bullet"/>
      <w:lvlText w:val="o"/>
      <w:lvlJc w:val="left"/>
      <w:pPr>
        <w:tabs>
          <w:tab w:val="num" w:pos="3600"/>
        </w:tabs>
        <w:ind w:left="3600" w:hanging="360"/>
      </w:pPr>
      <w:rPr>
        <w:rFonts w:ascii="Courier New" w:hAnsi="Courier New" w:hint="default"/>
      </w:rPr>
    </w:lvl>
    <w:lvl w:ilvl="5" w:tplc="31A60608" w:tentative="1">
      <w:start w:val="1"/>
      <w:numFmt w:val="bullet"/>
      <w:lvlText w:val=""/>
      <w:lvlJc w:val="left"/>
      <w:pPr>
        <w:tabs>
          <w:tab w:val="num" w:pos="4320"/>
        </w:tabs>
        <w:ind w:left="4320" w:hanging="360"/>
      </w:pPr>
      <w:rPr>
        <w:rFonts w:ascii="Wingdings" w:hAnsi="Wingdings" w:hint="default"/>
      </w:rPr>
    </w:lvl>
    <w:lvl w:ilvl="6" w:tplc="CA6C2E84" w:tentative="1">
      <w:start w:val="1"/>
      <w:numFmt w:val="bullet"/>
      <w:lvlText w:val=""/>
      <w:lvlJc w:val="left"/>
      <w:pPr>
        <w:tabs>
          <w:tab w:val="num" w:pos="5040"/>
        </w:tabs>
        <w:ind w:left="5040" w:hanging="360"/>
      </w:pPr>
      <w:rPr>
        <w:rFonts w:ascii="Symbol" w:hAnsi="Symbol" w:hint="default"/>
      </w:rPr>
    </w:lvl>
    <w:lvl w:ilvl="7" w:tplc="E5441482" w:tentative="1">
      <w:start w:val="1"/>
      <w:numFmt w:val="bullet"/>
      <w:lvlText w:val="o"/>
      <w:lvlJc w:val="left"/>
      <w:pPr>
        <w:tabs>
          <w:tab w:val="num" w:pos="5760"/>
        </w:tabs>
        <w:ind w:left="5760" w:hanging="360"/>
      </w:pPr>
      <w:rPr>
        <w:rFonts w:ascii="Courier New" w:hAnsi="Courier New" w:hint="default"/>
      </w:rPr>
    </w:lvl>
    <w:lvl w:ilvl="8" w:tplc="09823E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7209A"/>
    <w:multiLevelType w:val="hybridMultilevel"/>
    <w:tmpl w:val="B1B01A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20799F"/>
    <w:multiLevelType w:val="hybridMultilevel"/>
    <w:tmpl w:val="529A650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2790E1D"/>
    <w:multiLevelType w:val="hybridMultilevel"/>
    <w:tmpl w:val="4000CB84"/>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64E573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7212D4"/>
    <w:multiLevelType w:val="hybridMultilevel"/>
    <w:tmpl w:val="EBF6F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A342D5"/>
    <w:multiLevelType w:val="hybridMultilevel"/>
    <w:tmpl w:val="434E55E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24"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abstractNum w:abstractNumId="25" w15:restartNumberingAfterBreak="0">
    <w:nsid w:val="70FD7685"/>
    <w:multiLevelType w:val="hybridMultilevel"/>
    <w:tmpl w:val="27E85D3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6" w15:restartNumberingAfterBreak="0">
    <w:nsid w:val="76380D4E"/>
    <w:multiLevelType w:val="hybridMultilevel"/>
    <w:tmpl w:val="8722948E"/>
    <w:lvl w:ilvl="0" w:tplc="0407000F">
      <w:start w:val="1"/>
      <w:numFmt w:val="decimal"/>
      <w:lvlText w:val="%1."/>
      <w:lvlJc w:val="left"/>
      <w:pPr>
        <w:ind w:left="935" w:hanging="360"/>
      </w:pPr>
    </w:lvl>
    <w:lvl w:ilvl="1" w:tplc="04070019" w:tentative="1">
      <w:start w:val="1"/>
      <w:numFmt w:val="lowerLetter"/>
      <w:lvlText w:val="%2."/>
      <w:lvlJc w:val="left"/>
      <w:pPr>
        <w:ind w:left="1655" w:hanging="360"/>
      </w:pPr>
    </w:lvl>
    <w:lvl w:ilvl="2" w:tplc="0407001B" w:tentative="1">
      <w:start w:val="1"/>
      <w:numFmt w:val="lowerRoman"/>
      <w:lvlText w:val="%3."/>
      <w:lvlJc w:val="right"/>
      <w:pPr>
        <w:ind w:left="2375" w:hanging="180"/>
      </w:pPr>
    </w:lvl>
    <w:lvl w:ilvl="3" w:tplc="0407000F" w:tentative="1">
      <w:start w:val="1"/>
      <w:numFmt w:val="decimal"/>
      <w:lvlText w:val="%4."/>
      <w:lvlJc w:val="left"/>
      <w:pPr>
        <w:ind w:left="3095" w:hanging="360"/>
      </w:pPr>
    </w:lvl>
    <w:lvl w:ilvl="4" w:tplc="04070019" w:tentative="1">
      <w:start w:val="1"/>
      <w:numFmt w:val="lowerLetter"/>
      <w:lvlText w:val="%5."/>
      <w:lvlJc w:val="left"/>
      <w:pPr>
        <w:ind w:left="3815" w:hanging="360"/>
      </w:pPr>
    </w:lvl>
    <w:lvl w:ilvl="5" w:tplc="0407001B" w:tentative="1">
      <w:start w:val="1"/>
      <w:numFmt w:val="lowerRoman"/>
      <w:lvlText w:val="%6."/>
      <w:lvlJc w:val="right"/>
      <w:pPr>
        <w:ind w:left="4535" w:hanging="180"/>
      </w:pPr>
    </w:lvl>
    <w:lvl w:ilvl="6" w:tplc="0407000F" w:tentative="1">
      <w:start w:val="1"/>
      <w:numFmt w:val="decimal"/>
      <w:lvlText w:val="%7."/>
      <w:lvlJc w:val="left"/>
      <w:pPr>
        <w:ind w:left="5255" w:hanging="360"/>
      </w:pPr>
    </w:lvl>
    <w:lvl w:ilvl="7" w:tplc="04070019" w:tentative="1">
      <w:start w:val="1"/>
      <w:numFmt w:val="lowerLetter"/>
      <w:lvlText w:val="%8."/>
      <w:lvlJc w:val="left"/>
      <w:pPr>
        <w:ind w:left="5975" w:hanging="360"/>
      </w:pPr>
    </w:lvl>
    <w:lvl w:ilvl="8" w:tplc="0407001B" w:tentative="1">
      <w:start w:val="1"/>
      <w:numFmt w:val="lowerRoman"/>
      <w:lvlText w:val="%9."/>
      <w:lvlJc w:val="right"/>
      <w:pPr>
        <w:ind w:left="6695" w:hanging="180"/>
      </w:pPr>
    </w:lvl>
  </w:abstractNum>
  <w:num w:numId="1">
    <w:abstractNumId w:val="15"/>
  </w:num>
  <w:num w:numId="2">
    <w:abstractNumId w:val="2"/>
  </w:num>
  <w:num w:numId="3">
    <w:abstractNumId w:val="0"/>
  </w:num>
  <w:num w:numId="4">
    <w:abstractNumId w:val="10"/>
  </w:num>
  <w:num w:numId="5">
    <w:abstractNumId w:val="1"/>
  </w:num>
  <w:num w:numId="6">
    <w:abstractNumId w:val="11"/>
  </w:num>
  <w:num w:numId="7">
    <w:abstractNumId w:val="6"/>
  </w:num>
  <w:num w:numId="8">
    <w:abstractNumId w:val="4"/>
  </w:num>
  <w:num w:numId="9">
    <w:abstractNumId w:val="9"/>
  </w:num>
  <w:num w:numId="10">
    <w:abstractNumId w:val="7"/>
  </w:num>
  <w:num w:numId="11">
    <w:abstractNumId w:val="13"/>
  </w:num>
  <w:num w:numId="12">
    <w:abstractNumId w:val="12"/>
  </w:num>
  <w:num w:numId="13">
    <w:abstractNumId w:val="23"/>
  </w:num>
  <w:num w:numId="14">
    <w:abstractNumId w:val="25"/>
  </w:num>
  <w:num w:numId="15">
    <w:abstractNumId w:val="19"/>
  </w:num>
  <w:num w:numId="16">
    <w:abstractNumId w:val="3"/>
  </w:num>
  <w:num w:numId="17">
    <w:abstractNumId w:val="8"/>
  </w:num>
  <w:num w:numId="18">
    <w:abstractNumId w:val="16"/>
  </w:num>
  <w:num w:numId="19">
    <w:abstractNumId w:val="20"/>
  </w:num>
  <w:num w:numId="20">
    <w:abstractNumId w:val="24"/>
  </w:num>
  <w:num w:numId="21">
    <w:abstractNumId w:val="18"/>
  </w:num>
  <w:num w:numId="22">
    <w:abstractNumId w:val="22"/>
  </w:num>
  <w:num w:numId="23">
    <w:abstractNumId w:val="26"/>
  </w:num>
  <w:num w:numId="24">
    <w:abstractNumId w:val="5"/>
  </w:num>
  <w:num w:numId="25">
    <w:abstractNumId w:val="21"/>
  </w:num>
  <w:num w:numId="26">
    <w:abstractNumId w:val="17"/>
  </w:num>
  <w:num w:numId="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55A4B"/>
    <w:rsid w:val="00166B84"/>
    <w:rsid w:val="001731EB"/>
    <w:rsid w:val="00175321"/>
    <w:rsid w:val="001B3D73"/>
    <w:rsid w:val="001B4A5D"/>
    <w:rsid w:val="001C0D86"/>
    <w:rsid w:val="001D13D9"/>
    <w:rsid w:val="001E3FB0"/>
    <w:rsid w:val="001E7DEB"/>
    <w:rsid w:val="002010DD"/>
    <w:rsid w:val="00217DC1"/>
    <w:rsid w:val="00243A70"/>
    <w:rsid w:val="002474B6"/>
    <w:rsid w:val="00261FDE"/>
    <w:rsid w:val="002649A4"/>
    <w:rsid w:val="00267F58"/>
    <w:rsid w:val="0027021C"/>
    <w:rsid w:val="00274EB7"/>
    <w:rsid w:val="002755E7"/>
    <w:rsid w:val="00275A07"/>
    <w:rsid w:val="002779BD"/>
    <w:rsid w:val="00287AB0"/>
    <w:rsid w:val="0029097D"/>
    <w:rsid w:val="002C5823"/>
    <w:rsid w:val="002E1AA5"/>
    <w:rsid w:val="002F11B7"/>
    <w:rsid w:val="002F58E2"/>
    <w:rsid w:val="003066AD"/>
    <w:rsid w:val="00315FAD"/>
    <w:rsid w:val="0032093B"/>
    <w:rsid w:val="00320E3B"/>
    <w:rsid w:val="00325243"/>
    <w:rsid w:val="00331BA2"/>
    <w:rsid w:val="003336C5"/>
    <w:rsid w:val="00344B0E"/>
    <w:rsid w:val="00352656"/>
    <w:rsid w:val="00353B07"/>
    <w:rsid w:val="00370E32"/>
    <w:rsid w:val="00371196"/>
    <w:rsid w:val="00380345"/>
    <w:rsid w:val="00380CB0"/>
    <w:rsid w:val="003835DD"/>
    <w:rsid w:val="00383E70"/>
    <w:rsid w:val="00383FCB"/>
    <w:rsid w:val="0038533C"/>
    <w:rsid w:val="003968E2"/>
    <w:rsid w:val="003A115E"/>
    <w:rsid w:val="003A40D6"/>
    <w:rsid w:val="003B385F"/>
    <w:rsid w:val="003C1133"/>
    <w:rsid w:val="003D1AF7"/>
    <w:rsid w:val="003E4420"/>
    <w:rsid w:val="003F0DE9"/>
    <w:rsid w:val="003F30DD"/>
    <w:rsid w:val="0040160D"/>
    <w:rsid w:val="0040196F"/>
    <w:rsid w:val="00407AF9"/>
    <w:rsid w:val="00412A52"/>
    <w:rsid w:val="00422137"/>
    <w:rsid w:val="00423F26"/>
    <w:rsid w:val="004307C5"/>
    <w:rsid w:val="00434049"/>
    <w:rsid w:val="00436754"/>
    <w:rsid w:val="00443CAA"/>
    <w:rsid w:val="0044491E"/>
    <w:rsid w:val="00454A7E"/>
    <w:rsid w:val="0046007D"/>
    <w:rsid w:val="004607BE"/>
    <w:rsid w:val="0048689D"/>
    <w:rsid w:val="00487CD4"/>
    <w:rsid w:val="00496444"/>
    <w:rsid w:val="004C1EFB"/>
    <w:rsid w:val="004D1A61"/>
    <w:rsid w:val="005056D6"/>
    <w:rsid w:val="00512FEC"/>
    <w:rsid w:val="005175F8"/>
    <w:rsid w:val="00524923"/>
    <w:rsid w:val="00531C60"/>
    <w:rsid w:val="00537EFB"/>
    <w:rsid w:val="0055336F"/>
    <w:rsid w:val="00553DB4"/>
    <w:rsid w:val="00563060"/>
    <w:rsid w:val="005854D9"/>
    <w:rsid w:val="00594E62"/>
    <w:rsid w:val="005B7070"/>
    <w:rsid w:val="0061606E"/>
    <w:rsid w:val="00624B08"/>
    <w:rsid w:val="00632069"/>
    <w:rsid w:val="00632224"/>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060"/>
    <w:rsid w:val="00714F47"/>
    <w:rsid w:val="00717668"/>
    <w:rsid w:val="007206D9"/>
    <w:rsid w:val="00722AB9"/>
    <w:rsid w:val="00723F83"/>
    <w:rsid w:val="007421EA"/>
    <w:rsid w:val="00743475"/>
    <w:rsid w:val="00765E10"/>
    <w:rsid w:val="007879A1"/>
    <w:rsid w:val="00787FD5"/>
    <w:rsid w:val="0079017B"/>
    <w:rsid w:val="007919BE"/>
    <w:rsid w:val="007A21A8"/>
    <w:rsid w:val="007B0EBB"/>
    <w:rsid w:val="007B4821"/>
    <w:rsid w:val="007D4546"/>
    <w:rsid w:val="007E6E46"/>
    <w:rsid w:val="008077FA"/>
    <w:rsid w:val="00812559"/>
    <w:rsid w:val="00876F01"/>
    <w:rsid w:val="00880730"/>
    <w:rsid w:val="00882E70"/>
    <w:rsid w:val="00891835"/>
    <w:rsid w:val="00893711"/>
    <w:rsid w:val="008A386C"/>
    <w:rsid w:val="008A7883"/>
    <w:rsid w:val="008B3873"/>
    <w:rsid w:val="008C3C6C"/>
    <w:rsid w:val="008C4166"/>
    <w:rsid w:val="008F19DF"/>
    <w:rsid w:val="0090144F"/>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B432E"/>
    <w:rsid w:val="00AC07DA"/>
    <w:rsid w:val="00AC4AC1"/>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A25D4"/>
    <w:rsid w:val="00BB2678"/>
    <w:rsid w:val="00BC5040"/>
    <w:rsid w:val="00BD3FA4"/>
    <w:rsid w:val="00BD6A23"/>
    <w:rsid w:val="00BE54D5"/>
    <w:rsid w:val="00C16715"/>
    <w:rsid w:val="00C25A87"/>
    <w:rsid w:val="00C62894"/>
    <w:rsid w:val="00C67DFD"/>
    <w:rsid w:val="00C77FCF"/>
    <w:rsid w:val="00C82C57"/>
    <w:rsid w:val="00C93EC0"/>
    <w:rsid w:val="00C947CF"/>
    <w:rsid w:val="00CB0CAC"/>
    <w:rsid w:val="00CC5403"/>
    <w:rsid w:val="00CE23E9"/>
    <w:rsid w:val="00CF05A4"/>
    <w:rsid w:val="00CF12E9"/>
    <w:rsid w:val="00CF361B"/>
    <w:rsid w:val="00CF7607"/>
    <w:rsid w:val="00D226D6"/>
    <w:rsid w:val="00D401FA"/>
    <w:rsid w:val="00D4190D"/>
    <w:rsid w:val="00D41C85"/>
    <w:rsid w:val="00D44BAC"/>
    <w:rsid w:val="00D520AF"/>
    <w:rsid w:val="00D769A5"/>
    <w:rsid w:val="00D8129C"/>
    <w:rsid w:val="00D852FF"/>
    <w:rsid w:val="00DA62F7"/>
    <w:rsid w:val="00DB2972"/>
    <w:rsid w:val="00DD2A5A"/>
    <w:rsid w:val="00DD390A"/>
    <w:rsid w:val="00DD55BF"/>
    <w:rsid w:val="00DE5765"/>
    <w:rsid w:val="00DF5058"/>
    <w:rsid w:val="00E04513"/>
    <w:rsid w:val="00E12254"/>
    <w:rsid w:val="00E12E0D"/>
    <w:rsid w:val="00E17A9F"/>
    <w:rsid w:val="00E41A8B"/>
    <w:rsid w:val="00E4448B"/>
    <w:rsid w:val="00E527E9"/>
    <w:rsid w:val="00E53ABD"/>
    <w:rsid w:val="00E751F1"/>
    <w:rsid w:val="00E90135"/>
    <w:rsid w:val="00EB68B5"/>
    <w:rsid w:val="00EC0C67"/>
    <w:rsid w:val="00EC6E39"/>
    <w:rsid w:val="00ED12A0"/>
    <w:rsid w:val="00ED4BF0"/>
    <w:rsid w:val="00ED6C3F"/>
    <w:rsid w:val="00F05853"/>
    <w:rsid w:val="00F1424D"/>
    <w:rsid w:val="00F25744"/>
    <w:rsid w:val="00F31C48"/>
    <w:rsid w:val="00F8009A"/>
    <w:rsid w:val="00F8070F"/>
    <w:rsid w:val="00F81F58"/>
    <w:rsid w:val="00FA2F6E"/>
    <w:rsid w:val="00FB74D0"/>
    <w:rsid w:val="00FD3022"/>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table" w:styleId="Tabellenraster">
    <w:name w:val="Table Grid"/>
    <w:basedOn w:val="NormaleTabelle"/>
    <w:uiPriority w:val="59"/>
    <w:rsid w:val="00714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353B07"/>
    <w:rPr>
      <w:sz w:val="16"/>
      <w:szCs w:val="16"/>
    </w:rPr>
  </w:style>
  <w:style w:type="paragraph" w:styleId="Kommentartext">
    <w:name w:val="annotation text"/>
    <w:basedOn w:val="Standard"/>
    <w:link w:val="KommentartextZchn"/>
    <w:semiHidden/>
    <w:unhideWhenUsed/>
    <w:rsid w:val="00353B07"/>
  </w:style>
  <w:style w:type="character" w:customStyle="1" w:styleId="KommentartextZchn">
    <w:name w:val="Kommentartext Zchn"/>
    <w:basedOn w:val="Absatz-Standardschriftart"/>
    <w:link w:val="Kommentartext"/>
    <w:semiHidden/>
    <w:rsid w:val="00353B07"/>
  </w:style>
  <w:style w:type="paragraph" w:styleId="Kommentarthema">
    <w:name w:val="annotation subject"/>
    <w:basedOn w:val="Kommentartext"/>
    <w:next w:val="Kommentartext"/>
    <w:link w:val="KommentarthemaZchn"/>
    <w:semiHidden/>
    <w:unhideWhenUsed/>
    <w:rsid w:val="00353B07"/>
    <w:rPr>
      <w:b/>
      <w:bCs/>
    </w:rPr>
  </w:style>
  <w:style w:type="character" w:customStyle="1" w:styleId="KommentarthemaZchn">
    <w:name w:val="Kommentarthema Zchn"/>
    <w:basedOn w:val="KommentartextZchn"/>
    <w:link w:val="Kommentarthema"/>
    <w:semiHidden/>
    <w:rsid w:val="00353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7336-64F9-A343-8236-EFE79550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2019-07-31T13:38:00Z</dcterms:created>
  <dcterms:modified xsi:type="dcterms:W3CDTF">2019-07-31T13:38:00Z</dcterms:modified>
</cp:coreProperties>
</file>