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AACF652"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CF7607">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8B5B79C" w:rsidR="00F1424D" w:rsidRPr="00443CAA" w:rsidRDefault="00D4236A" w:rsidP="003E4420">
            <w:pPr>
              <w:spacing w:before="120"/>
              <w:ind w:left="72"/>
              <w:jc w:val="center"/>
              <w:rPr>
                <w:rFonts w:ascii="Arial" w:hAnsi="Arial" w:cs="Arial"/>
              </w:rPr>
            </w:pPr>
            <w:r>
              <w:rPr>
                <w:noProof/>
              </w:rPr>
              <w:drawing>
                <wp:inline distT="0" distB="0" distL="0" distR="0" wp14:anchorId="6D83A587" wp14:editId="6E72249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AB897E4" w:rsidR="00443CAA" w:rsidRPr="00443CAA" w:rsidRDefault="00CF7607" w:rsidP="00443CAA">
            <w:pPr>
              <w:jc w:val="center"/>
              <w:rPr>
                <w:rFonts w:ascii="Arial" w:hAnsi="Arial" w:cs="Arial"/>
                <w:b/>
                <w:sz w:val="24"/>
                <w:szCs w:val="24"/>
              </w:rPr>
            </w:pPr>
            <w:r w:rsidRPr="00CF7607">
              <w:rPr>
                <w:rFonts w:ascii="Arial" w:hAnsi="Arial" w:cs="Arial"/>
                <w:b/>
                <w:color w:val="000000" w:themeColor="text1"/>
                <w:sz w:val="24"/>
                <w:szCs w:val="24"/>
              </w:rPr>
              <w:t>Arbeiten in der Nähe unter Spannung stehender Teile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1682A0F3" w:rsidR="00320E3B" w:rsidRPr="005023E7" w:rsidRDefault="005023E7" w:rsidP="005023E7">
            <w:pPr>
              <w:pStyle w:val="Listenabsatz"/>
              <w:numPr>
                <w:ilvl w:val="0"/>
                <w:numId w:val="1"/>
              </w:numPr>
              <w:ind w:left="355"/>
              <w:rPr>
                <w:rFonts w:ascii="Arial" w:hAnsi="Arial" w:cs="Arial"/>
              </w:rPr>
            </w:pPr>
            <w:r w:rsidRPr="00754115">
              <w:rPr>
                <w:rFonts w:ascii="Arial" w:hAnsi="Arial"/>
              </w:rPr>
              <w:t>Arbeiten in der Nähe unter Spannun</w:t>
            </w:r>
            <w:r>
              <w:rPr>
                <w:rFonts w:ascii="Arial" w:hAnsi="Arial"/>
              </w:rPr>
              <w:t xml:space="preserve">g stehender Teile entsprechend </w:t>
            </w:r>
            <w:r w:rsidRPr="00754115">
              <w:rPr>
                <w:rFonts w:ascii="Arial" w:hAnsi="Arial"/>
              </w:rPr>
              <w:t>VDE 0105-100 Abs.</w:t>
            </w:r>
            <w:r>
              <w:rPr>
                <w:rFonts w:ascii="Arial" w:hAnsi="Arial"/>
              </w:rPr>
              <w:t xml:space="preserve"> </w:t>
            </w:r>
            <w:r w:rsidRPr="00754115">
              <w:rPr>
                <w:rFonts w:ascii="Arial" w:hAnsi="Arial"/>
              </w:rPr>
              <w:t>6.4</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60C29D12"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5023E7" w:rsidRPr="004325D1">
              <w:rPr>
                <w:rFonts w:ascii="Arial" w:hAnsi="Arial"/>
                <w:noProof/>
              </w:rPr>
              <w:drawing>
                <wp:inline distT="0" distB="0" distL="0" distR="0" wp14:anchorId="2510A1D1" wp14:editId="0A1CA672">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7AC87D0" w14:textId="77777777" w:rsidR="005023E7" w:rsidRPr="00021731" w:rsidRDefault="005023E7" w:rsidP="005023E7">
            <w:pPr>
              <w:pStyle w:val="Listenabsatz"/>
              <w:numPr>
                <w:ilvl w:val="0"/>
                <w:numId w:val="1"/>
              </w:numPr>
              <w:ind w:left="355"/>
              <w:rPr>
                <w:rFonts w:ascii="Arial" w:hAnsi="Arial"/>
              </w:rPr>
            </w:pPr>
            <w:r w:rsidRPr="00021731">
              <w:rPr>
                <w:rFonts w:ascii="Arial" w:hAnsi="Arial"/>
              </w:rPr>
              <w:t>Elektrische Körperdurchströmung bei Berühren aktiver Teile</w:t>
            </w:r>
          </w:p>
          <w:p w14:paraId="20E30371" w14:textId="77777777" w:rsidR="005023E7" w:rsidRPr="00021731" w:rsidRDefault="005023E7" w:rsidP="005023E7">
            <w:pPr>
              <w:pStyle w:val="Listenabsatz"/>
              <w:numPr>
                <w:ilvl w:val="0"/>
                <w:numId w:val="1"/>
              </w:numPr>
              <w:ind w:left="355"/>
              <w:rPr>
                <w:rFonts w:ascii="Arial" w:hAnsi="Arial"/>
              </w:rPr>
            </w:pPr>
            <w:r w:rsidRPr="00021731">
              <w:rPr>
                <w:rFonts w:ascii="Arial" w:hAnsi="Arial"/>
              </w:rPr>
              <w:t>Verbrennungsgefahr durch Lichtbogen</w:t>
            </w:r>
          </w:p>
          <w:p w14:paraId="5F161544" w14:textId="4007C777" w:rsidR="00765E10" w:rsidRPr="00443CAA" w:rsidRDefault="005023E7" w:rsidP="005023E7">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7153ABF" w14:textId="77777777" w:rsidR="005023E7" w:rsidRPr="00754115" w:rsidRDefault="005023E7" w:rsidP="005023E7">
            <w:pPr>
              <w:pStyle w:val="Listenabsatz"/>
              <w:numPr>
                <w:ilvl w:val="0"/>
                <w:numId w:val="1"/>
              </w:numPr>
              <w:ind w:left="355"/>
              <w:rPr>
                <w:rFonts w:ascii="Arial" w:hAnsi="Arial"/>
              </w:rPr>
            </w:pPr>
            <w:r w:rsidRPr="00754115">
              <w:rPr>
                <w:rFonts w:ascii="Arial" w:hAnsi="Arial"/>
              </w:rPr>
              <w:t>Der Zugang zu der Arbeitsstelle is</w:t>
            </w:r>
            <w:r>
              <w:rPr>
                <w:rFonts w:ascii="Arial" w:hAnsi="Arial"/>
              </w:rPr>
              <w:t>t nur Elektrofachkräften sowie e</w:t>
            </w:r>
            <w:r w:rsidRPr="00754115">
              <w:rPr>
                <w:rFonts w:ascii="Arial" w:hAnsi="Arial"/>
              </w:rPr>
              <w:t>lektrotechnisch unterwiesenen Personen gestattet.</w:t>
            </w:r>
          </w:p>
          <w:p w14:paraId="447B8BFA" w14:textId="2EADF29D" w:rsidR="005023E7" w:rsidRPr="007163EB" w:rsidRDefault="005023E7" w:rsidP="005023E7">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6073EB">
              <w:rPr>
                <w:rFonts w:ascii="Arial" w:hAnsi="Arial"/>
              </w:rPr>
              <w:t>n</w:t>
            </w:r>
            <w:r w:rsidRPr="007163EB">
              <w:rPr>
                <w:rFonts w:ascii="Arial" w:hAnsi="Arial"/>
              </w:rPr>
              <w:t xml:space="preserve">). </w:t>
            </w:r>
            <w:r>
              <w:rPr>
                <w:rFonts w:ascii="Arial" w:hAnsi="Arial"/>
                <w:i/>
              </w:rPr>
              <w:t>PC_ORG_02</w:t>
            </w:r>
            <w:r w:rsidRPr="00C621E2">
              <w:rPr>
                <w:rFonts w:ascii="Arial" w:hAnsi="Arial"/>
                <w:i/>
              </w:rPr>
              <w:t xml:space="preserve"> Freigabeschein </w:t>
            </w:r>
            <w:r w:rsidRPr="00C621E2">
              <w:rPr>
                <w:rFonts w:ascii="Arial" w:hAnsi="Arial"/>
              </w:rPr>
              <w:t>benutzen</w:t>
            </w:r>
            <w:r w:rsidRPr="007163EB">
              <w:rPr>
                <w:rFonts w:ascii="Arial" w:hAnsi="Arial"/>
                <w:b/>
              </w:rPr>
              <w:t>.</w:t>
            </w:r>
          </w:p>
          <w:p w14:paraId="52B5C073" w14:textId="2C812178" w:rsidR="005023E7" w:rsidRPr="007163EB" w:rsidRDefault="005023E7" w:rsidP="005023E7">
            <w:pPr>
              <w:pStyle w:val="Listenabsatz"/>
              <w:numPr>
                <w:ilvl w:val="0"/>
                <w:numId w:val="1"/>
              </w:numPr>
              <w:ind w:left="355"/>
              <w:rPr>
                <w:rFonts w:ascii="Arial" w:hAnsi="Arial"/>
              </w:rPr>
            </w:pPr>
            <w:r w:rsidRPr="007163EB">
              <w:rPr>
                <w:rFonts w:ascii="Arial" w:hAnsi="Arial"/>
              </w:rPr>
              <w:t>Bei mehreren an der Arbeit beteilig</w:t>
            </w:r>
            <w:r w:rsidR="00B3580F">
              <w:rPr>
                <w:rFonts w:ascii="Arial" w:hAnsi="Arial"/>
              </w:rPr>
              <w:t>t</w:t>
            </w:r>
            <w:r w:rsidRPr="007163EB">
              <w:rPr>
                <w:rFonts w:ascii="Arial" w:hAnsi="Arial"/>
              </w:rPr>
              <w:t xml:space="preserve">en Personen sind diese </w:t>
            </w:r>
            <w:r w:rsidR="00D4236A">
              <w:rPr>
                <w:rFonts w:ascii="Arial" w:hAnsi="Arial"/>
              </w:rPr>
              <w:t>a</w:t>
            </w:r>
            <w:r w:rsidRPr="007163EB">
              <w:rPr>
                <w:rFonts w:ascii="Arial" w:hAnsi="Arial"/>
              </w:rPr>
              <w:t xml:space="preserve">ufgaben- und </w:t>
            </w:r>
            <w:r w:rsidR="00D4236A">
              <w:rPr>
                <w:rFonts w:ascii="Arial" w:hAnsi="Arial"/>
              </w:rPr>
              <w:t>g</w:t>
            </w:r>
            <w:r w:rsidRPr="007163EB">
              <w:rPr>
                <w:rFonts w:ascii="Arial" w:hAnsi="Arial"/>
              </w:rPr>
              <w:t>efahrenbezogen durch den Arbeitsverantwortlichen zu unterweisen.</w:t>
            </w:r>
          </w:p>
          <w:p w14:paraId="21A4D252" w14:textId="70EDC804" w:rsidR="005023E7" w:rsidRPr="00754115" w:rsidRDefault="005023E7" w:rsidP="005023E7">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350DCA">
              <w:rPr>
                <w:rFonts w:ascii="Arial" w:hAnsi="Arial"/>
              </w:rPr>
              <w:t>zu</w:t>
            </w:r>
            <w:r w:rsidRPr="00754115">
              <w:rPr>
                <w:rFonts w:ascii="Arial" w:hAnsi="Arial"/>
              </w:rPr>
              <w:t xml:space="preserve">stellen. Dies erfolgt </w:t>
            </w:r>
            <w:r w:rsidR="00D4236A">
              <w:rPr>
                <w:rFonts w:ascii="Arial" w:hAnsi="Arial"/>
              </w:rPr>
              <w:t>unter</w:t>
            </w:r>
            <w:r w:rsidR="00D4236A" w:rsidRPr="00754115">
              <w:rPr>
                <w:rFonts w:ascii="Arial" w:hAnsi="Arial"/>
              </w:rPr>
              <w:t xml:space="preserve"> </w:t>
            </w:r>
            <w:r w:rsidRPr="00754115">
              <w:rPr>
                <w:rFonts w:ascii="Arial" w:hAnsi="Arial"/>
              </w:rPr>
              <w:t>Anwendung d</w:t>
            </w:r>
            <w:r>
              <w:rPr>
                <w:rFonts w:ascii="Arial" w:hAnsi="Arial"/>
              </w:rPr>
              <w:t>er 5 Sicherheitsregeln (</w:t>
            </w:r>
            <w:r w:rsidRPr="005023E7">
              <w:rPr>
                <w:rFonts w:ascii="Arial" w:hAnsi="Arial"/>
                <w:i/>
              </w:rPr>
              <w:t>AA_EFK_01 Arbeiten im spannungsfreien Zustand bis 1000 V</w:t>
            </w:r>
            <w:r w:rsidRPr="00754115">
              <w:rPr>
                <w:rFonts w:ascii="Arial" w:hAnsi="Arial"/>
              </w:rPr>
              <w:t>)</w:t>
            </w:r>
            <w:r w:rsidR="00D4236A">
              <w:rPr>
                <w:rFonts w:ascii="Arial" w:hAnsi="Arial"/>
              </w:rPr>
              <w:t>.</w:t>
            </w:r>
          </w:p>
          <w:p w14:paraId="4B2565C3" w14:textId="77777777" w:rsidR="005023E7" w:rsidRPr="00754115" w:rsidRDefault="005023E7" w:rsidP="005023E7">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w:t>
            </w:r>
            <w:bookmarkStart w:id="0" w:name="_GoBack"/>
            <w:bookmarkEnd w:id="0"/>
            <w:r w:rsidRPr="00754115">
              <w:rPr>
                <w:rFonts w:ascii="Arial" w:hAnsi="Arial"/>
              </w:rPr>
              <w:t>ie die passenden Arbeitsmittel zu verwenden:</w:t>
            </w:r>
          </w:p>
          <w:p w14:paraId="74BDB8BD" w14:textId="6D1F2FF8" w:rsidR="005023E7" w:rsidRPr="007163EB" w:rsidRDefault="005023E7" w:rsidP="005023E7">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Pr>
                <w:rFonts w:ascii="Arial" w:hAnsi="Arial"/>
              </w:rPr>
              <w:t>DGUV Information 203-077</w:t>
            </w:r>
            <w:r w:rsidRPr="007163EB">
              <w:rPr>
                <w:rFonts w:ascii="Arial" w:hAnsi="Arial" w:cs="Arial"/>
              </w:rPr>
              <w:t>.</w:t>
            </w:r>
          </w:p>
          <w:p w14:paraId="2D650EC4" w14:textId="77777777" w:rsidR="005023E7" w:rsidRPr="0070336A" w:rsidRDefault="005023E7" w:rsidP="005023E7">
            <w:pPr>
              <w:pStyle w:val="Listenabsatz"/>
              <w:numPr>
                <w:ilvl w:val="0"/>
                <w:numId w:val="10"/>
              </w:numPr>
              <w:rPr>
                <w:rFonts w:ascii="Arial" w:hAnsi="Arial" w:cs="Arial"/>
              </w:rPr>
            </w:pPr>
            <w:r w:rsidRPr="0070336A">
              <w:rPr>
                <w:rFonts w:ascii="Arial" w:hAnsi="Arial" w:cs="Arial"/>
              </w:rPr>
              <w:t>Die zum Einsatz kommenden Messgeräte, -leitungen, und -spitzen müssen mindestens der Messgerätekategorie CAT III oder CAT IV entsprechen.</w:t>
            </w:r>
          </w:p>
          <w:p w14:paraId="18F44275" w14:textId="688FAFDD" w:rsidR="005023E7" w:rsidRPr="0070336A" w:rsidRDefault="005023E7" w:rsidP="005023E7">
            <w:pPr>
              <w:pStyle w:val="Listenabsatz"/>
              <w:numPr>
                <w:ilvl w:val="0"/>
                <w:numId w:val="10"/>
              </w:numPr>
              <w:rPr>
                <w:rFonts w:ascii="Arial" w:hAnsi="Arial" w:cs="Arial"/>
              </w:rPr>
            </w:pPr>
            <w:r w:rsidRPr="0070336A">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D4236A">
              <w:rPr>
                <w:rFonts w:ascii="Arial" w:hAnsi="Arial" w:cs="Arial"/>
              </w:rPr>
              <w:t>n</w:t>
            </w:r>
            <w:r w:rsidRPr="0070336A">
              <w:rPr>
                <w:rFonts w:ascii="Arial" w:hAnsi="Arial" w:cs="Arial"/>
              </w:rPr>
              <w:t>ach DIN EN 60900</w:t>
            </w:r>
            <w:r w:rsidR="00D4236A" w:rsidRPr="0070336A">
              <w:rPr>
                <w:rFonts w:ascii="Arial" w:hAnsi="Arial" w:cs="Arial"/>
              </w:rPr>
              <w:t xml:space="preserve"> zu verwenden</w:t>
            </w:r>
            <w:r w:rsidR="00D4236A">
              <w:rPr>
                <w:rFonts w:ascii="Arial" w:hAnsi="Arial" w:cs="Arial"/>
              </w:rPr>
              <w:t>.</w:t>
            </w:r>
          </w:p>
          <w:p w14:paraId="6FA4DBE6" w14:textId="6DA64064" w:rsidR="00632069" w:rsidRPr="00443CAA" w:rsidRDefault="005023E7" w:rsidP="005023E7">
            <w:pPr>
              <w:pStyle w:val="Listenabsatz"/>
              <w:numPr>
                <w:ilvl w:val="0"/>
                <w:numId w:val="1"/>
              </w:numPr>
              <w:ind w:left="355"/>
              <w:rPr>
                <w:rFonts w:ascii="Arial" w:hAnsi="Arial" w:cs="Arial"/>
              </w:rPr>
            </w:pPr>
            <w:r w:rsidRPr="00754115">
              <w:rPr>
                <w:rFonts w:ascii="Arial" w:hAnsi="Arial"/>
              </w:rPr>
              <w:t>Schaltmaßnahmen sind generell mit dem Anlagenverantwortlichen abzustimmen.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1"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1"/>
          </w:p>
          <w:p w14:paraId="4DBF142A" w14:textId="0D66E77B" w:rsidR="00D4236A" w:rsidRPr="00D4236A" w:rsidRDefault="00D4236A" w:rsidP="00D4236A">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40A7A01F"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Bei einer Arbeitsunterbrechung ist der Arbeitsplatz so zu sichern, dass keine </w:t>
            </w:r>
            <w:proofErr w:type="gramStart"/>
            <w:r w:rsidRPr="00320E3B">
              <w:rPr>
                <w:rFonts w:ascii="Arial" w:hAnsi="Arial" w:cs="Arial"/>
                <w:color w:val="000000"/>
              </w:rPr>
              <w:t xml:space="preserve">Gefährdung </w:t>
            </w:r>
            <w:r w:rsidR="00D4236A">
              <w:rPr>
                <w:rFonts w:ascii="Arial" w:hAnsi="Arial" w:cs="Arial"/>
                <w:color w:val="000000"/>
              </w:rPr>
              <w:t xml:space="preserve"> entstehen</w:t>
            </w:r>
            <w:proofErr w:type="gramEnd"/>
            <w:r w:rsidR="00D4236A">
              <w:rPr>
                <w:rFonts w:ascii="Arial" w:hAnsi="Arial" w:cs="Arial"/>
                <w:color w:val="000000"/>
              </w:rPr>
              <w:t xml:space="preserve"> kann.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9B6A5C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D4236A">
              <w:rPr>
                <w:rFonts w:ascii="Arial" w:hAnsi="Arial" w:cs="Arial"/>
                <w:color w:val="000000"/>
              </w:rPr>
              <w:t>Sicherstellung</w:t>
            </w:r>
            <w:r w:rsidR="00D4236A" w:rsidRPr="00320E3B">
              <w:rPr>
                <w:rFonts w:ascii="Arial" w:hAnsi="Arial" w:cs="Arial"/>
                <w:color w:val="000000"/>
              </w:rPr>
              <w:t xml:space="preserve"> </w:t>
            </w:r>
            <w:r w:rsidRPr="00320E3B">
              <w:rPr>
                <w:rFonts w:ascii="Arial" w:hAnsi="Arial" w:cs="Arial"/>
                <w:color w:val="000000"/>
              </w:rPr>
              <w:t>der erforderlichen Schutzmaßnahmen.</w:t>
            </w:r>
          </w:p>
          <w:p w14:paraId="72D58884" w14:textId="6F024E9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D4236A">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lastRenderedPageBreak/>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63036919"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D4236A">
              <w:rPr>
                <w:rFonts w:ascii="Arial" w:hAnsi="Arial" w:cs="Arial"/>
                <w:color w:val="000000"/>
              </w:rPr>
              <w:t xml:space="preserve"> oder der Verwendung zu entziehen.</w:t>
            </w:r>
          </w:p>
          <w:p w14:paraId="7DB96ADC"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26A88A2D" w:rsidR="00D4236A" w:rsidRPr="00D4236A" w:rsidRDefault="00D4236A" w:rsidP="00D4236A">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AF646F3"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Benutzen der erforderlichen PSA.</w:t>
            </w:r>
          </w:p>
          <w:p w14:paraId="750C9D6F"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 xml:space="preserve">Sicherheit am Arbeitsplatz gewährleisten. </w:t>
            </w:r>
          </w:p>
          <w:p w14:paraId="00009E45"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Für ausreichende Beleuchtung sorgen.</w:t>
            </w:r>
          </w:p>
          <w:p w14:paraId="32C462C2"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Für ausreichende Bewegungsfreiheit sorgen.</w:t>
            </w:r>
          </w:p>
          <w:p w14:paraId="330D6DF7"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Standsicherheit gewährleisten.</w:t>
            </w:r>
          </w:p>
          <w:p w14:paraId="25407AEB"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Fluchtwege zur Verfügung halten.</w:t>
            </w:r>
          </w:p>
          <w:p w14:paraId="35B84936" w14:textId="14E3D28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 xml:space="preserve">Kontrolle der ordnungsgemäßen Funktion der zur Anwendung kommenden Werkzeuge </w:t>
            </w:r>
            <w:r w:rsidR="00D4236A">
              <w:rPr>
                <w:rFonts w:ascii="Arial" w:hAnsi="Arial" w:cs="Arial"/>
                <w:color w:val="000000"/>
              </w:rPr>
              <w:t>und</w:t>
            </w:r>
            <w:r w:rsidR="00D4236A" w:rsidRPr="005023E7">
              <w:rPr>
                <w:rFonts w:ascii="Arial" w:hAnsi="Arial" w:cs="Arial"/>
                <w:color w:val="000000"/>
              </w:rPr>
              <w:t xml:space="preserve"> </w:t>
            </w:r>
            <w:r w:rsidRPr="005023E7">
              <w:rPr>
                <w:rFonts w:ascii="Arial" w:hAnsi="Arial" w:cs="Arial"/>
                <w:color w:val="000000"/>
              </w:rPr>
              <w:t>Arbeitsmittel.</w:t>
            </w:r>
          </w:p>
          <w:p w14:paraId="79DD6D29" w14:textId="77777777" w:rsidR="005023E7" w:rsidRPr="005023E7" w:rsidRDefault="005023E7"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Es ist durch geeignete Maßnahmen sicherzustellen, dass unter Spannung stehende Teile nicht berührt werden können oder die Gefahrenzone nicht erreicht werden kann.</w:t>
            </w:r>
          </w:p>
          <w:p w14:paraId="3EB1C836" w14:textId="77777777" w:rsidR="005023E7" w:rsidRPr="005023E7" w:rsidRDefault="005023E7" w:rsidP="005023E7">
            <w:pPr>
              <w:numPr>
                <w:ilvl w:val="0"/>
                <w:numId w:val="12"/>
              </w:numPr>
              <w:autoSpaceDE w:val="0"/>
              <w:autoSpaceDN w:val="0"/>
              <w:adjustRightInd w:val="0"/>
              <w:rPr>
                <w:rFonts w:ascii="Arial" w:hAnsi="Arial" w:cs="Arial"/>
                <w:color w:val="000000"/>
              </w:rPr>
            </w:pPr>
            <w:r w:rsidRPr="005023E7">
              <w:rPr>
                <w:rFonts w:ascii="Arial" w:hAnsi="Arial" w:cs="Arial"/>
                <w:color w:val="000000"/>
              </w:rPr>
              <w:t>Abdeckung, Abkapselung oder Umhüllung von unter Spannung stehenden Teilen.</w:t>
            </w:r>
          </w:p>
          <w:p w14:paraId="455AA572" w14:textId="77777777" w:rsidR="005023E7" w:rsidRPr="005023E7" w:rsidRDefault="005023E7" w:rsidP="005023E7">
            <w:pPr>
              <w:numPr>
                <w:ilvl w:val="0"/>
                <w:numId w:val="12"/>
              </w:numPr>
              <w:autoSpaceDE w:val="0"/>
              <w:autoSpaceDN w:val="0"/>
              <w:adjustRightInd w:val="0"/>
              <w:rPr>
                <w:rFonts w:ascii="Arial" w:hAnsi="Arial" w:cs="Arial"/>
                <w:color w:val="000000"/>
              </w:rPr>
            </w:pPr>
            <w:r w:rsidRPr="005023E7">
              <w:rPr>
                <w:rFonts w:ascii="Arial" w:hAnsi="Arial" w:cs="Arial"/>
                <w:color w:val="000000"/>
              </w:rPr>
              <w:t>Sicherstellen, dass ein Eindringen in die Gefahrenzone durch Aufsichtsführung ausgeschlossen ist.</w:t>
            </w:r>
          </w:p>
          <w:p w14:paraId="4189DA7C" w14:textId="77777777" w:rsidR="005023E7" w:rsidRDefault="005023E7" w:rsidP="005023E7">
            <w:pPr>
              <w:rPr>
                <w:rFonts w:ascii="Arial" w:hAnsi="Arial"/>
              </w:rPr>
            </w:pPr>
          </w:p>
          <w:tbl>
            <w:tblPr>
              <w:tblW w:w="3118" w:type="dxa"/>
              <w:tblInd w:w="629" w:type="dxa"/>
              <w:tblLayout w:type="fixed"/>
              <w:tblCellMar>
                <w:left w:w="70" w:type="dxa"/>
                <w:right w:w="70" w:type="dxa"/>
              </w:tblCellMar>
              <w:tblLook w:val="04A0" w:firstRow="1" w:lastRow="0" w:firstColumn="1" w:lastColumn="0" w:noHBand="0" w:noVBand="1"/>
            </w:tblPr>
            <w:tblGrid>
              <w:gridCol w:w="1418"/>
              <w:gridCol w:w="1700"/>
            </w:tblGrid>
            <w:tr w:rsidR="005023E7" w:rsidRPr="00785DF7" w14:paraId="38B04542" w14:textId="77777777" w:rsidTr="0085565B">
              <w:trPr>
                <w:trHeight w:val="259"/>
              </w:trPr>
              <w:tc>
                <w:tcPr>
                  <w:tcW w:w="1418" w:type="dxa"/>
                  <w:vMerge w:val="restart"/>
                  <w:tcBorders>
                    <w:top w:val="single" w:sz="8" w:space="0" w:color="auto"/>
                    <w:left w:val="single" w:sz="8" w:space="0" w:color="auto"/>
                    <w:right w:val="single" w:sz="4" w:space="0" w:color="auto"/>
                  </w:tcBorders>
                  <w:shd w:val="clear" w:color="000000" w:fill="F2F2F2"/>
                  <w:noWrap/>
                  <w:hideMark/>
                </w:tcPr>
                <w:p w14:paraId="608F993E" w14:textId="77777777" w:rsidR="005023E7" w:rsidRPr="0097570D" w:rsidRDefault="005023E7" w:rsidP="0085565B">
                  <w:pPr>
                    <w:ind w:left="174"/>
                    <w:rPr>
                      <w:rFonts w:ascii="Arial" w:hAnsi="Arial" w:cs="Arial"/>
                      <w:b/>
                      <w:bCs/>
                      <w:color w:val="000000"/>
                      <w:sz w:val="16"/>
                      <w:szCs w:val="16"/>
                    </w:rPr>
                  </w:pPr>
                  <w:r>
                    <w:rPr>
                      <w:noProof/>
                    </w:rPr>
                    <w:drawing>
                      <wp:anchor distT="0" distB="0" distL="114300" distR="114300" simplePos="0" relativeHeight="251659264" behindDoc="0" locked="0" layoutInCell="1" allowOverlap="1" wp14:anchorId="520EDEA9" wp14:editId="1F80EA17">
                        <wp:simplePos x="0" y="0"/>
                        <wp:positionH relativeFrom="column">
                          <wp:posOffset>2045970</wp:posOffset>
                        </wp:positionH>
                        <wp:positionV relativeFrom="paragraph">
                          <wp:posOffset>1905</wp:posOffset>
                        </wp:positionV>
                        <wp:extent cx="3105785" cy="1783080"/>
                        <wp:effectExtent l="0" t="0" r="0" b="7620"/>
                        <wp:wrapNone/>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785" cy="1783080"/>
                                </a:xfrm>
                                <a:prstGeom prst="rect">
                                  <a:avLst/>
                                </a:prstGeom>
                              </pic:spPr>
                            </pic:pic>
                          </a:graphicData>
                        </a:graphic>
                        <wp14:sizeRelH relativeFrom="page">
                          <wp14:pctWidth>0</wp14:pctWidth>
                        </wp14:sizeRelH>
                        <wp14:sizeRelV relativeFrom="page">
                          <wp14:pctHeight>0</wp14:pctHeight>
                        </wp14:sizeRelV>
                      </wp:anchor>
                    </w:drawing>
                  </w:r>
                  <w:r w:rsidRPr="0097570D">
                    <w:rPr>
                      <w:rFonts w:ascii="Arial" w:hAnsi="Arial" w:cs="Arial"/>
                      <w:b/>
                      <w:bCs/>
                      <w:color w:val="000000"/>
                      <w:sz w:val="16"/>
                      <w:szCs w:val="16"/>
                    </w:rPr>
                    <w:t>Spannungs</w:t>
                  </w:r>
                  <w:r>
                    <w:rPr>
                      <w:rFonts w:ascii="Arial" w:hAnsi="Arial" w:cs="Arial"/>
                      <w:b/>
                      <w:bCs/>
                      <w:color w:val="000000"/>
                      <w:sz w:val="16"/>
                      <w:szCs w:val="16"/>
                    </w:rPr>
                    <w:t>-</w:t>
                  </w:r>
                  <w:r w:rsidRPr="0097570D">
                    <w:rPr>
                      <w:rFonts w:ascii="Arial" w:hAnsi="Arial" w:cs="Arial"/>
                      <w:b/>
                      <w:bCs/>
                      <w:color w:val="000000"/>
                      <w:sz w:val="16"/>
                      <w:szCs w:val="16"/>
                    </w:rPr>
                    <w:t>ebene</w:t>
                  </w:r>
                </w:p>
              </w:tc>
              <w:tc>
                <w:tcPr>
                  <w:tcW w:w="1700" w:type="dxa"/>
                  <w:tcBorders>
                    <w:top w:val="single" w:sz="8" w:space="0" w:color="auto"/>
                    <w:left w:val="nil"/>
                    <w:bottom w:val="single" w:sz="4" w:space="0" w:color="auto"/>
                    <w:right w:val="single" w:sz="4" w:space="0" w:color="auto"/>
                  </w:tcBorders>
                  <w:shd w:val="clear" w:color="auto" w:fill="auto"/>
                  <w:noWrap/>
                  <w:hideMark/>
                </w:tcPr>
                <w:p w14:paraId="7FF6C353"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Gefahrenzone D</w:t>
                  </w:r>
                  <w:r w:rsidRPr="0097570D">
                    <w:rPr>
                      <w:rFonts w:ascii="Arial" w:hAnsi="Arial" w:cs="Arial"/>
                      <w:b/>
                      <w:bCs/>
                      <w:color w:val="000000"/>
                      <w:sz w:val="16"/>
                      <w:szCs w:val="16"/>
                      <w:vertAlign w:val="subscript"/>
                    </w:rPr>
                    <w:t>L</w:t>
                  </w:r>
                </w:p>
              </w:tc>
            </w:tr>
            <w:tr w:rsidR="005023E7" w:rsidRPr="00785DF7" w14:paraId="4F4C5C97" w14:textId="77777777" w:rsidTr="0085565B">
              <w:trPr>
                <w:trHeight w:val="570"/>
              </w:trPr>
              <w:tc>
                <w:tcPr>
                  <w:tcW w:w="1418" w:type="dxa"/>
                  <w:vMerge/>
                  <w:tcBorders>
                    <w:left w:val="single" w:sz="8" w:space="0" w:color="auto"/>
                    <w:bottom w:val="single" w:sz="4" w:space="0" w:color="auto"/>
                    <w:right w:val="single" w:sz="4" w:space="0" w:color="auto"/>
                  </w:tcBorders>
                  <w:shd w:val="clear" w:color="000000" w:fill="F2F2F2"/>
                  <w:noWrap/>
                  <w:vAlign w:val="center"/>
                  <w:hideMark/>
                </w:tcPr>
                <w:p w14:paraId="5D5DC36D" w14:textId="77777777" w:rsidR="005023E7" w:rsidRPr="0097570D" w:rsidRDefault="005023E7" w:rsidP="0085565B">
                  <w:pPr>
                    <w:ind w:left="174"/>
                    <w:rPr>
                      <w:rFonts w:ascii="Arial" w:hAnsi="Arial" w:cs="Arial"/>
                      <w:color w:val="000000"/>
                      <w:sz w:val="16"/>
                      <w:szCs w:val="16"/>
                    </w:rPr>
                  </w:pPr>
                </w:p>
              </w:tc>
              <w:tc>
                <w:tcPr>
                  <w:tcW w:w="1700" w:type="dxa"/>
                  <w:tcBorders>
                    <w:top w:val="nil"/>
                    <w:left w:val="nil"/>
                    <w:bottom w:val="single" w:sz="4" w:space="0" w:color="auto"/>
                    <w:right w:val="single" w:sz="4" w:space="0" w:color="auto"/>
                  </w:tcBorders>
                  <w:shd w:val="clear" w:color="auto" w:fill="auto"/>
                  <w:vAlign w:val="center"/>
                  <w:hideMark/>
                </w:tcPr>
                <w:p w14:paraId="711F0D41"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VDE 0105-100</w:t>
                  </w:r>
                  <w:r w:rsidRPr="0097570D">
                    <w:rPr>
                      <w:rFonts w:ascii="Arial" w:hAnsi="Arial" w:cs="Arial"/>
                      <w:b/>
                      <w:bCs/>
                      <w:color w:val="000000"/>
                      <w:sz w:val="16"/>
                      <w:szCs w:val="16"/>
                    </w:rPr>
                    <w:t xml:space="preserve"> </w:t>
                  </w:r>
                  <w:r w:rsidRPr="0097570D">
                    <w:rPr>
                      <w:rFonts w:ascii="Arial" w:hAnsi="Arial" w:cs="Arial"/>
                      <w:b/>
                      <w:bCs/>
                      <w:color w:val="000000"/>
                      <w:sz w:val="16"/>
                      <w:szCs w:val="16"/>
                    </w:rPr>
                    <w:br/>
                  </w:r>
                  <w:r w:rsidRPr="0097570D">
                    <w:rPr>
                      <w:rFonts w:ascii="Arial" w:hAnsi="Arial" w:cs="Arial"/>
                      <w:b/>
                      <w:bCs/>
                      <w:color w:val="0070C0"/>
                      <w:sz w:val="16"/>
                      <w:szCs w:val="16"/>
                    </w:rPr>
                    <w:t>Tabelle 101</w:t>
                  </w:r>
                  <w:r w:rsidRPr="0097570D">
                    <w:rPr>
                      <w:rFonts w:ascii="Arial" w:hAnsi="Arial" w:cs="Arial"/>
                      <w:color w:val="0070C0"/>
                      <w:sz w:val="16"/>
                      <w:szCs w:val="16"/>
                    </w:rPr>
                    <w:t xml:space="preserve"> </w:t>
                  </w:r>
                  <w:r w:rsidRPr="0097570D">
                    <w:rPr>
                      <w:rFonts w:ascii="Arial" w:hAnsi="Arial" w:cs="Arial"/>
                      <w:color w:val="0070C0"/>
                      <w:sz w:val="16"/>
                      <w:szCs w:val="16"/>
                    </w:rPr>
                    <w:br/>
                  </w:r>
                  <w:r w:rsidRPr="0097570D">
                    <w:rPr>
                      <w:rFonts w:ascii="Arial" w:hAnsi="Arial" w:cs="Arial"/>
                      <w:color w:val="000000"/>
                      <w:sz w:val="16"/>
                      <w:szCs w:val="16"/>
                    </w:rPr>
                    <w:t>Abschnitt 6.3.1</w:t>
                  </w:r>
                </w:p>
              </w:tc>
            </w:tr>
            <w:tr w:rsidR="005023E7" w:rsidRPr="00785DF7" w14:paraId="45B2989B" w14:textId="77777777" w:rsidTr="0085565B">
              <w:trPr>
                <w:trHeight w:val="268"/>
              </w:trPr>
              <w:tc>
                <w:tcPr>
                  <w:tcW w:w="1418" w:type="dxa"/>
                  <w:tcBorders>
                    <w:top w:val="nil"/>
                    <w:left w:val="single" w:sz="8" w:space="0" w:color="auto"/>
                    <w:bottom w:val="single" w:sz="8" w:space="0" w:color="auto"/>
                    <w:right w:val="single" w:sz="4" w:space="0" w:color="auto"/>
                  </w:tcBorders>
                  <w:shd w:val="clear" w:color="000000" w:fill="D9D9D9"/>
                  <w:noWrap/>
                  <w:vAlign w:val="center"/>
                  <w:hideMark/>
                </w:tcPr>
                <w:p w14:paraId="3F88EEF0" w14:textId="77777777" w:rsidR="005023E7" w:rsidRPr="0097570D" w:rsidRDefault="005023E7" w:rsidP="0085565B">
                  <w:pPr>
                    <w:ind w:left="174"/>
                    <w:rPr>
                      <w:rFonts w:ascii="Arial" w:hAnsi="Arial" w:cs="Arial"/>
                      <w:i/>
                      <w:iCs/>
                      <w:color w:val="000000"/>
                      <w:sz w:val="16"/>
                      <w:szCs w:val="16"/>
                    </w:rPr>
                  </w:pPr>
                  <w:r w:rsidRPr="0097570D">
                    <w:rPr>
                      <w:rFonts w:ascii="Arial" w:hAnsi="Arial" w:cs="Arial"/>
                      <w:i/>
                      <w:iCs/>
                      <w:color w:val="000000"/>
                      <w:sz w:val="16"/>
                      <w:szCs w:val="16"/>
                    </w:rPr>
                    <w:t>in kV</w:t>
                  </w:r>
                </w:p>
              </w:tc>
              <w:tc>
                <w:tcPr>
                  <w:tcW w:w="1700" w:type="dxa"/>
                  <w:tcBorders>
                    <w:top w:val="nil"/>
                    <w:left w:val="nil"/>
                    <w:bottom w:val="single" w:sz="8" w:space="0" w:color="auto"/>
                    <w:right w:val="single" w:sz="4" w:space="0" w:color="auto"/>
                  </w:tcBorders>
                  <w:shd w:val="clear" w:color="000000" w:fill="D9D9D9"/>
                  <w:noWrap/>
                  <w:vAlign w:val="center"/>
                  <w:hideMark/>
                </w:tcPr>
                <w:p w14:paraId="03433E1D" w14:textId="77777777" w:rsidR="005023E7" w:rsidRPr="0097570D" w:rsidRDefault="005023E7" w:rsidP="0085565B">
                  <w:pPr>
                    <w:ind w:left="174"/>
                    <w:rPr>
                      <w:rFonts w:ascii="Arial" w:hAnsi="Arial" w:cs="Arial"/>
                      <w:i/>
                      <w:iCs/>
                      <w:color w:val="000000"/>
                      <w:sz w:val="16"/>
                      <w:szCs w:val="16"/>
                    </w:rPr>
                  </w:pPr>
                  <w:r w:rsidRPr="0097570D">
                    <w:rPr>
                      <w:rFonts w:ascii="Arial" w:hAnsi="Arial" w:cs="Arial"/>
                      <w:i/>
                      <w:iCs/>
                      <w:color w:val="000000"/>
                      <w:sz w:val="16"/>
                      <w:szCs w:val="16"/>
                    </w:rPr>
                    <w:t>in mm</w:t>
                  </w:r>
                </w:p>
              </w:tc>
            </w:tr>
            <w:tr w:rsidR="005023E7" w:rsidRPr="00785DF7" w14:paraId="56E377CC" w14:textId="77777777" w:rsidTr="0085565B">
              <w:trPr>
                <w:trHeight w:val="261"/>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6F954361"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&lt; 1</w:t>
                  </w:r>
                </w:p>
              </w:tc>
              <w:tc>
                <w:tcPr>
                  <w:tcW w:w="1700" w:type="dxa"/>
                  <w:tcBorders>
                    <w:top w:val="nil"/>
                    <w:left w:val="nil"/>
                    <w:bottom w:val="single" w:sz="4" w:space="0" w:color="auto"/>
                    <w:right w:val="single" w:sz="4" w:space="0" w:color="auto"/>
                  </w:tcBorders>
                  <w:shd w:val="clear" w:color="auto" w:fill="auto"/>
                  <w:noWrap/>
                  <w:vAlign w:val="center"/>
                  <w:hideMark/>
                </w:tcPr>
                <w:p w14:paraId="4C46E59C"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Keine Berührung</w:t>
                  </w:r>
                </w:p>
              </w:tc>
            </w:tr>
            <w:tr w:rsidR="005023E7" w:rsidRPr="00785DF7" w14:paraId="12790E7E" w14:textId="77777777" w:rsidTr="0085565B">
              <w:trPr>
                <w:trHeight w:val="275"/>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6F77BD0D"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center"/>
                  <w:hideMark/>
                </w:tcPr>
                <w:p w14:paraId="5F9C83CC"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60</w:t>
                  </w:r>
                </w:p>
              </w:tc>
            </w:tr>
            <w:tr w:rsidR="005023E7" w:rsidRPr="00785DF7" w14:paraId="0B096193" w14:textId="77777777" w:rsidTr="0085565B">
              <w:trPr>
                <w:trHeight w:val="264"/>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492DA208"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center"/>
                  <w:hideMark/>
                </w:tcPr>
                <w:p w14:paraId="76ADF7D3"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90</w:t>
                  </w:r>
                </w:p>
              </w:tc>
            </w:tr>
            <w:tr w:rsidR="005023E7" w:rsidRPr="00785DF7" w14:paraId="5F512D8B" w14:textId="77777777" w:rsidTr="0085565B">
              <w:trPr>
                <w:trHeight w:val="282"/>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01F10B10"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10</w:t>
                  </w:r>
                </w:p>
              </w:tc>
              <w:tc>
                <w:tcPr>
                  <w:tcW w:w="1700" w:type="dxa"/>
                  <w:tcBorders>
                    <w:top w:val="nil"/>
                    <w:left w:val="nil"/>
                    <w:bottom w:val="single" w:sz="4" w:space="0" w:color="auto"/>
                    <w:right w:val="single" w:sz="4" w:space="0" w:color="auto"/>
                  </w:tcBorders>
                  <w:shd w:val="clear" w:color="auto" w:fill="auto"/>
                  <w:noWrap/>
                  <w:vAlign w:val="center"/>
                  <w:hideMark/>
                </w:tcPr>
                <w:p w14:paraId="1742234E"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120</w:t>
                  </w:r>
                </w:p>
              </w:tc>
            </w:tr>
            <w:tr w:rsidR="005023E7" w:rsidRPr="00785DF7" w14:paraId="601C90C9" w14:textId="77777777" w:rsidTr="0085565B">
              <w:trPr>
                <w:trHeight w:val="272"/>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484D25E8"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20</w:t>
                  </w:r>
                </w:p>
              </w:tc>
              <w:tc>
                <w:tcPr>
                  <w:tcW w:w="1700" w:type="dxa"/>
                  <w:tcBorders>
                    <w:top w:val="nil"/>
                    <w:left w:val="nil"/>
                    <w:bottom w:val="single" w:sz="4" w:space="0" w:color="auto"/>
                    <w:right w:val="single" w:sz="4" w:space="0" w:color="auto"/>
                  </w:tcBorders>
                  <w:shd w:val="clear" w:color="auto" w:fill="auto"/>
                  <w:noWrap/>
                  <w:vAlign w:val="center"/>
                  <w:hideMark/>
                </w:tcPr>
                <w:p w14:paraId="52B40B26"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220</w:t>
                  </w:r>
                </w:p>
              </w:tc>
            </w:tr>
            <w:tr w:rsidR="005023E7" w:rsidRPr="00785DF7" w14:paraId="137D8974" w14:textId="77777777" w:rsidTr="005023E7">
              <w:trPr>
                <w:trHeight w:val="246"/>
              </w:trPr>
              <w:tc>
                <w:tcPr>
                  <w:tcW w:w="1418" w:type="dxa"/>
                  <w:tcBorders>
                    <w:top w:val="nil"/>
                    <w:left w:val="single" w:sz="8" w:space="0" w:color="auto"/>
                    <w:bottom w:val="single" w:sz="4" w:space="0" w:color="auto"/>
                    <w:right w:val="single" w:sz="4" w:space="0" w:color="auto"/>
                  </w:tcBorders>
                  <w:shd w:val="clear" w:color="000000" w:fill="F2F2F2"/>
                  <w:noWrap/>
                  <w:vAlign w:val="center"/>
                  <w:hideMark/>
                </w:tcPr>
                <w:p w14:paraId="42EB6302" w14:textId="77777777" w:rsidR="005023E7" w:rsidRPr="0097570D" w:rsidRDefault="005023E7" w:rsidP="0085565B">
                  <w:pPr>
                    <w:ind w:left="174"/>
                    <w:rPr>
                      <w:rFonts w:ascii="Arial" w:hAnsi="Arial" w:cs="Arial"/>
                      <w:b/>
                      <w:bCs/>
                      <w:color w:val="000000"/>
                      <w:sz w:val="16"/>
                      <w:szCs w:val="16"/>
                    </w:rPr>
                  </w:pPr>
                  <w:r w:rsidRPr="0097570D">
                    <w:rPr>
                      <w:rFonts w:ascii="Arial" w:hAnsi="Arial" w:cs="Arial"/>
                      <w:b/>
                      <w:bCs/>
                      <w:color w:val="000000"/>
                      <w:sz w:val="16"/>
                      <w:szCs w:val="16"/>
                    </w:rPr>
                    <w:t>30</w:t>
                  </w:r>
                </w:p>
              </w:tc>
              <w:tc>
                <w:tcPr>
                  <w:tcW w:w="1700" w:type="dxa"/>
                  <w:tcBorders>
                    <w:top w:val="nil"/>
                    <w:left w:val="nil"/>
                    <w:bottom w:val="single" w:sz="4" w:space="0" w:color="auto"/>
                    <w:right w:val="single" w:sz="4" w:space="0" w:color="auto"/>
                  </w:tcBorders>
                  <w:shd w:val="clear" w:color="auto" w:fill="auto"/>
                  <w:noWrap/>
                  <w:vAlign w:val="center"/>
                  <w:hideMark/>
                </w:tcPr>
                <w:p w14:paraId="5B422475" w14:textId="77777777" w:rsidR="005023E7" w:rsidRPr="0097570D" w:rsidRDefault="005023E7" w:rsidP="0085565B">
                  <w:pPr>
                    <w:ind w:left="174"/>
                    <w:rPr>
                      <w:rFonts w:ascii="Arial" w:hAnsi="Arial" w:cs="Arial"/>
                      <w:color w:val="000000"/>
                      <w:sz w:val="16"/>
                      <w:szCs w:val="16"/>
                    </w:rPr>
                  </w:pPr>
                  <w:r w:rsidRPr="0097570D">
                    <w:rPr>
                      <w:rFonts w:ascii="Arial" w:hAnsi="Arial" w:cs="Arial"/>
                      <w:color w:val="000000"/>
                      <w:sz w:val="16"/>
                      <w:szCs w:val="16"/>
                    </w:rPr>
                    <w:t>320</w:t>
                  </w:r>
                </w:p>
              </w:tc>
            </w:tr>
          </w:tbl>
          <w:p w14:paraId="3D9250C2" w14:textId="76D66BE6" w:rsidR="00443CAA" w:rsidRPr="00443CAA" w:rsidRDefault="00443CAA" w:rsidP="00427C2E">
            <w:pPr>
              <w:numPr>
                <w:ilvl w:val="0"/>
                <w:numId w:val="6"/>
              </w:numPr>
              <w:autoSpaceDE w:val="0"/>
              <w:autoSpaceDN w:val="0"/>
              <w:adjustRightInd w:val="0"/>
              <w:ind w:left="355" w:hanging="283"/>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5023E7" w:rsidRDefault="00320E3B"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Herstellen des ordnungsgemäßen und sicheren Anlagenzustands.</w:t>
            </w:r>
          </w:p>
          <w:p w14:paraId="6A411264" w14:textId="77777777" w:rsidR="00320E3B" w:rsidRPr="005023E7" w:rsidRDefault="00320E3B"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Räumen der Arbeitsstelle.</w:t>
            </w:r>
          </w:p>
          <w:p w14:paraId="5D6B6BA1" w14:textId="255F5B65" w:rsidR="00320E3B" w:rsidRPr="005023E7" w:rsidRDefault="00320E3B"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 xml:space="preserve">Mitgebrachte Werkzeuge und Arbeitsmittel sind aus der Schaltanlage zu entfernen, </w:t>
            </w:r>
            <w:r w:rsidR="00D4236A">
              <w:rPr>
                <w:rFonts w:ascii="Arial" w:hAnsi="Arial" w:cs="Arial"/>
                <w:color w:val="000000"/>
              </w:rPr>
              <w:t xml:space="preserve">zu </w:t>
            </w:r>
            <w:r w:rsidRPr="005023E7">
              <w:rPr>
                <w:rFonts w:ascii="Arial" w:hAnsi="Arial" w:cs="Arial"/>
                <w:color w:val="000000"/>
              </w:rPr>
              <w:t xml:space="preserve">kontrollieren und </w:t>
            </w:r>
            <w:r w:rsidR="00D4236A">
              <w:rPr>
                <w:rFonts w:ascii="Arial" w:hAnsi="Arial" w:cs="Arial"/>
                <w:color w:val="000000"/>
              </w:rPr>
              <w:t xml:space="preserve">zu </w:t>
            </w:r>
            <w:r w:rsidRPr="005023E7">
              <w:rPr>
                <w:rFonts w:ascii="Arial" w:hAnsi="Arial" w:cs="Arial"/>
                <w:color w:val="000000"/>
              </w:rPr>
              <w:t>reinigen.</w:t>
            </w:r>
          </w:p>
          <w:p w14:paraId="7D0CEF81" w14:textId="77777777" w:rsidR="00320E3B" w:rsidRPr="005023E7" w:rsidRDefault="00320E3B"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Sämtliche Änderungen an der bestehenden Verdrahtung oder Programmierung sind grundsätzlich zu dokumentieren.</w:t>
            </w:r>
          </w:p>
          <w:p w14:paraId="0D41DD82" w14:textId="744D16E7" w:rsidR="00275A07" w:rsidRPr="00443CAA" w:rsidRDefault="00320E3B" w:rsidP="005023E7">
            <w:pPr>
              <w:numPr>
                <w:ilvl w:val="0"/>
                <w:numId w:val="6"/>
              </w:numPr>
              <w:autoSpaceDE w:val="0"/>
              <w:autoSpaceDN w:val="0"/>
              <w:adjustRightInd w:val="0"/>
              <w:ind w:left="355" w:hanging="283"/>
              <w:rPr>
                <w:rFonts w:ascii="Arial" w:hAnsi="Arial" w:cs="Arial"/>
                <w:color w:val="000000"/>
              </w:rPr>
            </w:pPr>
            <w:r w:rsidRPr="005023E7">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3"/>
      <w:footerReference w:type="default" r:id="rId14"/>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7ED3" w14:textId="77777777" w:rsidR="00021463" w:rsidRDefault="00021463">
      <w:r>
        <w:separator/>
      </w:r>
    </w:p>
  </w:endnote>
  <w:endnote w:type="continuationSeparator" w:id="0">
    <w:p w14:paraId="119460E0" w14:textId="77777777" w:rsidR="00021463" w:rsidRDefault="000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5153493" w:rsidR="00443CAA" w:rsidRPr="00443CAA" w:rsidRDefault="00D4236A"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E36411">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E36411">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70218D6" w:rsidR="00443CAA" w:rsidRPr="00443CAA" w:rsidRDefault="00D4236A"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4466D8AD" w:rsidR="00443CAA" w:rsidRPr="00443CAA" w:rsidRDefault="00D4236A"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4417" w14:textId="77777777" w:rsidR="00021463" w:rsidRDefault="00021463">
      <w:r>
        <w:separator/>
      </w:r>
    </w:p>
  </w:footnote>
  <w:footnote w:type="continuationSeparator" w:id="0">
    <w:p w14:paraId="32FB0433" w14:textId="77777777" w:rsidR="00021463" w:rsidRDefault="0002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21463"/>
    <w:rsid w:val="000407DC"/>
    <w:rsid w:val="00041058"/>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44B0E"/>
    <w:rsid w:val="00350DCA"/>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26D8D"/>
    <w:rsid w:val="00434049"/>
    <w:rsid w:val="00436754"/>
    <w:rsid w:val="00443CAA"/>
    <w:rsid w:val="0044491E"/>
    <w:rsid w:val="0046007D"/>
    <w:rsid w:val="00487CD4"/>
    <w:rsid w:val="00496444"/>
    <w:rsid w:val="004C1EFB"/>
    <w:rsid w:val="004D1A61"/>
    <w:rsid w:val="005023E7"/>
    <w:rsid w:val="005056D6"/>
    <w:rsid w:val="00512FEC"/>
    <w:rsid w:val="00524923"/>
    <w:rsid w:val="00531C60"/>
    <w:rsid w:val="00537EFB"/>
    <w:rsid w:val="0055336F"/>
    <w:rsid w:val="00553DB4"/>
    <w:rsid w:val="00563060"/>
    <w:rsid w:val="005854D9"/>
    <w:rsid w:val="00594E62"/>
    <w:rsid w:val="005E688D"/>
    <w:rsid w:val="006073EB"/>
    <w:rsid w:val="0061606E"/>
    <w:rsid w:val="00624B08"/>
    <w:rsid w:val="00632069"/>
    <w:rsid w:val="0063585E"/>
    <w:rsid w:val="00652D78"/>
    <w:rsid w:val="006637B4"/>
    <w:rsid w:val="00663A25"/>
    <w:rsid w:val="00664BB9"/>
    <w:rsid w:val="00695DE2"/>
    <w:rsid w:val="006A0431"/>
    <w:rsid w:val="006B6E99"/>
    <w:rsid w:val="006D0237"/>
    <w:rsid w:val="006F0421"/>
    <w:rsid w:val="006F0BC6"/>
    <w:rsid w:val="006F26A6"/>
    <w:rsid w:val="00714F47"/>
    <w:rsid w:val="00717668"/>
    <w:rsid w:val="00722AB9"/>
    <w:rsid w:val="00723F83"/>
    <w:rsid w:val="007342B6"/>
    <w:rsid w:val="007421EA"/>
    <w:rsid w:val="00765E10"/>
    <w:rsid w:val="007879A1"/>
    <w:rsid w:val="0079017B"/>
    <w:rsid w:val="007B4821"/>
    <w:rsid w:val="007E6E46"/>
    <w:rsid w:val="008077FA"/>
    <w:rsid w:val="00812559"/>
    <w:rsid w:val="00880730"/>
    <w:rsid w:val="008A386C"/>
    <w:rsid w:val="008A7883"/>
    <w:rsid w:val="008B3873"/>
    <w:rsid w:val="008C3C6C"/>
    <w:rsid w:val="009065B5"/>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B0039"/>
    <w:rsid w:val="00AC07DA"/>
    <w:rsid w:val="00AD5787"/>
    <w:rsid w:val="00AF09F9"/>
    <w:rsid w:val="00B21872"/>
    <w:rsid w:val="00B2443D"/>
    <w:rsid w:val="00B26BF9"/>
    <w:rsid w:val="00B33C89"/>
    <w:rsid w:val="00B3580F"/>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236A"/>
    <w:rsid w:val="00D44BAC"/>
    <w:rsid w:val="00D520AF"/>
    <w:rsid w:val="00D8129C"/>
    <w:rsid w:val="00D852FF"/>
    <w:rsid w:val="00D942E6"/>
    <w:rsid w:val="00DA62F7"/>
    <w:rsid w:val="00DB2972"/>
    <w:rsid w:val="00DD2A5A"/>
    <w:rsid w:val="00DD390A"/>
    <w:rsid w:val="00DD55BF"/>
    <w:rsid w:val="00DE5765"/>
    <w:rsid w:val="00DF5058"/>
    <w:rsid w:val="00E04513"/>
    <w:rsid w:val="00E12254"/>
    <w:rsid w:val="00E12E0D"/>
    <w:rsid w:val="00E36411"/>
    <w:rsid w:val="00E41A8B"/>
    <w:rsid w:val="00E4448B"/>
    <w:rsid w:val="00E527E9"/>
    <w:rsid w:val="00E751F1"/>
    <w:rsid w:val="00E9013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40E0-7E28-DB40-B487-51A21104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2019-07-31T13:45:00Z</dcterms:created>
  <dcterms:modified xsi:type="dcterms:W3CDTF">2019-07-31T13:45:00Z</dcterms:modified>
</cp:coreProperties>
</file>