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9D10D84"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BA18C2">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3B7EF93D" w:rsidR="00F1424D" w:rsidRPr="00443CAA" w:rsidRDefault="00A26303" w:rsidP="003E4420">
            <w:pPr>
              <w:spacing w:before="120"/>
              <w:ind w:left="72"/>
              <w:jc w:val="center"/>
              <w:rPr>
                <w:rFonts w:ascii="Arial" w:hAnsi="Arial" w:cs="Arial"/>
              </w:rPr>
            </w:pPr>
            <w:r>
              <w:rPr>
                <w:noProof/>
              </w:rPr>
              <w:drawing>
                <wp:inline distT="0" distB="0" distL="0" distR="0" wp14:anchorId="7DC753A2" wp14:editId="62E07505">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F506092" w:rsidR="002272F8" w:rsidRPr="00443CAA" w:rsidRDefault="00BA18C2" w:rsidP="006F55D9">
            <w:pPr>
              <w:jc w:val="center"/>
              <w:rPr>
                <w:rFonts w:ascii="Arial" w:hAnsi="Arial" w:cs="Arial"/>
                <w:b/>
                <w:sz w:val="24"/>
                <w:szCs w:val="24"/>
              </w:rPr>
            </w:pPr>
            <w:r w:rsidRPr="00BA18C2">
              <w:rPr>
                <w:rFonts w:ascii="Arial" w:hAnsi="Arial" w:cs="Arial"/>
                <w:b/>
                <w:color w:val="000000" w:themeColor="text1"/>
                <w:sz w:val="24"/>
                <w:szCs w:val="24"/>
              </w:rPr>
              <w:t>Instandhaltung</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442512" w:rsidRPr="00443CAA" w14:paraId="4D073779" w14:textId="77777777" w:rsidTr="0085565B">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8748F8" w14:textId="77777777" w:rsidR="00442512" w:rsidRPr="00443CAA" w:rsidRDefault="00442512" w:rsidP="0085565B">
            <w:pPr>
              <w:jc w:val="center"/>
              <w:rPr>
                <w:rFonts w:ascii="Arial" w:hAnsi="Arial" w:cs="Arial"/>
                <w:b/>
                <w:color w:val="000000" w:themeColor="text1"/>
                <w:sz w:val="24"/>
              </w:rPr>
            </w:pPr>
            <w:r>
              <w:rPr>
                <w:rFonts w:ascii="Arial" w:hAnsi="Arial"/>
                <w:b/>
                <w:sz w:val="24"/>
              </w:rPr>
              <w:t>Anwendungsbereich</w:t>
            </w:r>
          </w:p>
        </w:tc>
      </w:tr>
      <w:tr w:rsidR="00442512" w:rsidRPr="00443CAA" w14:paraId="3FFDE4A5" w14:textId="77777777" w:rsidTr="0085565B">
        <w:trPr>
          <w:trHeight w:val="20"/>
        </w:trPr>
        <w:tc>
          <w:tcPr>
            <w:tcW w:w="1276" w:type="dxa"/>
            <w:tcBorders>
              <w:top w:val="single" w:sz="48" w:space="0" w:color="FFFF00"/>
              <w:left w:val="single" w:sz="48" w:space="0" w:color="FFFF00"/>
              <w:bottom w:val="single" w:sz="48" w:space="0" w:color="FFFF00"/>
              <w:right w:val="nil"/>
            </w:tcBorders>
            <w:vAlign w:val="center"/>
          </w:tcPr>
          <w:p w14:paraId="28E7ED95" w14:textId="77777777" w:rsidR="00442512" w:rsidRPr="00443CAA" w:rsidRDefault="00442512" w:rsidP="0085565B">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49231B0" w14:textId="3F50FC18" w:rsidR="00A26303" w:rsidRPr="00786FE1" w:rsidRDefault="00442512" w:rsidP="00A26303">
            <w:pPr>
              <w:pStyle w:val="Listenabsatz"/>
              <w:numPr>
                <w:ilvl w:val="0"/>
                <w:numId w:val="1"/>
              </w:numPr>
              <w:ind w:left="355"/>
              <w:rPr>
                <w:rFonts w:ascii="Arial" w:hAnsi="Arial" w:cs="Arial"/>
              </w:rPr>
            </w:pPr>
            <w:r w:rsidRPr="00F17654">
              <w:rPr>
                <w:rFonts w:ascii="Arial" w:hAnsi="Arial"/>
              </w:rPr>
              <w:t>Instandhaltungsarbeiten entsprechend VDE 0105-100 Abs. 7</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57890E7E" w14:textId="77777777" w:rsidR="00442512" w:rsidRPr="00443CAA" w:rsidRDefault="00442512" w:rsidP="0085565B">
            <w:pPr>
              <w:jc w:val="center"/>
              <w:rPr>
                <w:rFonts w:ascii="Arial" w:hAnsi="Arial" w:cs="Arial"/>
              </w:rPr>
            </w:pPr>
          </w:p>
        </w:tc>
      </w:tr>
      <w:tr w:rsidR="00442512" w:rsidRPr="00443CAA" w14:paraId="56DF1A5F" w14:textId="77777777" w:rsidTr="0085565B">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A3964DD" w14:textId="77777777" w:rsidR="00442512" w:rsidRPr="00443CAA" w:rsidRDefault="00442512" w:rsidP="0085565B">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442512" w:rsidRPr="00443CAA" w14:paraId="644910CF" w14:textId="77777777" w:rsidTr="0085565B">
        <w:trPr>
          <w:trHeight w:val="66"/>
        </w:trPr>
        <w:tc>
          <w:tcPr>
            <w:tcW w:w="1276" w:type="dxa"/>
            <w:tcBorders>
              <w:top w:val="single" w:sz="48" w:space="0" w:color="FFFF00"/>
              <w:left w:val="single" w:sz="48" w:space="0" w:color="FFFF00"/>
              <w:bottom w:val="single" w:sz="48" w:space="0" w:color="FFFF00"/>
            </w:tcBorders>
            <w:vAlign w:val="center"/>
          </w:tcPr>
          <w:p w14:paraId="48038F2B" w14:textId="77777777" w:rsidR="00442512" w:rsidRPr="00443CAA" w:rsidRDefault="00442512" w:rsidP="0085565B">
            <w:pPr>
              <w:ind w:hanging="70"/>
              <w:jc w:val="center"/>
              <w:rPr>
                <w:rFonts w:ascii="Arial" w:hAnsi="Arial" w:cs="Arial"/>
              </w:rPr>
            </w:pPr>
            <w:r w:rsidRPr="004325D1">
              <w:rPr>
                <w:rFonts w:ascii="Arial" w:hAnsi="Arial"/>
                <w:noProof/>
              </w:rPr>
              <w:drawing>
                <wp:inline distT="0" distB="0" distL="0" distR="0" wp14:anchorId="7B87C2D9" wp14:editId="224B0A6D">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4B984A99" w14:textId="77777777" w:rsidR="00442512" w:rsidRPr="00021731" w:rsidRDefault="00442512" w:rsidP="0085565B">
            <w:pPr>
              <w:pStyle w:val="Listenabsatz"/>
              <w:numPr>
                <w:ilvl w:val="0"/>
                <w:numId w:val="1"/>
              </w:numPr>
              <w:ind w:left="355"/>
              <w:rPr>
                <w:rFonts w:ascii="Arial" w:hAnsi="Arial"/>
              </w:rPr>
            </w:pPr>
            <w:r w:rsidRPr="00021731">
              <w:rPr>
                <w:rFonts w:ascii="Arial" w:hAnsi="Arial"/>
              </w:rPr>
              <w:t>Elektrische Körperdurchströmung bei Berühren aktiver Teile</w:t>
            </w:r>
          </w:p>
          <w:p w14:paraId="2C72B197" w14:textId="77777777" w:rsidR="00442512" w:rsidRPr="00021731" w:rsidRDefault="00442512" w:rsidP="0085565B">
            <w:pPr>
              <w:pStyle w:val="Listenabsatz"/>
              <w:numPr>
                <w:ilvl w:val="0"/>
                <w:numId w:val="1"/>
              </w:numPr>
              <w:ind w:left="355"/>
              <w:rPr>
                <w:rFonts w:ascii="Arial" w:hAnsi="Arial"/>
              </w:rPr>
            </w:pPr>
            <w:r w:rsidRPr="00021731">
              <w:rPr>
                <w:rFonts w:ascii="Arial" w:hAnsi="Arial"/>
              </w:rPr>
              <w:t>Verbrennungsgefahr durch Lichtbogen</w:t>
            </w:r>
          </w:p>
          <w:p w14:paraId="4713B7CF" w14:textId="77777777" w:rsidR="00442512" w:rsidRPr="00443CAA" w:rsidRDefault="00442512" w:rsidP="0085565B">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5A7F64C0" w14:textId="77777777" w:rsidR="00442512" w:rsidRPr="00443CAA" w:rsidRDefault="00442512" w:rsidP="0085565B">
            <w:pPr>
              <w:jc w:val="center"/>
              <w:rPr>
                <w:rFonts w:ascii="Arial" w:hAnsi="Arial" w:cs="Arial"/>
              </w:rPr>
            </w:pPr>
          </w:p>
        </w:tc>
      </w:tr>
      <w:tr w:rsidR="00442512" w:rsidRPr="00443CAA" w14:paraId="1EE09ACB"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216C717" w14:textId="77777777" w:rsidR="00442512" w:rsidRPr="00443CAA" w:rsidRDefault="00442512" w:rsidP="0085565B">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442512" w:rsidRPr="00443CAA" w14:paraId="6FB85C93" w14:textId="77777777" w:rsidTr="0085565B">
        <w:trPr>
          <w:trHeight w:val="13"/>
        </w:trPr>
        <w:tc>
          <w:tcPr>
            <w:tcW w:w="1276" w:type="dxa"/>
            <w:tcBorders>
              <w:top w:val="single" w:sz="48" w:space="0" w:color="FFFF00"/>
              <w:left w:val="single" w:sz="48" w:space="0" w:color="FFFF00"/>
              <w:bottom w:val="single" w:sz="48" w:space="0" w:color="FFFF00"/>
            </w:tcBorders>
          </w:tcPr>
          <w:p w14:paraId="299F24A1" w14:textId="77777777" w:rsidR="00442512" w:rsidRPr="00443CAA" w:rsidRDefault="00442512" w:rsidP="0085565B">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594D07E2" w14:textId="77777777" w:rsidR="00442512" w:rsidRPr="007163EB" w:rsidRDefault="00442512" w:rsidP="0085565B">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7B34494E" w14:textId="45224336" w:rsidR="00442512" w:rsidRPr="001D680F" w:rsidRDefault="00442512" w:rsidP="0085565B">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A11E04">
              <w:rPr>
                <w:rFonts w:ascii="Arial" w:hAnsi="Arial"/>
              </w:rPr>
              <w:t>n</w:t>
            </w:r>
            <w:r w:rsidRPr="007163EB">
              <w:rPr>
                <w:rFonts w:ascii="Arial" w:hAnsi="Arial"/>
              </w:rPr>
              <w:t xml:space="preserve">). </w:t>
            </w:r>
          </w:p>
          <w:p w14:paraId="1FED3E3B" w14:textId="194359E5" w:rsidR="00442512" w:rsidRPr="00C62E66" w:rsidRDefault="00442512" w:rsidP="0085565B">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w:t>
            </w:r>
            <w:r w:rsidRPr="00177480">
              <w:rPr>
                <w:rFonts w:ascii="Arial" w:hAnsi="Arial"/>
                <w:i/>
              </w:rPr>
              <w:t xml:space="preserve"> (</w:t>
            </w:r>
            <w:r>
              <w:rPr>
                <w:rFonts w:ascii="Arial" w:hAnsi="Arial"/>
                <w:i/>
              </w:rPr>
              <w:t>PC_ORG_02</w:t>
            </w:r>
            <w:r w:rsidRPr="000C65AA">
              <w:rPr>
                <w:rFonts w:ascii="Arial" w:hAnsi="Arial"/>
                <w:i/>
              </w:rPr>
              <w:t xml:space="preserve"> </w:t>
            </w:r>
            <w:r>
              <w:rPr>
                <w:rFonts w:ascii="Arial" w:hAnsi="Arial"/>
                <w:i/>
              </w:rPr>
              <w:t>Freigabeschein)</w:t>
            </w:r>
            <w:r w:rsidR="00A26303">
              <w:rPr>
                <w:rFonts w:ascii="Arial" w:hAnsi="Arial"/>
                <w:i/>
              </w:rPr>
              <w:t>.</w:t>
            </w:r>
          </w:p>
          <w:p w14:paraId="6B7931E0" w14:textId="59FEBC88" w:rsidR="00442512" w:rsidRPr="007163EB" w:rsidRDefault="00442512" w:rsidP="0085565B">
            <w:pPr>
              <w:pStyle w:val="Listenabsatz"/>
              <w:numPr>
                <w:ilvl w:val="0"/>
                <w:numId w:val="1"/>
              </w:numPr>
              <w:ind w:left="355"/>
              <w:rPr>
                <w:rFonts w:ascii="Arial" w:hAnsi="Arial"/>
              </w:rPr>
            </w:pPr>
            <w:r w:rsidRPr="007163EB">
              <w:rPr>
                <w:rFonts w:ascii="Arial" w:hAnsi="Arial"/>
              </w:rPr>
              <w:t>Bei mehreren an der Arbeit beteilig</w:t>
            </w:r>
            <w:r w:rsidR="00A11E04">
              <w:rPr>
                <w:rFonts w:ascii="Arial" w:hAnsi="Arial"/>
              </w:rPr>
              <w:t>t</w:t>
            </w:r>
            <w:r w:rsidRPr="007163EB">
              <w:rPr>
                <w:rFonts w:ascii="Arial" w:hAnsi="Arial"/>
              </w:rPr>
              <w:t xml:space="preserve">en Personen sind diese </w:t>
            </w:r>
            <w:r w:rsidR="00A26303">
              <w:rPr>
                <w:rFonts w:ascii="Arial" w:hAnsi="Arial"/>
              </w:rPr>
              <w:t>a</w:t>
            </w:r>
            <w:r w:rsidRPr="007163EB">
              <w:rPr>
                <w:rFonts w:ascii="Arial" w:hAnsi="Arial"/>
              </w:rPr>
              <w:t xml:space="preserve">ufgaben- und </w:t>
            </w:r>
            <w:r w:rsidR="00A26303">
              <w:rPr>
                <w:rFonts w:ascii="Arial" w:hAnsi="Arial"/>
              </w:rPr>
              <w:t>g</w:t>
            </w:r>
            <w:r w:rsidRPr="007163EB">
              <w:rPr>
                <w:rFonts w:ascii="Arial" w:hAnsi="Arial"/>
              </w:rPr>
              <w:t>efahrenbezogen durch den Arbeitsverantwortlichen zu unterweisen.</w:t>
            </w:r>
          </w:p>
          <w:p w14:paraId="237B536A" w14:textId="1C9385AD" w:rsidR="00442512" w:rsidRPr="00754115" w:rsidRDefault="00442512" w:rsidP="0085565B">
            <w:pPr>
              <w:pStyle w:val="Listenabsatz"/>
              <w:numPr>
                <w:ilvl w:val="0"/>
                <w:numId w:val="1"/>
              </w:numPr>
              <w:ind w:left="355"/>
              <w:rPr>
                <w:rFonts w:ascii="Arial" w:hAnsi="Arial"/>
              </w:rPr>
            </w:pPr>
            <w:r w:rsidRPr="00754115">
              <w:rPr>
                <w:rFonts w:ascii="Arial" w:hAnsi="Arial"/>
              </w:rPr>
              <w:t>Grundsätzlich ist für Arbeiten ein spannungsfreier Zustand der Anlage herzustellen und für die Dauer der Arbeiten sicher</w:t>
            </w:r>
            <w:r w:rsidR="00A26303">
              <w:rPr>
                <w:rFonts w:ascii="Arial" w:hAnsi="Arial"/>
              </w:rPr>
              <w:t>zu</w:t>
            </w:r>
            <w:r w:rsidRPr="00754115">
              <w:rPr>
                <w:rFonts w:ascii="Arial" w:hAnsi="Arial"/>
              </w:rPr>
              <w:t xml:space="preserve">stellen. Dies erfolgt über Anwendung der </w:t>
            </w:r>
            <w:r w:rsidR="00E63F68">
              <w:rPr>
                <w:rFonts w:ascii="Arial" w:hAnsi="Arial"/>
              </w:rPr>
              <w:t>fünf</w:t>
            </w:r>
            <w:r w:rsidRPr="00754115">
              <w:rPr>
                <w:rFonts w:ascii="Arial" w:hAnsi="Arial"/>
              </w:rPr>
              <w:t xml:space="preserve"> Si</w:t>
            </w:r>
            <w:r>
              <w:rPr>
                <w:rFonts w:ascii="Arial" w:hAnsi="Arial"/>
              </w:rPr>
              <w:t xml:space="preserve">cherheitsregeln (Anwendung </w:t>
            </w:r>
            <w:r w:rsidR="0035111B" w:rsidRPr="0035111B">
              <w:rPr>
                <w:rFonts w:ascii="Arial" w:hAnsi="Arial"/>
                <w:i/>
              </w:rPr>
              <w:t>AA_EFKffT_01 Freischalten von Anlagenteilen</w:t>
            </w:r>
            <w:r w:rsidRPr="00754115">
              <w:rPr>
                <w:rFonts w:ascii="Arial" w:hAnsi="Arial"/>
              </w:rPr>
              <w:t>)</w:t>
            </w:r>
          </w:p>
          <w:p w14:paraId="4D3BD8DB" w14:textId="627BF046" w:rsidR="00442512" w:rsidRPr="00754115" w:rsidRDefault="00442512" w:rsidP="0085565B">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0BFB311D" w14:textId="62AFC458" w:rsidR="00442512" w:rsidRPr="007163EB" w:rsidRDefault="00442512" w:rsidP="0085565B">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Pr>
                <w:rFonts w:ascii="Arial" w:hAnsi="Arial" w:cs="Arial"/>
              </w:rPr>
              <w:t>DGUV Information 203-07</w:t>
            </w:r>
            <w:r w:rsidR="00EE75EF">
              <w:rPr>
                <w:rFonts w:ascii="Arial" w:hAnsi="Arial" w:cs="Arial"/>
              </w:rPr>
              <w:t>7</w:t>
            </w:r>
            <w:r>
              <w:rPr>
                <w:rFonts w:ascii="Arial" w:hAnsi="Arial" w:cs="Arial"/>
              </w:rPr>
              <w:t>.</w:t>
            </w:r>
          </w:p>
          <w:p w14:paraId="3E97DA0F" w14:textId="77777777" w:rsidR="00442512" w:rsidRPr="00BA6E0D" w:rsidRDefault="00442512" w:rsidP="0085565B">
            <w:pPr>
              <w:pStyle w:val="Listenabsatz"/>
              <w:numPr>
                <w:ilvl w:val="0"/>
                <w:numId w:val="10"/>
              </w:numPr>
              <w:rPr>
                <w:rFonts w:ascii="Arial" w:hAnsi="Arial" w:cs="Arial"/>
              </w:rPr>
            </w:pPr>
            <w:r w:rsidRPr="00BA6E0D">
              <w:rPr>
                <w:rFonts w:ascii="Arial" w:hAnsi="Arial" w:cs="Arial"/>
              </w:rPr>
              <w:t>Die zum Einsatz kommenden Messgeräte, -leitungen, und -spitzen müssen mindestens der Messgerätekategorie CAT III oder CAT IV entsprechen.</w:t>
            </w:r>
          </w:p>
          <w:p w14:paraId="629557F3" w14:textId="47BD90A2" w:rsidR="00442512" w:rsidRPr="00BA6E0D" w:rsidRDefault="00442512" w:rsidP="0085565B">
            <w:pPr>
              <w:pStyle w:val="Listenabsatz"/>
              <w:numPr>
                <w:ilvl w:val="0"/>
                <w:numId w:val="10"/>
              </w:numPr>
              <w:rPr>
                <w:rFonts w:ascii="Arial" w:hAnsi="Arial" w:cs="Arial"/>
              </w:rPr>
            </w:pPr>
            <w:r w:rsidRPr="00BA6E0D">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A26303">
              <w:rPr>
                <w:rFonts w:ascii="Arial" w:hAnsi="Arial" w:cs="Arial"/>
              </w:rPr>
              <w:t>n</w:t>
            </w:r>
            <w:r w:rsidR="00A26303" w:rsidRPr="00BA6E0D">
              <w:rPr>
                <w:rFonts w:ascii="Arial" w:hAnsi="Arial" w:cs="Arial"/>
              </w:rPr>
              <w:t>ach DIN EN 60900</w:t>
            </w:r>
            <w:r w:rsidR="00A26303">
              <w:rPr>
                <w:rFonts w:ascii="Arial" w:hAnsi="Arial" w:cs="Arial"/>
              </w:rPr>
              <w:t xml:space="preserve"> </w:t>
            </w:r>
            <w:r w:rsidRPr="00BA6E0D">
              <w:rPr>
                <w:rFonts w:ascii="Arial" w:hAnsi="Arial" w:cs="Arial"/>
              </w:rPr>
              <w:t>zu verwenden.</w:t>
            </w:r>
          </w:p>
          <w:p w14:paraId="165BF1B4" w14:textId="77777777" w:rsidR="00442512" w:rsidRDefault="00442512" w:rsidP="0085565B">
            <w:pPr>
              <w:pStyle w:val="Listenabsatz"/>
              <w:numPr>
                <w:ilvl w:val="0"/>
                <w:numId w:val="1"/>
              </w:numPr>
              <w:ind w:left="355"/>
              <w:rPr>
                <w:rFonts w:ascii="Arial" w:hAnsi="Arial"/>
              </w:rPr>
            </w:pPr>
            <w:r w:rsidRPr="00270774">
              <w:rPr>
                <w:rFonts w:ascii="Arial" w:hAnsi="Arial"/>
              </w:rPr>
              <w:t>Schaltmaßnahmen sind generell mit dem Anlagenverantwortlichen abzustimmen.</w:t>
            </w:r>
          </w:p>
          <w:p w14:paraId="6054337F" w14:textId="77777777" w:rsidR="00442512" w:rsidRPr="000C469D" w:rsidRDefault="00442512" w:rsidP="0085565B">
            <w:pPr>
              <w:pStyle w:val="Listenabsatz"/>
              <w:numPr>
                <w:ilvl w:val="0"/>
                <w:numId w:val="1"/>
              </w:numPr>
              <w:ind w:left="355"/>
              <w:rPr>
                <w:rFonts w:ascii="Arial" w:hAnsi="Arial"/>
              </w:rPr>
            </w:pPr>
            <w:r w:rsidRPr="000C469D">
              <w:rPr>
                <w:rFonts w:ascii="Arial" w:hAnsi="Arial"/>
              </w:rPr>
              <w:t>Verwendung von Messgeräten gemäß VDE 0413</w:t>
            </w:r>
            <w:r>
              <w:rPr>
                <w:rFonts w:ascii="Arial" w:hAnsi="Arial"/>
              </w:rPr>
              <w:t>.</w:t>
            </w:r>
          </w:p>
          <w:p w14:paraId="19487651" w14:textId="58CB5C27" w:rsidR="00442512" w:rsidRDefault="00442512" w:rsidP="0085565B">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r w:rsidR="00E63F68">
              <w:rPr>
                <w:rFonts w:ascii="Arial" w:hAnsi="Arial"/>
              </w:rPr>
              <w:t>.</w:t>
            </w:r>
          </w:p>
          <w:p w14:paraId="0BEFB97A" w14:textId="77777777" w:rsidR="00442512" w:rsidRPr="00177480" w:rsidRDefault="00442512" w:rsidP="0085565B">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tc>
        <w:tc>
          <w:tcPr>
            <w:tcW w:w="1245" w:type="dxa"/>
            <w:tcBorders>
              <w:top w:val="single" w:sz="48" w:space="0" w:color="FFFF00"/>
              <w:bottom w:val="single" w:sz="48" w:space="0" w:color="FFFF00"/>
              <w:right w:val="single" w:sz="48" w:space="0" w:color="FFFF00"/>
            </w:tcBorders>
            <w:vAlign w:val="center"/>
          </w:tcPr>
          <w:p w14:paraId="06AB2BB4" w14:textId="77777777" w:rsidR="00442512" w:rsidRPr="00443CAA" w:rsidRDefault="00442512" w:rsidP="0085565B">
            <w:pPr>
              <w:jc w:val="center"/>
              <w:rPr>
                <w:rFonts w:ascii="Arial" w:hAnsi="Arial" w:cs="Arial"/>
              </w:rPr>
            </w:pPr>
          </w:p>
        </w:tc>
      </w:tr>
      <w:tr w:rsidR="00442512" w:rsidRPr="00443CAA" w14:paraId="1D8341E0"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EC4587C" w14:textId="77777777" w:rsidR="00442512" w:rsidRPr="00443CAA" w:rsidRDefault="00442512" w:rsidP="0085565B">
            <w:pPr>
              <w:jc w:val="center"/>
              <w:rPr>
                <w:rFonts w:ascii="Arial" w:hAnsi="Arial" w:cs="Arial"/>
                <w:b/>
                <w:color w:val="000000" w:themeColor="text1"/>
                <w:sz w:val="24"/>
              </w:rPr>
            </w:pPr>
            <w:r>
              <w:rPr>
                <w:rFonts w:ascii="Arial" w:hAnsi="Arial"/>
                <w:b/>
                <w:sz w:val="24"/>
              </w:rPr>
              <w:t>Verhalten bei Unregelmäßigkeiten</w:t>
            </w:r>
          </w:p>
        </w:tc>
      </w:tr>
      <w:tr w:rsidR="00442512" w:rsidRPr="00443CAA" w14:paraId="28673FCC"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4F82E406" w14:textId="77777777" w:rsidR="00442512" w:rsidRPr="00443CAA" w:rsidRDefault="00442512" w:rsidP="0085565B">
            <w:pPr>
              <w:jc w:val="center"/>
              <w:rPr>
                <w:rFonts w:ascii="Arial" w:hAnsi="Arial" w:cs="Arial"/>
              </w:rPr>
            </w:pPr>
            <w:r>
              <w:rPr>
                <w:noProof/>
              </w:rPr>
              <w:drawing>
                <wp:inline distT="0" distB="0" distL="0" distR="0" wp14:anchorId="33DBBA5C" wp14:editId="0F892F32">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B72961D"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25F5D1DE" w14:textId="77777777" w:rsidR="00442512" w:rsidRPr="00320E3B"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62810AE3" w14:textId="345E6762" w:rsidR="00442512" w:rsidRPr="00A26303" w:rsidRDefault="00A26303" w:rsidP="00A26303">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0B8B8D1F" w14:textId="77777777" w:rsidR="00442512" w:rsidRPr="00320E3B"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03B18BE6" w14:textId="3F17F478" w:rsidR="00442512" w:rsidRPr="00443CAA"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A26303">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4D509B6B" w14:textId="77777777" w:rsidR="00442512" w:rsidRPr="00443CAA" w:rsidRDefault="00442512" w:rsidP="0085565B">
            <w:pPr>
              <w:jc w:val="center"/>
              <w:rPr>
                <w:rFonts w:ascii="Arial" w:hAnsi="Arial" w:cs="Arial"/>
              </w:rPr>
            </w:pPr>
          </w:p>
        </w:tc>
      </w:tr>
    </w:tbl>
    <w:p w14:paraId="1C074C7A" w14:textId="77777777" w:rsidR="00442512" w:rsidRDefault="00442512" w:rsidP="00442512">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2512" w:rsidRPr="00443CAA" w14:paraId="2C144A47"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5F0DB637" w14:textId="77777777" w:rsidR="00442512" w:rsidRPr="00443CAA" w:rsidRDefault="00442512" w:rsidP="0085565B">
            <w:pPr>
              <w:jc w:val="center"/>
              <w:rPr>
                <w:rFonts w:ascii="Arial" w:hAnsi="Arial" w:cs="Arial"/>
                <w:b/>
                <w:color w:val="000000" w:themeColor="text1"/>
                <w:sz w:val="24"/>
              </w:rPr>
            </w:pPr>
            <w:r>
              <w:rPr>
                <w:rFonts w:ascii="Arial" w:hAnsi="Arial"/>
                <w:b/>
                <w:sz w:val="24"/>
              </w:rPr>
              <w:lastRenderedPageBreak/>
              <w:t>Verhalten bei Unfällen</w:t>
            </w:r>
          </w:p>
        </w:tc>
      </w:tr>
      <w:tr w:rsidR="00442512" w:rsidRPr="00443CAA" w14:paraId="3EA05885"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217247A8" w14:textId="77777777" w:rsidR="00442512" w:rsidRPr="00443CAA" w:rsidRDefault="00442512" w:rsidP="0085565B">
            <w:pPr>
              <w:jc w:val="center"/>
              <w:rPr>
                <w:rFonts w:ascii="Arial" w:hAnsi="Arial" w:cs="Arial"/>
              </w:rPr>
            </w:pPr>
            <w:r>
              <w:rPr>
                <w:noProof/>
              </w:rPr>
              <w:drawing>
                <wp:inline distT="0" distB="0" distL="0" distR="0" wp14:anchorId="1CE4477D" wp14:editId="7C975455">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3833C4E9" w14:textId="46FD8730"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A26303">
              <w:rPr>
                <w:rFonts w:ascii="Arial" w:hAnsi="Arial" w:cs="Arial"/>
                <w:color w:val="000000"/>
              </w:rPr>
              <w:t>Sicherstellung</w:t>
            </w:r>
            <w:r w:rsidR="00A26303" w:rsidRPr="00320E3B">
              <w:rPr>
                <w:rFonts w:ascii="Arial" w:hAnsi="Arial" w:cs="Arial"/>
                <w:color w:val="000000"/>
              </w:rPr>
              <w:t xml:space="preserve"> </w:t>
            </w:r>
            <w:r w:rsidRPr="00320E3B">
              <w:rPr>
                <w:rFonts w:ascii="Arial" w:hAnsi="Arial" w:cs="Arial"/>
                <w:color w:val="000000"/>
              </w:rPr>
              <w:t>der erforderlichen Schutzmaßnahmen.</w:t>
            </w:r>
          </w:p>
          <w:p w14:paraId="3515E00F" w14:textId="0738214B"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A26303">
              <w:rPr>
                <w:rFonts w:ascii="Arial" w:hAnsi="Arial" w:cs="Arial"/>
                <w:color w:val="000000"/>
              </w:rPr>
              <w:t>Fremdschutz</w:t>
            </w:r>
            <w:r w:rsidRPr="00320E3B">
              <w:rPr>
                <w:rFonts w:ascii="Arial" w:hAnsi="Arial" w:cs="Arial"/>
                <w:color w:val="000000"/>
              </w:rPr>
              <w:t>.</w:t>
            </w:r>
          </w:p>
          <w:p w14:paraId="234168E2"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F6159E1"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74C1D3EB"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4AEBCDA4" w14:textId="77777777" w:rsidR="00442512" w:rsidRPr="00320E3B"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533CDC60"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60DF39DF" w14:textId="77777777" w:rsidR="00442512" w:rsidRPr="00443CAA"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6EBC0889" w14:textId="77777777" w:rsidR="00442512" w:rsidRPr="00443CAA" w:rsidRDefault="00442512" w:rsidP="0085565B">
            <w:pPr>
              <w:jc w:val="center"/>
              <w:rPr>
                <w:rFonts w:ascii="Arial" w:hAnsi="Arial" w:cs="Arial"/>
              </w:rPr>
            </w:pPr>
            <w:r>
              <w:rPr>
                <w:noProof/>
              </w:rPr>
              <w:drawing>
                <wp:inline distT="0" distB="0" distL="0" distR="0" wp14:anchorId="548B3D7C" wp14:editId="7CC29A94">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2512" w:rsidRPr="00443CAA" w14:paraId="082C9458"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870BDC2" w14:textId="77777777" w:rsidR="00442512" w:rsidRPr="00443CAA" w:rsidRDefault="00442512" w:rsidP="0085565B">
            <w:pPr>
              <w:jc w:val="center"/>
              <w:rPr>
                <w:rFonts w:ascii="Arial" w:hAnsi="Arial" w:cs="Arial"/>
                <w:b/>
                <w:color w:val="000000" w:themeColor="text1"/>
                <w:sz w:val="24"/>
              </w:rPr>
            </w:pPr>
            <w:r>
              <w:rPr>
                <w:rFonts w:ascii="Arial" w:hAnsi="Arial"/>
                <w:b/>
                <w:sz w:val="24"/>
              </w:rPr>
              <w:t>Kontrollen des Arbeitsverantwortlichen</w:t>
            </w:r>
          </w:p>
        </w:tc>
      </w:tr>
      <w:tr w:rsidR="00442512" w:rsidRPr="00443CAA" w14:paraId="1960A40D"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3143B7C8" w14:textId="77777777" w:rsidR="00442512" w:rsidRPr="00443CAA" w:rsidRDefault="00442512" w:rsidP="0085565B">
            <w:pPr>
              <w:jc w:val="center"/>
              <w:rPr>
                <w:rFonts w:ascii="Arial" w:hAnsi="Arial" w:cs="Arial"/>
              </w:rPr>
            </w:pPr>
          </w:p>
        </w:tc>
        <w:tc>
          <w:tcPr>
            <w:tcW w:w="8222" w:type="dxa"/>
            <w:tcBorders>
              <w:top w:val="single" w:sz="48" w:space="0" w:color="FFFF00"/>
              <w:bottom w:val="single" w:sz="48" w:space="0" w:color="FFFF00"/>
            </w:tcBorders>
            <w:vAlign w:val="center"/>
          </w:tcPr>
          <w:p w14:paraId="0DEE35E5"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5142DD07" w14:textId="024D9E7E"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A26303">
              <w:rPr>
                <w:rFonts w:ascii="Arial" w:hAnsi="Arial" w:cs="Arial"/>
                <w:color w:val="000000"/>
              </w:rPr>
              <w:t xml:space="preserve"> oder der Verwendung zu entziehen</w:t>
            </w:r>
            <w:r w:rsidRPr="00320E3B">
              <w:rPr>
                <w:rFonts w:ascii="Arial" w:hAnsi="Arial" w:cs="Arial"/>
                <w:color w:val="000000"/>
              </w:rPr>
              <w:t>.</w:t>
            </w:r>
          </w:p>
          <w:p w14:paraId="5749AC12" w14:textId="77777777" w:rsidR="00442512"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0D264736" w14:textId="46B8FBA1" w:rsidR="00A26303" w:rsidRPr="00A26303" w:rsidRDefault="00A26303" w:rsidP="00A26303">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1086AB27" w14:textId="77777777" w:rsidR="00442512" w:rsidRPr="00443CAA" w:rsidRDefault="00442512" w:rsidP="0085565B">
            <w:pPr>
              <w:jc w:val="center"/>
              <w:rPr>
                <w:rFonts w:ascii="Arial" w:hAnsi="Arial" w:cs="Arial"/>
              </w:rPr>
            </w:pPr>
          </w:p>
        </w:tc>
      </w:tr>
      <w:tr w:rsidR="00442512" w:rsidRPr="00443CAA" w14:paraId="429CF30C"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B8258FF" w14:textId="77777777" w:rsidR="00442512" w:rsidRPr="00443CAA" w:rsidRDefault="00442512" w:rsidP="0085565B">
            <w:pPr>
              <w:jc w:val="center"/>
              <w:rPr>
                <w:rFonts w:ascii="Arial" w:hAnsi="Arial" w:cs="Arial"/>
                <w:b/>
                <w:color w:val="000000" w:themeColor="text1"/>
                <w:sz w:val="24"/>
              </w:rPr>
            </w:pPr>
            <w:r>
              <w:rPr>
                <w:rFonts w:ascii="Arial" w:hAnsi="Arial"/>
                <w:b/>
                <w:sz w:val="24"/>
              </w:rPr>
              <w:t>Arbeitsablauf und Sicherheitsmaßnahmen</w:t>
            </w:r>
          </w:p>
        </w:tc>
      </w:tr>
      <w:tr w:rsidR="00442512" w:rsidRPr="00443CAA" w14:paraId="5758EF88"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1A24E6FB" w14:textId="77777777" w:rsidR="00442512" w:rsidRPr="00443CAA" w:rsidRDefault="00442512" w:rsidP="0085565B">
            <w:pPr>
              <w:jc w:val="center"/>
              <w:rPr>
                <w:rFonts w:ascii="Arial" w:hAnsi="Arial" w:cs="Arial"/>
              </w:rPr>
            </w:pPr>
          </w:p>
        </w:tc>
        <w:tc>
          <w:tcPr>
            <w:tcW w:w="8222" w:type="dxa"/>
            <w:tcBorders>
              <w:top w:val="single" w:sz="48" w:space="0" w:color="FFFF00"/>
              <w:bottom w:val="single" w:sz="48" w:space="0" w:color="FFFF00"/>
            </w:tcBorders>
            <w:vAlign w:val="center"/>
          </w:tcPr>
          <w:p w14:paraId="14BDF9F0" w14:textId="77777777" w:rsidR="00442512" w:rsidRPr="00177480" w:rsidRDefault="00442512" w:rsidP="0085565B">
            <w:pPr>
              <w:rPr>
                <w:rFonts w:ascii="Arial" w:hAnsi="Arial" w:cs="Arial"/>
                <w:i/>
                <w:u w:val="single"/>
              </w:rPr>
            </w:pPr>
            <w:r>
              <w:rPr>
                <w:rFonts w:ascii="Arial" w:hAnsi="Arial" w:cs="Arial"/>
                <w:i/>
                <w:u w:val="single"/>
              </w:rPr>
              <w:t>Generell gilt</w:t>
            </w:r>
            <w:r w:rsidRPr="00070A10">
              <w:rPr>
                <w:rFonts w:ascii="Arial" w:hAnsi="Arial" w:cs="Arial"/>
                <w:i/>
                <w:u w:val="single"/>
              </w:rPr>
              <w:t>:</w:t>
            </w:r>
          </w:p>
          <w:p w14:paraId="572A1BFE"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Benutzen der erforderlichen PSA.</w:t>
            </w:r>
          </w:p>
          <w:p w14:paraId="0580B4C5"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35A3A6B5"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623F4FFC"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Für ausreichende Bewegungsfreiheit sorgen.</w:t>
            </w:r>
          </w:p>
          <w:p w14:paraId="31EC5568"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Standsicherheit gewährleisten.</w:t>
            </w:r>
          </w:p>
          <w:p w14:paraId="52954EF9" w14:textId="610430CB"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w:t>
            </w:r>
            <w:r w:rsidR="00E63F68">
              <w:rPr>
                <w:rFonts w:ascii="Arial" w:hAnsi="Arial" w:cs="Arial"/>
              </w:rPr>
              <w:t>frei</w:t>
            </w:r>
            <w:r>
              <w:rPr>
                <w:rFonts w:ascii="Arial" w:hAnsi="Arial" w:cs="Arial"/>
              </w:rPr>
              <w:t>halten</w:t>
            </w:r>
            <w:r w:rsidRPr="00021731">
              <w:rPr>
                <w:rFonts w:ascii="Arial" w:hAnsi="Arial" w:cs="Arial"/>
              </w:rPr>
              <w:t>.</w:t>
            </w:r>
          </w:p>
          <w:p w14:paraId="45037847" w14:textId="78D0BAE7" w:rsidR="00442512" w:rsidRPr="00754115" w:rsidRDefault="00442512" w:rsidP="0085565B">
            <w:pPr>
              <w:pStyle w:val="Listenabsatz"/>
              <w:numPr>
                <w:ilvl w:val="0"/>
                <w:numId w:val="1"/>
              </w:numPr>
              <w:ind w:left="355"/>
              <w:rPr>
                <w:rFonts w:ascii="Arial" w:hAnsi="Arial"/>
              </w:rPr>
            </w:pPr>
            <w:r w:rsidRPr="00021731">
              <w:rPr>
                <w:rFonts w:ascii="Arial" w:hAnsi="Arial" w:cs="Arial"/>
              </w:rPr>
              <w:t xml:space="preserve">Kontrolle der ordnungsgemäßen Funktion der </w:t>
            </w:r>
            <w:r>
              <w:rPr>
                <w:rFonts w:ascii="Arial" w:hAnsi="Arial" w:cs="Arial"/>
              </w:rPr>
              <w:t xml:space="preserve">zur Anwendung kommenden Werkzeuge </w:t>
            </w:r>
            <w:r w:rsidR="00A26303">
              <w:rPr>
                <w:rFonts w:ascii="Arial" w:hAnsi="Arial" w:cs="Arial"/>
              </w:rPr>
              <w:t xml:space="preserve">und </w:t>
            </w:r>
            <w:r>
              <w:rPr>
                <w:rFonts w:ascii="Arial" w:hAnsi="Arial" w:cs="Arial"/>
              </w:rPr>
              <w:t>Arbeitsmittel</w:t>
            </w:r>
            <w:r w:rsidRPr="00021731">
              <w:rPr>
                <w:rFonts w:ascii="Arial" w:hAnsi="Arial" w:cs="Arial"/>
              </w:rPr>
              <w:t>.</w:t>
            </w:r>
          </w:p>
          <w:p w14:paraId="312A231F" w14:textId="77777777" w:rsidR="00442512" w:rsidRDefault="00442512" w:rsidP="0085565B">
            <w:pPr>
              <w:ind w:right="213"/>
              <w:rPr>
                <w:rFonts w:ascii="Arial" w:hAnsi="Arial"/>
              </w:rPr>
            </w:pPr>
          </w:p>
          <w:p w14:paraId="3892223F" w14:textId="77777777" w:rsidR="00442512" w:rsidRPr="00070A10" w:rsidRDefault="00442512" w:rsidP="0085565B">
            <w:pPr>
              <w:rPr>
                <w:rFonts w:ascii="Arial" w:hAnsi="Arial" w:cs="Arial"/>
                <w:i/>
                <w:u w:val="single"/>
              </w:rPr>
            </w:pPr>
            <w:r>
              <w:rPr>
                <w:rFonts w:ascii="Arial" w:hAnsi="Arial" w:cs="Arial"/>
                <w:i/>
                <w:u w:val="single"/>
              </w:rPr>
              <w:t>Instandhaltung</w:t>
            </w:r>
            <w:r w:rsidRPr="00070A10">
              <w:rPr>
                <w:rFonts w:ascii="Arial" w:hAnsi="Arial" w:cs="Arial"/>
                <w:i/>
                <w:u w:val="single"/>
              </w:rPr>
              <w:t>:</w:t>
            </w:r>
          </w:p>
          <w:p w14:paraId="59389763" w14:textId="77777777" w:rsidR="00442512" w:rsidRDefault="00442512" w:rsidP="0085565B">
            <w:pPr>
              <w:numPr>
                <w:ilvl w:val="0"/>
                <w:numId w:val="11"/>
              </w:numPr>
              <w:ind w:left="351" w:hanging="357"/>
              <w:rPr>
                <w:rFonts w:ascii="Arial" w:hAnsi="Arial"/>
              </w:rPr>
            </w:pPr>
            <w:r>
              <w:rPr>
                <w:rFonts w:ascii="Arial" w:hAnsi="Arial"/>
              </w:rPr>
              <w:t>Im Rahmen der Instandhaltungsarbeiten ist durch Besichtigung festzustellen ob:</w:t>
            </w:r>
          </w:p>
          <w:p w14:paraId="6B149C43" w14:textId="77777777" w:rsidR="00442512" w:rsidRPr="00250F98" w:rsidRDefault="00442512" w:rsidP="0085565B">
            <w:pPr>
              <w:numPr>
                <w:ilvl w:val="1"/>
                <w:numId w:val="11"/>
              </w:numPr>
              <w:ind w:left="781" w:hanging="426"/>
              <w:rPr>
                <w:rFonts w:ascii="Arial" w:hAnsi="Arial"/>
              </w:rPr>
            </w:pPr>
            <w:r w:rsidRPr="00250F98">
              <w:rPr>
                <w:rFonts w:ascii="Arial" w:hAnsi="Arial"/>
              </w:rPr>
              <w:t>Schutzleiter, Erdungsleiter und Potentialausgleichsleiter noch richtig verlegt, gekennzeichnet und noch zuverlässig angeschlossen sind;</w:t>
            </w:r>
          </w:p>
          <w:p w14:paraId="10BB9461" w14:textId="7A9F23FB" w:rsidR="00442512" w:rsidRPr="00250F98" w:rsidRDefault="00442512" w:rsidP="0085565B">
            <w:pPr>
              <w:numPr>
                <w:ilvl w:val="1"/>
                <w:numId w:val="11"/>
              </w:numPr>
              <w:ind w:left="781" w:hanging="426"/>
              <w:rPr>
                <w:rFonts w:ascii="Arial" w:hAnsi="Arial"/>
              </w:rPr>
            </w:pPr>
            <w:r w:rsidRPr="00250F98">
              <w:rPr>
                <w:rFonts w:ascii="Arial" w:hAnsi="Arial"/>
              </w:rPr>
              <w:t xml:space="preserve">Schutzeinrichtungen, z. B. Überstrom-, Fehlerstrom-Schutzeinrichtungen, Isolationsüberwachungseinrichtungen, </w:t>
            </w:r>
            <w:proofErr w:type="spellStart"/>
            <w:r w:rsidRPr="00250F98">
              <w:rPr>
                <w:rFonts w:ascii="Arial" w:hAnsi="Arial"/>
              </w:rPr>
              <w:t>Überspannungsableiter</w:t>
            </w:r>
            <w:proofErr w:type="spellEnd"/>
            <w:r w:rsidRPr="00250F98">
              <w:rPr>
                <w:rFonts w:ascii="Arial" w:hAnsi="Arial"/>
              </w:rPr>
              <w:t xml:space="preserve"> noch vorhanden, funktionstüchtig und richtig eingestellt sind;</w:t>
            </w:r>
          </w:p>
          <w:p w14:paraId="0737FF38" w14:textId="77777777" w:rsidR="00442512" w:rsidRPr="00250F98" w:rsidRDefault="00442512" w:rsidP="0085565B">
            <w:pPr>
              <w:numPr>
                <w:ilvl w:val="1"/>
                <w:numId w:val="11"/>
              </w:numPr>
              <w:ind w:left="781" w:hanging="426"/>
              <w:rPr>
                <w:rFonts w:ascii="Arial" w:hAnsi="Arial"/>
              </w:rPr>
            </w:pPr>
            <w:r w:rsidRPr="00250F98">
              <w:rPr>
                <w:rFonts w:ascii="Arial" w:hAnsi="Arial"/>
              </w:rPr>
              <w:t>Schaltpläne, Beschriftungen und dauerhafte Kennzeichnungen der Stromkreise, Gebrauchs- oder Betriebsanleitungen noch vorhanden und zutreffend sind;</w:t>
            </w:r>
          </w:p>
          <w:p w14:paraId="0A46C0BE" w14:textId="5CED15DF" w:rsidR="00442512" w:rsidRPr="00250F98" w:rsidRDefault="00442512" w:rsidP="0085565B">
            <w:pPr>
              <w:numPr>
                <w:ilvl w:val="1"/>
                <w:numId w:val="11"/>
              </w:numPr>
              <w:ind w:left="781" w:hanging="426"/>
              <w:rPr>
                <w:rFonts w:ascii="Arial" w:hAnsi="Arial"/>
              </w:rPr>
            </w:pPr>
            <w:r w:rsidRPr="00250F98">
              <w:rPr>
                <w:rFonts w:ascii="Arial" w:hAnsi="Arial"/>
              </w:rPr>
              <w:t xml:space="preserve">Einrichtungen zur Unfallverhütung und Brandbekämpfung, z. B. Schutzvorrichtungen, Hilfsmittel, Sicherheitsschilder, Schottung von Leitungs- und Kabeldurchführungen vorhanden und </w:t>
            </w:r>
            <w:r w:rsidR="00A11E04">
              <w:rPr>
                <w:rFonts w:ascii="Arial" w:hAnsi="Arial"/>
              </w:rPr>
              <w:t>f</w:t>
            </w:r>
            <w:r w:rsidRPr="00250F98">
              <w:rPr>
                <w:rFonts w:ascii="Arial" w:hAnsi="Arial"/>
              </w:rPr>
              <w:t>unktionstüchtig sind;</w:t>
            </w:r>
          </w:p>
          <w:p w14:paraId="575CF1BE" w14:textId="77777777" w:rsidR="00442512" w:rsidRPr="00250F98" w:rsidRDefault="00442512" w:rsidP="0085565B">
            <w:pPr>
              <w:numPr>
                <w:ilvl w:val="1"/>
                <w:numId w:val="11"/>
              </w:numPr>
              <w:ind w:left="781" w:hanging="426"/>
              <w:rPr>
                <w:rFonts w:ascii="Arial" w:hAnsi="Arial"/>
              </w:rPr>
            </w:pPr>
            <w:r w:rsidRPr="00250F98">
              <w:rPr>
                <w:rFonts w:ascii="Arial" w:hAnsi="Arial"/>
              </w:rPr>
              <w:t>die zur Sicherstellung des Potentialausgleichs erforderlichen Leiter (Hauptpotentialausgleichsleiter,</w:t>
            </w:r>
            <w:r>
              <w:rPr>
                <w:rFonts w:ascii="Arial" w:hAnsi="Arial"/>
              </w:rPr>
              <w:t xml:space="preserve"> </w:t>
            </w:r>
            <w:r w:rsidRPr="00250F98">
              <w:rPr>
                <w:rFonts w:ascii="Arial" w:hAnsi="Arial"/>
              </w:rPr>
              <w:t>Hauptschutzleiter, Haupterdungsleiter und andere Erdungsleiter) mit der Potentialausgleichsschiene oder Haupterdungsschiene noch verbunden und zugänglich sind.</w:t>
            </w:r>
          </w:p>
          <w:p w14:paraId="23B2F31F" w14:textId="0E6CED1F" w:rsidR="00442512" w:rsidRPr="00343936" w:rsidRDefault="00442512" w:rsidP="0085565B">
            <w:pPr>
              <w:numPr>
                <w:ilvl w:val="0"/>
                <w:numId w:val="11"/>
              </w:numPr>
              <w:ind w:left="351" w:hanging="357"/>
              <w:rPr>
                <w:rFonts w:ascii="Arial" w:hAnsi="Arial"/>
                <w:i/>
              </w:rPr>
            </w:pPr>
            <w:r w:rsidRPr="00343936">
              <w:rPr>
                <w:rFonts w:ascii="Arial" w:hAnsi="Arial"/>
              </w:rPr>
              <w:t>Im Rahmen der Instandhaltungsarbeiten ist ein</w:t>
            </w:r>
            <w:r>
              <w:rPr>
                <w:rFonts w:ascii="Arial" w:hAnsi="Arial"/>
              </w:rPr>
              <w:t>e vorhandene Fehlerstrom-Schutzeinrichtung</w:t>
            </w:r>
            <w:r w:rsidRPr="00343936">
              <w:rPr>
                <w:rFonts w:ascii="Arial" w:hAnsi="Arial"/>
              </w:rPr>
              <w:t xml:space="preserve"> </w:t>
            </w:r>
            <w:r>
              <w:rPr>
                <w:rFonts w:ascii="Arial" w:hAnsi="Arial"/>
              </w:rPr>
              <w:t>(</w:t>
            </w:r>
            <w:r w:rsidRPr="00343936">
              <w:rPr>
                <w:rFonts w:ascii="Arial" w:hAnsi="Arial"/>
              </w:rPr>
              <w:t>RCD</w:t>
            </w:r>
            <w:r>
              <w:rPr>
                <w:rFonts w:ascii="Arial" w:hAnsi="Arial"/>
              </w:rPr>
              <w:t>)</w:t>
            </w:r>
            <w:r w:rsidRPr="00343936">
              <w:rPr>
                <w:rFonts w:ascii="Arial" w:hAnsi="Arial"/>
              </w:rPr>
              <w:t xml:space="preserve"> mindestens halbjährlich durch das Betä</w:t>
            </w:r>
            <w:r>
              <w:rPr>
                <w:rFonts w:ascii="Arial" w:hAnsi="Arial"/>
              </w:rPr>
              <w:t>tigen der Prüftaste auszulösen.</w:t>
            </w:r>
          </w:p>
          <w:p w14:paraId="2325B1B9" w14:textId="77777777" w:rsidR="00442512" w:rsidRDefault="00442512" w:rsidP="0085565B">
            <w:pPr>
              <w:pStyle w:val="StandardfrTabelle10"/>
              <w:rPr>
                <w:rFonts w:cs="Arial"/>
              </w:rPr>
            </w:pPr>
          </w:p>
          <w:p w14:paraId="781FC84A" w14:textId="77777777" w:rsidR="00442512" w:rsidRPr="00782647" w:rsidRDefault="00442512" w:rsidP="0085565B">
            <w:pPr>
              <w:rPr>
                <w:rFonts w:ascii="Arial" w:hAnsi="Arial" w:cs="Arial"/>
                <w:i/>
                <w:u w:val="single"/>
              </w:rPr>
            </w:pPr>
            <w:r w:rsidRPr="00782647">
              <w:rPr>
                <w:rFonts w:ascii="Arial" w:hAnsi="Arial" w:cs="Arial"/>
                <w:i/>
                <w:u w:val="single"/>
              </w:rPr>
              <w:t xml:space="preserve">Prüfung nach </w:t>
            </w:r>
            <w:r>
              <w:rPr>
                <w:rFonts w:ascii="Arial" w:hAnsi="Arial" w:cs="Arial"/>
                <w:i/>
                <w:u w:val="single"/>
              </w:rPr>
              <w:t>Instandhaltung</w:t>
            </w:r>
            <w:r w:rsidRPr="00782647">
              <w:rPr>
                <w:rFonts w:ascii="Arial" w:hAnsi="Arial" w:cs="Arial"/>
                <w:i/>
                <w:u w:val="single"/>
              </w:rPr>
              <w:t>:</w:t>
            </w:r>
          </w:p>
          <w:p w14:paraId="7653C706" w14:textId="77777777" w:rsidR="00442512" w:rsidRDefault="00442512" w:rsidP="0085565B">
            <w:pPr>
              <w:numPr>
                <w:ilvl w:val="0"/>
                <w:numId w:val="11"/>
              </w:numPr>
              <w:ind w:left="351" w:hanging="357"/>
              <w:rPr>
                <w:rFonts w:ascii="Arial" w:hAnsi="Arial"/>
              </w:rPr>
            </w:pPr>
            <w:r>
              <w:rPr>
                <w:rFonts w:ascii="Arial" w:hAnsi="Arial"/>
              </w:rPr>
              <w:t>Bei einem Austausch bereits geprüfter elektrischer Betriebsmittel (z. B. Motoren, Ventile etc.) sind folgende Prüfschritte anzuwenden:</w:t>
            </w:r>
          </w:p>
          <w:p w14:paraId="07073309" w14:textId="77777777" w:rsidR="00442512" w:rsidRPr="00786FE1" w:rsidRDefault="00442512" w:rsidP="0085565B">
            <w:pPr>
              <w:pStyle w:val="Listenabsatz"/>
              <w:numPr>
                <w:ilvl w:val="0"/>
                <w:numId w:val="10"/>
              </w:numPr>
              <w:rPr>
                <w:rFonts w:ascii="Arial" w:hAnsi="Arial"/>
                <w:bCs/>
                <w:sz w:val="24"/>
              </w:rPr>
            </w:pPr>
            <w:r w:rsidRPr="00786FE1">
              <w:rPr>
                <w:rFonts w:ascii="Arial" w:hAnsi="Arial" w:cs="Arial"/>
                <w:bCs/>
                <w:i/>
              </w:rPr>
              <w:t>Durchgängigkeit der Schutzleiter und Schutzpotentialausgleichsleiter</w:t>
            </w:r>
          </w:p>
          <w:p w14:paraId="3A3D8B81" w14:textId="77777777" w:rsidR="00442512" w:rsidRPr="00A26303" w:rsidRDefault="00442512" w:rsidP="0085565B">
            <w:pPr>
              <w:numPr>
                <w:ilvl w:val="0"/>
                <w:numId w:val="6"/>
              </w:numPr>
              <w:autoSpaceDE w:val="0"/>
              <w:autoSpaceDN w:val="0"/>
              <w:adjustRightInd w:val="0"/>
              <w:ind w:left="355" w:hanging="283"/>
              <w:rPr>
                <w:rFonts w:ascii="Arial" w:hAnsi="Arial" w:cs="Arial"/>
                <w:bCs/>
                <w:color w:val="000000"/>
              </w:rPr>
            </w:pPr>
            <w:r w:rsidRPr="00786FE1">
              <w:rPr>
                <w:rFonts w:ascii="Arial" w:hAnsi="Arial" w:cs="Arial"/>
                <w:bCs/>
                <w:i/>
              </w:rPr>
              <w:t>Überprüfung vorgelagertes Schutzorgan</w:t>
            </w:r>
          </w:p>
          <w:p w14:paraId="661DA648" w14:textId="77777777" w:rsidR="00442512" w:rsidRDefault="00442512" w:rsidP="0085565B">
            <w:pPr>
              <w:rPr>
                <w:rFonts w:ascii="Arial" w:hAnsi="Arial" w:cs="Arial"/>
                <w:i/>
                <w:u w:val="single"/>
              </w:rPr>
            </w:pPr>
          </w:p>
          <w:p w14:paraId="1A8110DE" w14:textId="77777777" w:rsidR="00442512" w:rsidRPr="00782647" w:rsidRDefault="00442512" w:rsidP="0085565B">
            <w:pPr>
              <w:rPr>
                <w:rFonts w:ascii="Arial" w:hAnsi="Arial" w:cs="Arial"/>
                <w:i/>
                <w:u w:val="single"/>
              </w:rPr>
            </w:pPr>
            <w:r w:rsidRPr="00782647">
              <w:rPr>
                <w:rFonts w:ascii="Arial" w:hAnsi="Arial" w:cs="Arial"/>
                <w:i/>
                <w:u w:val="single"/>
              </w:rPr>
              <w:t xml:space="preserve">Dokumentation der </w:t>
            </w:r>
            <w:r>
              <w:rPr>
                <w:rFonts w:ascii="Arial" w:hAnsi="Arial" w:cs="Arial"/>
                <w:i/>
                <w:u w:val="single"/>
              </w:rPr>
              <w:t>Instandhaltung</w:t>
            </w:r>
            <w:r w:rsidRPr="00782647">
              <w:rPr>
                <w:rFonts w:ascii="Arial" w:hAnsi="Arial" w:cs="Arial"/>
                <w:i/>
                <w:u w:val="single"/>
              </w:rPr>
              <w:t>:</w:t>
            </w:r>
          </w:p>
          <w:p w14:paraId="6470E006" w14:textId="77777777" w:rsidR="00442512" w:rsidRDefault="00442512" w:rsidP="0085565B">
            <w:pPr>
              <w:numPr>
                <w:ilvl w:val="0"/>
                <w:numId w:val="11"/>
              </w:numPr>
              <w:ind w:left="351" w:hanging="357"/>
              <w:rPr>
                <w:rFonts w:ascii="Arial" w:hAnsi="Arial"/>
              </w:rPr>
            </w:pPr>
            <w:r>
              <w:rPr>
                <w:rFonts w:ascii="Arial" w:hAnsi="Arial"/>
              </w:rPr>
              <w:t xml:space="preserve">Die Dokumentation der Instandsetzungsarbeiten erfolgt über </w:t>
            </w:r>
            <w:r w:rsidRPr="00250F98">
              <w:rPr>
                <w:rFonts w:ascii="Arial" w:hAnsi="Arial"/>
              </w:rPr>
              <w:t>einen Vermerk im Wartungsbericht.</w:t>
            </w:r>
          </w:p>
          <w:p w14:paraId="594F3C0A" w14:textId="77777777" w:rsidR="00442512" w:rsidRPr="00343936" w:rsidRDefault="00442512" w:rsidP="0085565B">
            <w:pPr>
              <w:numPr>
                <w:ilvl w:val="0"/>
                <w:numId w:val="11"/>
              </w:numPr>
              <w:ind w:left="351" w:hanging="357"/>
              <w:rPr>
                <w:rFonts w:ascii="Arial" w:hAnsi="Arial"/>
              </w:rPr>
            </w:pPr>
            <w:r w:rsidRPr="00343936">
              <w:rPr>
                <w:rFonts w:ascii="Arial" w:hAnsi="Arial"/>
              </w:rPr>
              <w:lastRenderedPageBreak/>
              <w:t xml:space="preserve">Die Dokumentation der Prüfungen erfolgt über das </w:t>
            </w:r>
            <w:r>
              <w:rPr>
                <w:rFonts w:ascii="Arial" w:hAnsi="Arial"/>
                <w:i/>
              </w:rPr>
              <w:t>PC_GP_06</w:t>
            </w:r>
            <w:r w:rsidRPr="00343936">
              <w:rPr>
                <w:rFonts w:ascii="Arial" w:hAnsi="Arial"/>
                <w:i/>
              </w:rPr>
              <w:t xml:space="preserve"> Prüfprotokoll Betriebsmitteltausch</w:t>
            </w:r>
            <w:r>
              <w:rPr>
                <w:rFonts w:ascii="Arial" w:hAnsi="Arial"/>
                <w:i/>
              </w:rPr>
              <w:t>.</w:t>
            </w:r>
          </w:p>
          <w:p w14:paraId="4FBF411F" w14:textId="77777777" w:rsidR="00442512" w:rsidRPr="00443CAA" w:rsidRDefault="00442512" w:rsidP="0085565B">
            <w:pPr>
              <w:numPr>
                <w:ilvl w:val="0"/>
                <w:numId w:val="11"/>
              </w:numPr>
              <w:ind w:left="351" w:hanging="357"/>
              <w:rPr>
                <w:rFonts w:ascii="Arial" w:hAnsi="Arial" w:cs="Arial"/>
                <w:color w:val="000000"/>
              </w:rPr>
            </w:pPr>
            <w:r>
              <w:rPr>
                <w:rFonts w:ascii="Arial" w:hAnsi="Arial"/>
              </w:rPr>
              <w:t xml:space="preserve">Die Betätigung einer Fehlerstrom-Schutzeinrichtung (RCD) </w:t>
            </w:r>
            <w:r w:rsidRPr="00782647">
              <w:rPr>
                <w:rFonts w:ascii="Arial" w:hAnsi="Arial"/>
              </w:rPr>
              <w:t>ist im</w:t>
            </w:r>
            <w:r w:rsidRPr="00177480">
              <w:rPr>
                <w:rFonts w:ascii="Arial" w:hAnsi="Arial"/>
              </w:rPr>
              <w:t xml:space="preserve"> </w:t>
            </w:r>
            <w:r>
              <w:rPr>
                <w:rFonts w:ascii="Arial" w:hAnsi="Arial"/>
                <w:i/>
              </w:rPr>
              <w:t>PC_GP_05 Protokoll Betä</w:t>
            </w:r>
            <w:r w:rsidRPr="00177480">
              <w:rPr>
                <w:rFonts w:ascii="Arial" w:hAnsi="Arial"/>
                <w:i/>
              </w:rPr>
              <w:t>tigen RCD</w:t>
            </w:r>
            <w:r>
              <w:rPr>
                <w:rFonts w:ascii="Arial" w:hAnsi="Arial"/>
                <w:i/>
              </w:rPr>
              <w:t xml:space="preserve"> </w:t>
            </w:r>
            <w:r>
              <w:rPr>
                <w:rFonts w:ascii="Arial" w:hAnsi="Arial"/>
              </w:rPr>
              <w:t>vor Ort festzuhalten.</w:t>
            </w:r>
          </w:p>
        </w:tc>
        <w:tc>
          <w:tcPr>
            <w:tcW w:w="1245" w:type="dxa"/>
            <w:tcBorders>
              <w:top w:val="single" w:sz="48" w:space="0" w:color="FFFF00"/>
              <w:bottom w:val="single" w:sz="48" w:space="0" w:color="FFFF00"/>
              <w:right w:val="single" w:sz="48" w:space="0" w:color="FFFF00"/>
            </w:tcBorders>
            <w:vAlign w:val="center"/>
          </w:tcPr>
          <w:p w14:paraId="773214E8" w14:textId="77777777" w:rsidR="00442512" w:rsidRPr="00443CAA" w:rsidRDefault="00442512" w:rsidP="0085565B">
            <w:pPr>
              <w:jc w:val="center"/>
              <w:rPr>
                <w:rFonts w:ascii="Arial" w:hAnsi="Arial" w:cs="Arial"/>
              </w:rPr>
            </w:pPr>
          </w:p>
        </w:tc>
      </w:tr>
      <w:tr w:rsidR="00442512" w:rsidRPr="00443CAA" w14:paraId="74F1C461"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9EA19F0" w14:textId="77777777" w:rsidR="00442512" w:rsidRPr="00443CAA" w:rsidRDefault="00442512" w:rsidP="0085565B">
            <w:pPr>
              <w:jc w:val="center"/>
              <w:rPr>
                <w:rFonts w:ascii="Arial" w:hAnsi="Arial" w:cs="Arial"/>
                <w:b/>
                <w:color w:val="000000" w:themeColor="text1"/>
                <w:sz w:val="24"/>
              </w:rPr>
            </w:pPr>
            <w:r>
              <w:rPr>
                <w:rFonts w:ascii="Arial" w:hAnsi="Arial"/>
                <w:b/>
                <w:sz w:val="24"/>
              </w:rPr>
              <w:t>Abschluss der Arbeiten</w:t>
            </w:r>
          </w:p>
        </w:tc>
      </w:tr>
      <w:tr w:rsidR="00442512" w:rsidRPr="00443CAA" w14:paraId="6E3D4EA9"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7A07C647" w14:textId="77777777" w:rsidR="00442512" w:rsidRPr="00443CAA" w:rsidRDefault="00442512" w:rsidP="0085565B">
            <w:pPr>
              <w:jc w:val="center"/>
              <w:rPr>
                <w:rFonts w:ascii="Arial" w:hAnsi="Arial" w:cs="Arial"/>
              </w:rPr>
            </w:pPr>
          </w:p>
        </w:tc>
        <w:tc>
          <w:tcPr>
            <w:tcW w:w="8222" w:type="dxa"/>
            <w:tcBorders>
              <w:top w:val="single" w:sz="48" w:space="0" w:color="FFFF00"/>
              <w:bottom w:val="single" w:sz="48" w:space="0" w:color="FFFF00"/>
            </w:tcBorders>
            <w:vAlign w:val="center"/>
          </w:tcPr>
          <w:p w14:paraId="174E9A8A" w14:textId="77777777" w:rsidR="00442512" w:rsidRPr="00786FE1" w:rsidRDefault="00442512" w:rsidP="00786FE1">
            <w:pPr>
              <w:numPr>
                <w:ilvl w:val="0"/>
                <w:numId w:val="11"/>
              </w:numPr>
              <w:ind w:left="351" w:hanging="357"/>
              <w:rPr>
                <w:rFonts w:ascii="Arial" w:hAnsi="Arial"/>
              </w:rPr>
            </w:pPr>
            <w:r w:rsidRPr="00786FE1">
              <w:rPr>
                <w:rFonts w:ascii="Arial" w:hAnsi="Arial"/>
              </w:rPr>
              <w:t>Herstellen des ordnungsgemäßen und sicheren Anlagenzustands.</w:t>
            </w:r>
          </w:p>
          <w:p w14:paraId="3D8B66A4" w14:textId="77777777" w:rsidR="00442512" w:rsidRPr="00786FE1" w:rsidRDefault="00442512" w:rsidP="00786FE1">
            <w:pPr>
              <w:numPr>
                <w:ilvl w:val="0"/>
                <w:numId w:val="11"/>
              </w:numPr>
              <w:ind w:left="351" w:hanging="357"/>
              <w:rPr>
                <w:rFonts w:ascii="Arial" w:hAnsi="Arial"/>
              </w:rPr>
            </w:pPr>
            <w:r w:rsidRPr="00786FE1">
              <w:rPr>
                <w:rFonts w:ascii="Arial" w:hAnsi="Arial"/>
              </w:rPr>
              <w:t>Räumen der Arbeitsstelle.</w:t>
            </w:r>
          </w:p>
          <w:p w14:paraId="27ED787F" w14:textId="58775F69" w:rsidR="00442512" w:rsidRPr="00786FE1" w:rsidRDefault="00442512" w:rsidP="00786FE1">
            <w:pPr>
              <w:numPr>
                <w:ilvl w:val="0"/>
                <w:numId w:val="11"/>
              </w:numPr>
              <w:ind w:left="351" w:hanging="357"/>
              <w:rPr>
                <w:rFonts w:ascii="Arial" w:hAnsi="Arial"/>
              </w:rPr>
            </w:pPr>
            <w:r w:rsidRPr="00786FE1">
              <w:rPr>
                <w:rFonts w:ascii="Arial" w:hAnsi="Arial"/>
              </w:rPr>
              <w:t xml:space="preserve">Mitgebrachte Werkzeuge und Arbeitsmittel sind aus der Schaltanlage zu entfernen, </w:t>
            </w:r>
            <w:r w:rsidR="00A26303" w:rsidRPr="00786FE1">
              <w:rPr>
                <w:rFonts w:ascii="Arial" w:hAnsi="Arial"/>
              </w:rPr>
              <w:t xml:space="preserve">zu </w:t>
            </w:r>
            <w:r w:rsidRPr="00786FE1">
              <w:rPr>
                <w:rFonts w:ascii="Arial" w:hAnsi="Arial"/>
              </w:rPr>
              <w:t xml:space="preserve">kontrollieren und </w:t>
            </w:r>
            <w:r w:rsidR="00A26303" w:rsidRPr="00786FE1">
              <w:rPr>
                <w:rFonts w:ascii="Arial" w:hAnsi="Arial"/>
              </w:rPr>
              <w:t xml:space="preserve">zu </w:t>
            </w:r>
            <w:r w:rsidRPr="00786FE1">
              <w:rPr>
                <w:rFonts w:ascii="Arial" w:hAnsi="Arial"/>
              </w:rPr>
              <w:t>reinigen.</w:t>
            </w:r>
          </w:p>
          <w:p w14:paraId="5C346E96" w14:textId="77777777" w:rsidR="00442512" w:rsidRPr="00786FE1" w:rsidRDefault="00442512" w:rsidP="00786FE1">
            <w:pPr>
              <w:numPr>
                <w:ilvl w:val="0"/>
                <w:numId w:val="11"/>
              </w:numPr>
              <w:ind w:left="351" w:hanging="357"/>
              <w:rPr>
                <w:rFonts w:ascii="Arial" w:hAnsi="Arial"/>
              </w:rPr>
            </w:pPr>
            <w:r w:rsidRPr="00786FE1">
              <w:rPr>
                <w:rFonts w:ascii="Arial" w:hAnsi="Arial"/>
              </w:rPr>
              <w:t>Sämtliche Änderungen an der bestehenden Verdrahtung oder Programmierung sind grundsätzlich zu dokumentieren.</w:t>
            </w:r>
          </w:p>
          <w:p w14:paraId="62835126" w14:textId="77777777" w:rsidR="00442512" w:rsidRPr="00443CAA" w:rsidRDefault="00442512" w:rsidP="00786FE1">
            <w:pPr>
              <w:numPr>
                <w:ilvl w:val="0"/>
                <w:numId w:val="11"/>
              </w:numPr>
              <w:ind w:left="351" w:hanging="357"/>
              <w:rPr>
                <w:rFonts w:ascii="Arial" w:hAnsi="Arial" w:cs="Arial"/>
                <w:color w:val="000000"/>
              </w:rPr>
            </w:pPr>
            <w:r w:rsidRPr="00786FE1">
              <w:rPr>
                <w:rFonts w:ascii="Arial" w:hAnsi="Arial"/>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62CD04C8" w14:textId="77777777" w:rsidR="00442512" w:rsidRPr="00443CAA" w:rsidRDefault="00442512" w:rsidP="0085565B">
            <w:pPr>
              <w:jc w:val="center"/>
              <w:rPr>
                <w:rFonts w:ascii="Arial" w:hAnsi="Arial" w:cs="Arial"/>
              </w:rPr>
            </w:pPr>
          </w:p>
        </w:tc>
      </w:tr>
      <w:tr w:rsidR="00442512" w:rsidRPr="00443CAA" w14:paraId="7FDA127D" w14:textId="77777777" w:rsidTr="0085565B">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40FF99B6" w14:textId="77777777" w:rsidR="00442512" w:rsidRPr="00443CAA" w:rsidRDefault="00442512" w:rsidP="0085565B">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28B8BFBF" w14:textId="77777777" w:rsidR="00442512" w:rsidRPr="00443CAA" w:rsidRDefault="00442512" w:rsidP="0085565B">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52A0DA0D" w14:textId="77777777" w:rsidR="00442512" w:rsidRPr="00443CAA" w:rsidRDefault="00442512" w:rsidP="0085565B">
            <w:pPr>
              <w:jc w:val="center"/>
              <w:rPr>
                <w:rFonts w:ascii="Arial" w:hAnsi="Arial" w:cs="Arial"/>
                <w:b/>
                <w:color w:val="000000" w:themeColor="text1"/>
              </w:rPr>
            </w:pPr>
          </w:p>
        </w:tc>
      </w:tr>
    </w:tbl>
    <w:p w14:paraId="6C044995" w14:textId="77777777" w:rsidR="00442512" w:rsidRPr="00443CAA" w:rsidRDefault="00442512" w:rsidP="00442512">
      <w:pPr>
        <w:rPr>
          <w:rFonts w:ascii="Arial" w:hAnsi="Arial" w:cs="Arial"/>
          <w:b/>
          <w:sz w:val="16"/>
        </w:rPr>
      </w:pPr>
    </w:p>
    <w:p w14:paraId="219EAC5E" w14:textId="3B3CC928" w:rsidR="00F1424D" w:rsidRPr="00443CAA" w:rsidRDefault="00F1424D" w:rsidP="00442512">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8FF5" w14:textId="77777777" w:rsidR="00841E12" w:rsidRDefault="00841E12">
      <w:r>
        <w:separator/>
      </w:r>
    </w:p>
  </w:endnote>
  <w:endnote w:type="continuationSeparator" w:id="0">
    <w:p w14:paraId="1C92096A" w14:textId="77777777" w:rsidR="00841E12" w:rsidRDefault="0084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9E28B60" w:rsidR="00443CAA" w:rsidRPr="00443CAA" w:rsidRDefault="00A26303"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4C82AB85" w:rsidR="00443CAA" w:rsidRPr="00443CAA" w:rsidRDefault="00EE75EF"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5111B">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5111B">
            <w:rPr>
              <w:rFonts w:ascii="Arial" w:hAnsi="Arial" w:cs="Arial"/>
              <w:noProof/>
              <w:sz w:val="16"/>
              <w:szCs w:val="16"/>
            </w:rPr>
            <w:t>3</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25ABA7A9" w:rsidR="00443CAA" w:rsidRPr="00443CAA" w:rsidRDefault="00A26303"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195AAE10" w:rsidR="00443CAA" w:rsidRPr="00443CAA" w:rsidRDefault="00EE75EF"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4197D1D" w:rsidR="00443CAA" w:rsidRPr="00443CAA" w:rsidRDefault="00A26303"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293DB365" w:rsidR="00443CAA" w:rsidRPr="00443CAA" w:rsidRDefault="00EE75EF"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DAF2" w14:textId="77777777" w:rsidR="00841E12" w:rsidRDefault="00841E12">
      <w:r>
        <w:separator/>
      </w:r>
    </w:p>
  </w:footnote>
  <w:footnote w:type="continuationSeparator" w:id="0">
    <w:p w14:paraId="5FDA081E" w14:textId="77777777" w:rsidR="00841E12" w:rsidRDefault="0084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8527546">
    <w:abstractNumId w:val="11"/>
  </w:num>
  <w:num w:numId="2" w16cid:durableId="1171262139">
    <w:abstractNumId w:val="2"/>
  </w:num>
  <w:num w:numId="3" w16cid:durableId="29425912">
    <w:abstractNumId w:val="0"/>
  </w:num>
  <w:num w:numId="4" w16cid:durableId="1272277704">
    <w:abstractNumId w:val="7"/>
  </w:num>
  <w:num w:numId="5" w16cid:durableId="1729307170">
    <w:abstractNumId w:val="1"/>
  </w:num>
  <w:num w:numId="6" w16cid:durableId="290140271">
    <w:abstractNumId w:val="8"/>
  </w:num>
  <w:num w:numId="7" w16cid:durableId="765082153">
    <w:abstractNumId w:val="4"/>
  </w:num>
  <w:num w:numId="8" w16cid:durableId="1828745787">
    <w:abstractNumId w:val="3"/>
  </w:num>
  <w:num w:numId="9" w16cid:durableId="1761176585">
    <w:abstractNumId w:val="6"/>
  </w:num>
  <w:num w:numId="10" w16cid:durableId="1041324509">
    <w:abstractNumId w:val="5"/>
  </w:num>
  <w:num w:numId="11" w16cid:durableId="413865437">
    <w:abstractNumId w:val="10"/>
  </w:num>
  <w:num w:numId="12" w16cid:durableId="24834740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3595B"/>
    <w:rsid w:val="001373DB"/>
    <w:rsid w:val="00155A4B"/>
    <w:rsid w:val="00166B84"/>
    <w:rsid w:val="001731EB"/>
    <w:rsid w:val="00175321"/>
    <w:rsid w:val="001B3D73"/>
    <w:rsid w:val="001C0D86"/>
    <w:rsid w:val="001D13D9"/>
    <w:rsid w:val="002010DD"/>
    <w:rsid w:val="002272F8"/>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111B"/>
    <w:rsid w:val="00352656"/>
    <w:rsid w:val="00370E32"/>
    <w:rsid w:val="00380345"/>
    <w:rsid w:val="00380CB0"/>
    <w:rsid w:val="00383E70"/>
    <w:rsid w:val="00383FCB"/>
    <w:rsid w:val="0038533C"/>
    <w:rsid w:val="003968E2"/>
    <w:rsid w:val="003A115E"/>
    <w:rsid w:val="003A40D6"/>
    <w:rsid w:val="003A4542"/>
    <w:rsid w:val="003B385F"/>
    <w:rsid w:val="003C2843"/>
    <w:rsid w:val="003D1AF7"/>
    <w:rsid w:val="003E4420"/>
    <w:rsid w:val="003F0DE9"/>
    <w:rsid w:val="003F30DD"/>
    <w:rsid w:val="0040196F"/>
    <w:rsid w:val="00407AF9"/>
    <w:rsid w:val="00412A52"/>
    <w:rsid w:val="00422137"/>
    <w:rsid w:val="00423F26"/>
    <w:rsid w:val="00434049"/>
    <w:rsid w:val="00436754"/>
    <w:rsid w:val="00442512"/>
    <w:rsid w:val="00443CAA"/>
    <w:rsid w:val="0044491E"/>
    <w:rsid w:val="0046007D"/>
    <w:rsid w:val="004607BE"/>
    <w:rsid w:val="00487CD4"/>
    <w:rsid w:val="00496444"/>
    <w:rsid w:val="004C1EFB"/>
    <w:rsid w:val="004D1A61"/>
    <w:rsid w:val="00501F57"/>
    <w:rsid w:val="005056D6"/>
    <w:rsid w:val="00512FEC"/>
    <w:rsid w:val="00524923"/>
    <w:rsid w:val="00531C60"/>
    <w:rsid w:val="00537EFB"/>
    <w:rsid w:val="0055336F"/>
    <w:rsid w:val="00553DB4"/>
    <w:rsid w:val="00563060"/>
    <w:rsid w:val="005854D9"/>
    <w:rsid w:val="00594E62"/>
    <w:rsid w:val="005F5E98"/>
    <w:rsid w:val="0061606E"/>
    <w:rsid w:val="00624B08"/>
    <w:rsid w:val="00632069"/>
    <w:rsid w:val="0063585E"/>
    <w:rsid w:val="00650487"/>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6FE1"/>
    <w:rsid w:val="007879A1"/>
    <w:rsid w:val="0079017B"/>
    <w:rsid w:val="007919BE"/>
    <w:rsid w:val="007B4821"/>
    <w:rsid w:val="007E6E46"/>
    <w:rsid w:val="008077FA"/>
    <w:rsid w:val="00812559"/>
    <w:rsid w:val="00841E12"/>
    <w:rsid w:val="00880730"/>
    <w:rsid w:val="008A386C"/>
    <w:rsid w:val="008A7883"/>
    <w:rsid w:val="008B3873"/>
    <w:rsid w:val="008C3C6C"/>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E04"/>
    <w:rsid w:val="00A11F20"/>
    <w:rsid w:val="00A25DF1"/>
    <w:rsid w:val="00A26303"/>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A18C2"/>
    <w:rsid w:val="00BB2678"/>
    <w:rsid w:val="00BC5040"/>
    <w:rsid w:val="00BD6A23"/>
    <w:rsid w:val="00BE54D5"/>
    <w:rsid w:val="00C16715"/>
    <w:rsid w:val="00C25A87"/>
    <w:rsid w:val="00C62894"/>
    <w:rsid w:val="00C77FCF"/>
    <w:rsid w:val="00C93EC0"/>
    <w:rsid w:val="00C947CF"/>
    <w:rsid w:val="00CC5403"/>
    <w:rsid w:val="00CD6ADE"/>
    <w:rsid w:val="00CE23E9"/>
    <w:rsid w:val="00CF05A4"/>
    <w:rsid w:val="00CF12E9"/>
    <w:rsid w:val="00CF361B"/>
    <w:rsid w:val="00CF7607"/>
    <w:rsid w:val="00D01AEE"/>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63F68"/>
    <w:rsid w:val="00E751F1"/>
    <w:rsid w:val="00E90135"/>
    <w:rsid w:val="00EB68B5"/>
    <w:rsid w:val="00EC0C67"/>
    <w:rsid w:val="00EC6E39"/>
    <w:rsid w:val="00ED12A0"/>
    <w:rsid w:val="00ED6C3F"/>
    <w:rsid w:val="00EE75E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60DE-C5FB-418C-9946-581C26538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FC4F6-C1F9-458B-8EB1-083BFF2ACB36}">
  <ds:schemaRefs>
    <ds:schemaRef ds:uri="http://schemas.microsoft.com/sharepoint/v3/contenttype/forms"/>
  </ds:schemaRefs>
</ds:datastoreItem>
</file>

<file path=customXml/itemProps3.xml><?xml version="1.0" encoding="utf-8"?>
<ds:datastoreItem xmlns:ds="http://schemas.openxmlformats.org/officeDocument/2006/customXml" ds:itemID="{9A9D8164-5B09-4F19-9696-83543CBFB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82699-E850-0F40-BA2A-2B5C388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2023-01-03T09:18:00Z</dcterms:created>
  <dcterms:modified xsi:type="dcterms:W3CDTF">2023-01-03T09:18:00Z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547100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